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40" w:right="4840" w:hanging="332"/>
        <w:spacing w:after="0" w:line="26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July 31, 2015</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40" w:right="47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from___________ to ____________</w:t>
      </w:r>
    </w:p>
    <w:p>
      <w:pPr>
        <w:spacing w:after="0" w:line="19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000</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3"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jc w:val="center"/>
              <w:ind w:right="35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606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6060" w:type="dxa"/>
            <w:vAlign w:val="bottom"/>
          </w:tcPr>
          <w:p>
            <w:pPr>
              <w:spacing w:after="0"/>
              <w:rPr>
                <w:sz w:val="20"/>
                <w:szCs w:val="20"/>
                <w:color w:val="auto"/>
              </w:rPr>
            </w:pPr>
            <w:r>
              <w:rPr>
                <w:rFonts w:ascii="Arial" w:cs="Arial" w:eastAsia="Arial" w:hAnsi="Arial"/>
                <w:sz w:val="18"/>
                <w:szCs w:val="18"/>
                <w:color w:val="auto"/>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19"/>
        </w:trPr>
        <w:tc>
          <w:tcPr>
            <w:tcW w:w="356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27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Common Stock (Par Value $.01)</w:t>
            </w:r>
          </w:p>
        </w:tc>
        <w:tc>
          <w:tcPr>
            <w:tcW w:w="27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NASDAQ Stock Market LLC</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2"/>
              </w:rPr>
              <w:t>Rights to Purchase Series A Junior Participating</w:t>
            </w:r>
          </w:p>
        </w:tc>
        <w:tc>
          <w:tcPr>
            <w:tcW w:w="27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(NASDAQ Global Select Market)</w:t>
            </w:r>
          </w:p>
        </w:tc>
      </w:tr>
    </w:tbl>
    <w:p>
      <w:pPr>
        <w:spacing w:after="0"/>
        <w:rPr>
          <w:sz w:val="20"/>
          <w:szCs w:val="20"/>
          <w:color w:val="auto"/>
        </w:rPr>
      </w:pPr>
      <w:r>
        <w:rPr>
          <w:rFonts w:ascii="Arial" w:cs="Arial" w:eastAsia="Arial" w:hAnsi="Arial"/>
          <w:sz w:val="18"/>
          <w:szCs w:val="18"/>
          <w:color w:val="auto"/>
        </w:rPr>
        <w:t>Preferred Stock (Par Value $0.01)</w:t>
      </w:r>
    </w:p>
    <w:p>
      <w:pPr>
        <w:spacing w:after="0" w:line="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____________________</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3"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____________________</w:t>
      </w:r>
    </w:p>
    <w:p>
      <w:pPr>
        <w:spacing w:after="0" w:line="204" w:lineRule="exact"/>
        <w:rPr>
          <w:sz w:val="24"/>
          <w:szCs w:val="24"/>
          <w:color w:val="auto"/>
        </w:rPr>
      </w:pPr>
    </w:p>
    <w:p>
      <w:pPr>
        <w:ind w:left="120" w:right="140" w:firstLine="216"/>
        <w:spacing w:after="0" w:line="264"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22"/>
          <w:szCs w:val="22"/>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left="340"/>
        <w:spacing w:after="0" w:line="207" w:lineRule="exact"/>
        <w:tabs>
          <w:tab w:leader="none" w:pos="9140" w:val="left"/>
          <w:tab w:leader="none" w:pos="980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165" w:lineRule="exact"/>
        <w:rPr>
          <w:sz w:val="20"/>
          <w:szCs w:val="20"/>
          <w:color w:val="auto"/>
        </w:rPr>
      </w:pPr>
    </w:p>
    <w:p>
      <w:pPr>
        <w:ind w:left="1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3">
            <w:col w:w="6140" w:space="720"/>
            <w:col w:w="1220" w:space="80"/>
            <w:col w:w="3260"/>
          </w:cols>
          <w:pgMar w:left="240" w:top="125" w:right="239" w:bottom="1440" w:gutter="0" w:footer="0" w:header="0"/>
          <w:type w:val="continuous"/>
        </w:sectPr>
      </w:pPr>
    </w:p>
    <w:p>
      <w:pPr>
        <w:spacing w:after="0" w:line="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2680" w:space="180"/>
            <w:col w:w="3280" w:space="720"/>
            <w:col w:w="1980" w:space="80"/>
            <w:col w:w="2500"/>
          </w:cols>
          <w:pgMar w:left="240" w:top="125" w:right="239" w:bottom="1440" w:gutter="0" w:footer="0" w:header="0"/>
          <w:type w:val="continuous"/>
        </w:sectPr>
      </w:pPr>
    </w:p>
    <w:p>
      <w:pPr>
        <w:spacing w:after="0" w:line="43" w:lineRule="exact"/>
        <w:rPr>
          <w:sz w:val="20"/>
          <w:szCs w:val="20"/>
          <w:color w:val="auto"/>
        </w:rPr>
      </w:pPr>
    </w:p>
    <w:p>
      <w:pPr>
        <w:ind w:left="340"/>
        <w:spacing w:after="0" w:line="196" w:lineRule="exact"/>
        <w:tabs>
          <w:tab w:leader="none" w:pos="84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9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January 30, 2015 (the last business day of the registrant’s most recently completed second fiscal quarter) was $3,185,726,301.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920" w:type="dxa"/>
            <w:vAlign w:val="bottom"/>
            <w:gridSpan w:val="4"/>
          </w:tcPr>
          <w:p>
            <w:pPr>
              <w:ind w:left="100"/>
              <w:spacing w:after="0"/>
              <w:rPr>
                <w:sz w:val="20"/>
                <w:szCs w:val="20"/>
                <w:color w:val="auto"/>
              </w:rPr>
            </w:pPr>
            <w:r>
              <w:rPr>
                <w:rFonts w:ascii="Arial" w:cs="Arial" w:eastAsia="Arial" w:hAnsi="Arial"/>
                <w:sz w:val="18"/>
                <w:szCs w:val="18"/>
                <w:color w:val="auto"/>
              </w:rPr>
              <w:t>As of September 21, 2015, there were 24,025,539 shares of common stock outstanding.</w:t>
            </w: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9"/>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5"/>
        </w:trPr>
        <w:tc>
          <w:tcPr>
            <w:tcW w:w="432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60" w:type="dxa"/>
            <w:vAlign w:val="bottom"/>
            <w:gridSpan w:val="2"/>
          </w:tcPr>
          <w:p>
            <w:pPr>
              <w:jc w:val="center"/>
              <w:ind w:right="560"/>
              <w:spacing w:after="0" w:line="207" w:lineRule="exact"/>
              <w:rPr>
                <w:sz w:val="20"/>
                <w:szCs w:val="20"/>
                <w:color w:val="auto"/>
              </w:rPr>
            </w:pPr>
            <w:r>
              <w:rPr>
                <w:rFonts w:ascii="Arial" w:cs="Arial" w:eastAsia="Arial" w:hAnsi="Arial"/>
                <w:sz w:val="18"/>
                <w:szCs w:val="18"/>
                <w:color w:val="auto"/>
                <w:w w:val="93"/>
              </w:rPr>
              <w:t>Part of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K</w:t>
            </w:r>
          </w:p>
        </w:tc>
      </w:tr>
      <w:tr>
        <w:trPr>
          <w:trHeight w:val="190"/>
        </w:trPr>
        <w:tc>
          <w:tcPr>
            <w:tcW w:w="22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9"/>
              </w:rPr>
              <w:t>are Incorporated by Reference</w:t>
            </w:r>
          </w:p>
        </w:tc>
        <w:tc>
          <w:tcPr>
            <w:tcW w:w="6960" w:type="dxa"/>
            <w:vAlign w:val="bottom"/>
            <w:gridSpan w:val="3"/>
          </w:tcPr>
          <w:p>
            <w:pPr>
              <w:spacing w:after="0"/>
              <w:rPr>
                <w:sz w:val="16"/>
                <w:szCs w:val="16"/>
                <w:color w:val="auto"/>
              </w:rPr>
            </w:pPr>
          </w:p>
        </w:tc>
        <w:tc>
          <w:tcPr>
            <w:tcW w:w="17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into which incorporated</w:t>
            </w:r>
          </w:p>
        </w:tc>
        <w:tc>
          <w:tcPr>
            <w:tcW w:w="540" w:type="dxa"/>
            <w:vAlign w:val="bottom"/>
          </w:tcPr>
          <w:p>
            <w:pPr>
              <w:spacing w:after="0"/>
              <w:rPr>
                <w:sz w:val="16"/>
                <w:szCs w:val="16"/>
                <w:color w:val="auto"/>
              </w:rPr>
            </w:pPr>
          </w:p>
        </w:tc>
      </w:tr>
      <w:tr>
        <w:trPr>
          <w:trHeight w:val="438"/>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8920" w:type="dxa"/>
            <w:vAlign w:val="bottom"/>
            <w:gridSpan w:val="4"/>
          </w:tcPr>
          <w:p>
            <w:pPr>
              <w:ind w:left="340"/>
              <w:spacing w:after="0"/>
              <w:rPr>
                <w:sz w:val="20"/>
                <w:szCs w:val="20"/>
                <w:color w:val="auto"/>
              </w:rPr>
            </w:pPr>
            <w:r>
              <w:rPr>
                <w:rFonts w:ascii="Arial" w:cs="Arial" w:eastAsia="Arial" w:hAnsi="Arial"/>
                <w:sz w:val="18"/>
                <w:szCs w:val="18"/>
                <w:color w:val="auto"/>
              </w:rPr>
              <w:t>Proxy Statement for Annual Meeting of</w:t>
            </w:r>
          </w:p>
        </w:tc>
        <w:tc>
          <w:tcPr>
            <w:tcW w:w="2260" w:type="dxa"/>
            <w:vAlign w:val="bottom"/>
            <w:gridSpan w:val="2"/>
          </w:tcPr>
          <w:p>
            <w:pPr>
              <w:jc w:val="center"/>
              <w:ind w:right="540"/>
              <w:spacing w:after="0"/>
              <w:rPr>
                <w:sz w:val="20"/>
                <w:szCs w:val="20"/>
                <w:color w:val="auto"/>
              </w:rPr>
            </w:pPr>
            <w:r>
              <w:rPr>
                <w:rFonts w:ascii="Arial" w:cs="Arial" w:eastAsia="Arial" w:hAnsi="Arial"/>
                <w:sz w:val="18"/>
                <w:szCs w:val="18"/>
                <w:color w:val="auto"/>
                <w:w w:val="97"/>
              </w:rPr>
              <w:t>Part III</w:t>
            </w:r>
          </w:p>
        </w:tc>
      </w:tr>
      <w:tr>
        <w:trPr>
          <w:trHeight w:val="216"/>
        </w:trPr>
        <w:tc>
          <w:tcPr>
            <w:tcW w:w="240" w:type="dxa"/>
            <w:vAlign w:val="bottom"/>
          </w:tcPr>
          <w:p>
            <w:pPr>
              <w:spacing w:after="0"/>
              <w:rPr>
                <w:sz w:val="18"/>
                <w:szCs w:val="18"/>
                <w:color w:val="auto"/>
              </w:rPr>
            </w:pPr>
          </w:p>
        </w:tc>
        <w:tc>
          <w:tcPr>
            <w:tcW w:w="8920" w:type="dxa"/>
            <w:vAlign w:val="bottom"/>
            <w:gridSpan w:val="4"/>
          </w:tcPr>
          <w:p>
            <w:pPr>
              <w:ind w:left="340"/>
              <w:spacing w:after="0"/>
              <w:rPr>
                <w:sz w:val="20"/>
                <w:szCs w:val="20"/>
                <w:color w:val="auto"/>
              </w:rPr>
            </w:pPr>
            <w:r>
              <w:rPr>
                <w:rFonts w:ascii="Arial" w:cs="Arial" w:eastAsia="Arial" w:hAnsi="Arial"/>
                <w:sz w:val="18"/>
                <w:szCs w:val="18"/>
                <w:color w:val="auto"/>
              </w:rPr>
              <w:t>Shareholders to be held November 12, 2015</w:t>
            </w: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8920" w:type="dxa"/>
            <w:vAlign w:val="bottom"/>
            <w:gridSpan w:val="4"/>
          </w:tcPr>
          <w:p>
            <w:pPr>
              <w:ind w:left="340"/>
              <w:spacing w:after="0"/>
              <w:rPr>
                <w:sz w:val="20"/>
                <w:szCs w:val="20"/>
                <w:color w:val="auto"/>
              </w:rPr>
            </w:pPr>
            <w:r>
              <w:rPr>
                <w:rFonts w:ascii="Arial" w:cs="Arial" w:eastAsia="Arial" w:hAnsi="Arial"/>
                <w:sz w:val="18"/>
                <w:szCs w:val="18"/>
                <w:color w:val="auto"/>
              </w:rPr>
              <w:t>(the “2015 Proxy Statement”)</w:t>
            </w: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26"/>
        </w:trPr>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40" w:type="dxa"/>
            <w:vAlign w:val="bottom"/>
            <w:gridSpan w:val="10"/>
            <w:vMerge w:val="restart"/>
          </w:tcPr>
          <w:p>
            <w:pPr>
              <w:jc w:val="center"/>
              <w:ind w:right="4380"/>
              <w:spacing w:after="0"/>
              <w:rPr>
                <w:sz w:val="20"/>
                <w:szCs w:val="20"/>
                <w:color w:val="auto"/>
              </w:rPr>
            </w:pPr>
            <w:r>
              <w:rPr>
                <w:rFonts w:ascii="Arial" w:cs="Arial" w:eastAsia="Arial" w:hAnsi="Arial"/>
                <w:sz w:val="18"/>
                <w:szCs w:val="18"/>
                <w:color w:val="auto"/>
                <w:w w:val="92"/>
              </w:rPr>
              <w:t>PART I</w:t>
            </w:r>
          </w:p>
        </w:tc>
        <w:tc>
          <w:tcPr>
            <w:tcW w:w="720" w:type="dxa"/>
            <w:vAlign w:val="bottom"/>
            <w:gridSpan w:val="3"/>
          </w:tcPr>
          <w:p>
            <w:pPr>
              <w:ind w:left="24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10"/>
            <w:vMerge w:val="continue"/>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00" w:type="dxa"/>
            <w:vAlign w:val="bottom"/>
            <w:gridSpan w:val="2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INTRODUCTION</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2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9560" w:type="dxa"/>
            <w:vAlign w:val="bottom"/>
            <w:gridSpan w:val="26"/>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2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640" w:type="dxa"/>
            <w:vAlign w:val="bottom"/>
            <w:tcBorders>
              <w:top w:val="single" w:sz="8" w:color="CCEEFF"/>
            </w:tcBorders>
            <w:gridSpan w:val="10"/>
          </w:tcPr>
          <w:p>
            <w:pPr>
              <w:jc w:val="center"/>
              <w:ind w:right="4360"/>
              <w:spacing w:after="0"/>
              <w:rPr>
                <w:sz w:val="20"/>
                <w:szCs w:val="20"/>
                <w:color w:val="auto"/>
              </w:rPr>
            </w:pPr>
            <w:r>
              <w:rPr>
                <w:rFonts w:ascii="Arial" w:cs="Arial" w:eastAsia="Arial" w:hAnsi="Arial"/>
                <w:sz w:val="18"/>
                <w:szCs w:val="18"/>
                <w:color w:val="auto"/>
                <w:w w:val="95"/>
              </w:rPr>
              <w:t>PART II</w:t>
            </w:r>
          </w:p>
        </w:tc>
        <w:tc>
          <w:tcPr>
            <w:tcW w:w="2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MARKET FOR REGISTRANT'S COMMON EQUITY, RELATED STOCKHOLDER MATTERS AND ISSUER PURCHASES</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40" w:type="dxa"/>
            <w:vAlign w:val="bottom"/>
            <w:gridSpan w:val="25"/>
            <w:shd w:val="clear" w:color="auto" w:fill="CCEEFF"/>
          </w:tcPr>
          <w:p>
            <w:pPr>
              <w:ind w:left="4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OF EQUITY SECURITIES</w:t>
              </w:r>
            </w:hyperlink>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2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7A.</w:t>
            </w:r>
          </w:p>
        </w:tc>
        <w:tc>
          <w:tcPr>
            <w:tcW w:w="888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680" w:type="dxa"/>
            <w:vAlign w:val="bottom"/>
            <w:tcBorders>
              <w:top w:val="single" w:sz="8" w:color="CCEEFF"/>
            </w:tcBorders>
            <w:gridSpan w:val="3"/>
          </w:tcPr>
          <w:p>
            <w:pPr>
              <w:spacing w:after="0"/>
              <w:rPr>
                <w:sz w:val="15"/>
                <w:szCs w:val="15"/>
                <w:color w:val="auto"/>
              </w:rPr>
            </w:pPr>
          </w:p>
        </w:tc>
        <w:tc>
          <w:tcPr>
            <w:tcW w:w="7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FINANCIAL STATEMENTS AND SUPPLEMENTARY DATA</w:t>
              </w:r>
            </w:hyperlink>
          </w:p>
        </w:tc>
        <w:tc>
          <w:tcPr>
            <w:tcW w:w="4900" w:type="dxa"/>
            <w:vAlign w:val="bottom"/>
            <w:tcBorders>
              <w:bottom w:val="single" w:sz="8" w:color="CCEEFF"/>
            </w:tcBorders>
            <w:gridSpan w:val="8"/>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9560" w:type="dxa"/>
            <w:vAlign w:val="bottom"/>
            <w:gridSpan w:val="26"/>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CHANGES IN AND DISAGREEMENTS WITH ACCOUNTANTS ON ACCOUNTING AND FINANCIAL DISCLOSURE</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CONTROLS AND PROCEDURES</w:t>
              </w:r>
            </w:hyperlink>
          </w:p>
        </w:tc>
        <w:tc>
          <w:tcPr>
            <w:tcW w:w="6960" w:type="dxa"/>
            <w:vAlign w:val="bottom"/>
            <w:tcBorders>
              <w:bottom w:val="single" w:sz="8" w:color="CCEEFF"/>
            </w:tcBorders>
            <w:gridSpan w:val="13"/>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9B.</w:t>
            </w:r>
          </w:p>
        </w:tc>
        <w:tc>
          <w:tcPr>
            <w:tcW w:w="9560" w:type="dxa"/>
            <w:vAlign w:val="bottom"/>
            <w:gridSpan w:val="26"/>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gridSpan w:val="10"/>
          </w:tcPr>
          <w:p>
            <w:pPr>
              <w:jc w:val="center"/>
              <w:ind w:right="4380"/>
              <w:spacing w:after="0"/>
              <w:rPr>
                <w:sz w:val="20"/>
                <w:szCs w:val="20"/>
                <w:color w:val="auto"/>
              </w:rPr>
            </w:pPr>
            <w:r>
              <w:rPr>
                <w:rFonts w:ascii="Arial" w:cs="Arial" w:eastAsia="Arial" w:hAnsi="Arial"/>
                <w:sz w:val="18"/>
                <w:szCs w:val="18"/>
                <w:color w:val="auto"/>
                <w:w w:val="96"/>
              </w:rPr>
              <w:t>PART III</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DIRECTORS, EXECUTIVE OFFICERS AND CORPORATE GOVERNANCE</w:t>
              </w:r>
            </w:hyperlink>
          </w:p>
        </w:tc>
        <w:tc>
          <w:tcPr>
            <w:tcW w:w="376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11.</w:t>
            </w:r>
          </w:p>
        </w:tc>
        <w:tc>
          <w:tcPr>
            <w:tcW w:w="9560" w:type="dxa"/>
            <w:vAlign w:val="bottom"/>
            <w:gridSpan w:val="26"/>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EXECUTIVE COMPENSATION</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SECURITY OWNERSHIP OF CERTAIN BENEFICIAL OWNERS AND MANAGEMENT AND RELATED</w:t>
              </w:r>
            </w:hyperlink>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7880" w:type="dxa"/>
            <w:vAlign w:val="bottom"/>
            <w:tcBorders>
              <w:top w:val="single" w:sz="8" w:color="0000EE"/>
            </w:tcBorders>
            <w:gridSpan w:val="21"/>
            <w:shd w:val="clear" w:color="auto" w:fill="CCEEFF"/>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STOCKHOLDER MATTERS</w:t>
              </w:r>
            </w:hyperlink>
          </w:p>
        </w:tc>
        <w:tc>
          <w:tcPr>
            <w:tcW w:w="1560" w:type="dxa"/>
            <w:vAlign w:val="bottom"/>
            <w:tcBorders>
              <w:top w:val="single" w:sz="8" w:color="CCEEFF"/>
            </w:tcBorders>
            <w:gridSpan w:val="4"/>
            <w:shd w:val="clear" w:color="auto" w:fill="CCEEFF"/>
          </w:tcPr>
          <w:p>
            <w:pPr>
              <w:spacing w:after="0"/>
              <w:rPr>
                <w:sz w:val="17"/>
                <w:szCs w:val="17"/>
                <w:color w:val="auto"/>
              </w:rPr>
            </w:pPr>
          </w:p>
        </w:tc>
        <w:tc>
          <w:tcPr>
            <w:tcW w:w="7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13.</w:t>
            </w:r>
          </w:p>
        </w:tc>
        <w:tc>
          <w:tcPr>
            <w:tcW w:w="9560" w:type="dxa"/>
            <w:vAlign w:val="bottom"/>
            <w:gridSpan w:val="26"/>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CERTAIN RELATIONSHIPS AND RELATED TRANSACTIONS, AND DIRECTOR INDEPENDENCE</w:t>
              </w:r>
            </w:hyperlink>
          </w:p>
        </w:tc>
        <w:tc>
          <w:tcPr>
            <w:tcW w:w="7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PRINCIPAL ACCOUNTING FEES AND SERVICES</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640" w:type="dxa"/>
            <w:vAlign w:val="bottom"/>
            <w:tcBorders>
              <w:top w:val="single" w:sz="8" w:color="CCEEFF"/>
            </w:tcBorders>
            <w:gridSpan w:val="10"/>
          </w:tcPr>
          <w:p>
            <w:pPr>
              <w:jc w:val="center"/>
              <w:ind w:right="4380"/>
              <w:spacing w:after="0"/>
              <w:rPr>
                <w:sz w:val="20"/>
                <w:szCs w:val="20"/>
                <w:color w:val="auto"/>
              </w:rPr>
            </w:pPr>
            <w:r>
              <w:rPr>
                <w:rFonts w:ascii="Arial" w:cs="Arial" w:eastAsia="Arial" w:hAnsi="Arial"/>
                <w:sz w:val="18"/>
                <w:szCs w:val="18"/>
                <w:color w:val="auto"/>
                <w:w w:val="94"/>
              </w:rPr>
              <w:t>PART IV</w:t>
            </w:r>
          </w:p>
        </w:tc>
        <w:tc>
          <w:tcPr>
            <w:tcW w:w="2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560" w:type="dxa"/>
            <w:vAlign w:val="bottom"/>
            <w:gridSpan w:val="26"/>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EXHIBITS, AND FINANCIAL STATEMENT SCHEDULES</w:t>
              </w:r>
            </w:hyperlink>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SIGNATURES</w:t>
              </w:r>
            </w:hyperlink>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INDEX TO EXHIBITS</w:t>
              </w:r>
            </w:hyperlink>
          </w:p>
        </w:tc>
        <w:tc>
          <w:tcPr>
            <w:tcW w:w="9000" w:type="dxa"/>
            <w:vAlign w:val="bottom"/>
            <w:tcBorders>
              <w:bottom w:val="single" w:sz="8" w:color="CCEEFF"/>
            </w:tcBorders>
            <w:gridSpan w:val="22"/>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60" w:type="dxa"/>
            <w:vAlign w:val="bottom"/>
            <w:gridSpan w:val="18"/>
          </w:tcPr>
          <w:p>
            <w:pPr>
              <w:jc w:val="center"/>
              <w:ind w:left="4351"/>
              <w:spacing w:after="0"/>
              <w:rPr>
                <w:sz w:val="20"/>
                <w:szCs w:val="20"/>
                <w:color w:val="auto"/>
              </w:rPr>
            </w:pPr>
            <w:r>
              <w:rPr>
                <w:rFonts w:ascii="Arial" w:cs="Arial" w:eastAsia="Arial" w:hAnsi="Arial"/>
                <w:sz w:val="14"/>
                <w:szCs w:val="14"/>
                <w:color w:val="auto"/>
                <w:w w:val="76"/>
              </w:rPr>
              <w:t>3</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report contains references to years 2015, 2014 and 2013, which represent our fiscal years ended July 31, 2015, August 1, 2014 and August 2, 2013, respectively.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Statements/Risk Factors</w:t>
      </w:r>
    </w:p>
    <w:p>
      <w:pPr>
        <w:spacing w:after="0" w:line="25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September 21, 2015, we operated 637 stores in 42 states. None of our stores are franchised. Our stores are intended to appeal to both the traveler and the local customer, and we believe they have consistently been a consumer favorite. We pride ourselves on our consistent quality, value and friendly service. The dedication and commitment of our operating teams continues to be broadly recognized by consumers. Technomic, Inc., a well-recognized industry research firm which analyzes consumer ratings, named Cracker Barrel a 2015 Chain Restaurant Consumers’ Choice Award winner for our pleasant and friendly service. In addition, </w:t>
      </w:r>
      <w:r>
        <w:rPr>
          <w:rFonts w:ascii="Arial" w:cs="Arial" w:eastAsia="Arial" w:hAnsi="Arial"/>
          <w:sz w:val="18"/>
          <w:szCs w:val="18"/>
          <w:i w:val="1"/>
          <w:iCs w:val="1"/>
          <w:color w:val="auto"/>
        </w:rPr>
        <w:t>FamilyFun</w:t>
      </w:r>
      <w:r>
        <w:rPr>
          <w:rFonts w:ascii="Arial" w:cs="Arial" w:eastAsia="Arial" w:hAnsi="Arial"/>
          <w:sz w:val="18"/>
          <w:szCs w:val="18"/>
          <w:color w:val="auto"/>
        </w:rPr>
        <w:t xml:space="preserve"> magazine named Cracker Barrel a top family-friendly restaurant as part of their third annual Travel Awards. We were also ranked number one by </w:t>
      </w:r>
      <w:r>
        <w:rPr>
          <w:rFonts w:ascii="Arial" w:cs="Arial" w:eastAsia="Arial" w:hAnsi="Arial"/>
          <w:sz w:val="18"/>
          <w:szCs w:val="18"/>
          <w:i w:val="1"/>
          <w:iCs w:val="1"/>
          <w:color w:val="auto"/>
        </w:rPr>
        <w:t>Nation’s Restaurant News</w:t>
      </w:r>
      <w:r>
        <w:rPr>
          <w:rFonts w:ascii="Arial" w:cs="Arial" w:eastAsia="Arial" w:hAnsi="Arial"/>
          <w:sz w:val="18"/>
          <w:szCs w:val="18"/>
          <w:color w:val="auto"/>
        </w:rPr>
        <w:t xml:space="preserve"> Consumer Picks survey in the categories of Menu Variety and Atmosphere. We believe these honors reaffirm the strength of our brand.</w:t>
      </w:r>
    </w:p>
    <w:p>
      <w:pPr>
        <w:spacing w:after="0" w:line="21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Store Format</w:t>
      </w:r>
      <w:r>
        <w:rPr>
          <w:rFonts w:ascii="Arial" w:cs="Arial" w:eastAsia="Arial" w:hAnsi="Arial"/>
          <w:sz w:val="17"/>
          <w:szCs w:val="17"/>
          <w:color w:val="auto"/>
        </w:rPr>
        <w:t>: The format of our stores consists of a trademarked rustic old country-store design offering a full-service restaurant menu that features home-style country food and a wide variety of decorative and functional items such as rocking chairs, holiday and seasonal gifts and toys, apparel, cookware and foods. All stores are freestanding buildings. Store interiors are subdivided into a dining room occupying approximately 28% of the total interior store space, a gift shop occupying approximately 22% of such space and the balance primarily consisting of kitchen, storage and training areas. Our stores have stone fireplaces and are decorated with antique</w:t>
      </w:r>
      <w:r>
        <w:rPr>
          <w:rFonts w:ascii="MS PGothic" w:cs="MS PGothic" w:eastAsia="MS PGothic" w:hAnsi="MS PGothic"/>
          <w:sz w:val="17"/>
          <w:szCs w:val="17"/>
          <w:color w:val="auto"/>
        </w:rPr>
        <w:t>‑</w:t>
      </w:r>
      <w:r>
        <w:rPr>
          <w:rFonts w:ascii="Arial" w:cs="Arial" w:eastAsia="Arial" w:hAnsi="Arial"/>
          <w:sz w:val="17"/>
          <w:szCs w:val="17"/>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 The kitchens contain modern food preparation and storage equipment allowing for flexibility in menu variety and development.</w:t>
      </w:r>
    </w:p>
    <w:p>
      <w:pPr>
        <w:spacing w:after="0" w:line="2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80% of our total revenue in 2015, offer home-style country cooking featuring many of our own recipes that emphasize authenticity and quality. Except for Christmas Day, when they are closed, and Christmas Eve when they close at 2:00 p.m., our restaurants serve breakfast, lunch and dinner daily between the hours of 6:00 a.m. and 10:00 p.m. (closing at 11:00 p.m. on Fridays and Saturdays). Menu items are moderately priced. The restaurants do not serve alcoholic beverages.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Breakfast items can be ordered at any time throughout the day and include juices, eggs, pancakes, fruit and yogurt parfaits, pork and turkey bacon, country ham, sausage, grits, and a variety of biscuit specialties, such as gravy and biscuits and country ham and biscuits. Lunch and dinner items include country ham, chicken and dumplings, chicken fried chicken, meatloaf, country fried steak, pork chops, fish, steak, roast beef, vegetable plates, a variety of salads, sandwiches, soups, fresh side items and specialty items such as pinto beans and turnip greens. We also offer lower calorie breakfast, lunch and dinner items, which are full of flavor but with fewer calories.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2015 was $10.23, which represents a 2.9% increase over the prior year. We served an average of approximately 6,700 restaurant guests per week in a typical store in 2015.</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2015:</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Prices Range</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Breakfast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to $9.59</w:t>
            </w:r>
          </w:p>
        </w:tc>
        <w:tc>
          <w:tcPr>
            <w:tcW w:w="120" w:type="dxa"/>
            <w:vAlign w:val="bottom"/>
            <w:shd w:val="clear" w:color="auto" w:fill="CCEEFF"/>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Lunch and Dinner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4.59 to $14.99</w:t>
            </w:r>
          </w:p>
        </w:tc>
        <w:tc>
          <w:tcPr>
            <w:tcW w:w="120" w:type="dxa"/>
            <w:vAlign w:val="bottom"/>
          </w:tcPr>
          <w:p>
            <w:pPr>
              <w:spacing w:after="0"/>
              <w:rPr>
                <w:sz w:val="19"/>
                <w:szCs w:val="19"/>
                <w:color w:val="auto"/>
              </w:rPr>
            </w:pPr>
          </w:p>
        </w:tc>
      </w:tr>
      <w:tr>
        <w:trPr>
          <w:trHeight w:val="459"/>
        </w:trPr>
        <w:tc>
          <w:tcPr>
            <w:tcW w:w="7620" w:type="dxa"/>
            <w:vAlign w:val="bottom"/>
            <w:gridSpan w:val="3"/>
          </w:tcPr>
          <w:p>
            <w:pPr>
              <w:spacing w:after="0"/>
              <w:rPr>
                <w:sz w:val="20"/>
                <w:szCs w:val="20"/>
                <w:color w:val="auto"/>
              </w:rPr>
            </w:pPr>
            <w:r>
              <w:rPr>
                <w:rFonts w:ascii="Arial" w:cs="Arial" w:eastAsia="Arial" w:hAnsi="Arial"/>
                <w:sz w:val="18"/>
                <w:szCs w:val="18"/>
                <w:color w:val="auto"/>
              </w:rPr>
              <w:t>The following table highlights each day-part’s percentage of restaurant sales in 2015:</w:t>
            </w: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Restaurant</w:t>
            </w:r>
          </w:p>
        </w:tc>
      </w:tr>
      <w:tr>
        <w:trPr>
          <w:trHeight w:val="237"/>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Sales in 2015</w:t>
            </w:r>
          </w:p>
        </w:tc>
        <w:tc>
          <w:tcPr>
            <w:tcW w:w="12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1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16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Dinner Day-Part (4:00 p.m. to close)</w:t>
            </w:r>
          </w:p>
        </w:tc>
        <w:tc>
          <w:tcPr>
            <w:tcW w:w="1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7"/>
        </w:trPr>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3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offer items for sale in our gift shops that are featured on, or related to, the restaurant menu, such as pies, cornbread mix, coffee, syrups and pancake mixes. Our gift shops, which generated approximately 20% of our total revenue in 2015, offer a wide variety of decorative and functional items such as rocking chairs, seasonal gifts, apparel, toys, music CDs, cookware, a book-on-audio sale-and-exchange program and various other gift items, as well as various candies, preserves and other food items.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which accounted for the largest shares of our retail sales in 2015:</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80" w:type="dxa"/>
            <w:vAlign w:val="bottom"/>
            <w:gridSpan w:val="2"/>
          </w:tcPr>
          <w:p>
            <w:pPr>
              <w:jc w:val="center"/>
              <w:ind w:left="3250"/>
              <w:spacing w:after="0"/>
              <w:rPr>
                <w:sz w:val="20"/>
                <w:szCs w:val="20"/>
                <w:color w:val="auto"/>
              </w:rPr>
            </w:pPr>
            <w:r>
              <w:rPr>
                <w:rFonts w:ascii="Arial" w:cs="Arial" w:eastAsia="Arial" w:hAnsi="Arial"/>
                <w:sz w:val="18"/>
                <w:szCs w:val="18"/>
                <w:color w:val="auto"/>
                <w:w w:val="87"/>
              </w:rPr>
              <w:t>Percentage of</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80" w:type="dxa"/>
            <w:vAlign w:val="bottom"/>
            <w:gridSpan w:val="2"/>
          </w:tcPr>
          <w:p>
            <w:pPr>
              <w:jc w:val="center"/>
              <w:ind w:left="3270"/>
              <w:spacing w:after="0"/>
              <w:rPr>
                <w:sz w:val="20"/>
                <w:szCs w:val="20"/>
                <w:color w:val="auto"/>
              </w:rPr>
            </w:pPr>
            <w:r>
              <w:rPr>
                <w:rFonts w:ascii="Arial" w:cs="Arial" w:eastAsia="Arial" w:hAnsi="Arial"/>
                <w:sz w:val="18"/>
                <w:szCs w:val="18"/>
                <w:color w:val="auto"/>
                <w:w w:val="90"/>
              </w:rPr>
              <w:t>Retail Sales in</w:t>
            </w:r>
          </w:p>
        </w:tc>
      </w:tr>
      <w:tr>
        <w:trPr>
          <w:trHeight w:val="237"/>
        </w:trPr>
        <w:tc>
          <w:tcPr>
            <w:tcW w:w="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jc w:val="center"/>
              <w:ind w:left="3450"/>
              <w:spacing w:after="0"/>
              <w:rPr>
                <w:sz w:val="20"/>
                <w:szCs w:val="20"/>
                <w:color w:val="auto"/>
              </w:rPr>
            </w:pPr>
            <w:r>
              <w:rPr>
                <w:rFonts w:ascii="Arial" w:cs="Arial" w:eastAsia="Arial" w:hAnsi="Arial"/>
                <w:sz w:val="18"/>
                <w:szCs w:val="18"/>
                <w:color w:val="auto"/>
                <w:w w:val="89"/>
              </w:rPr>
              <w:t>2015</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4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Food</w:t>
            </w:r>
          </w:p>
        </w:tc>
        <w:tc>
          <w:tcPr>
            <w:tcW w:w="48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Décor</w:t>
            </w:r>
          </w:p>
        </w:tc>
        <w:tc>
          <w:tcPr>
            <w:tcW w:w="4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Toys</w:t>
            </w:r>
          </w:p>
        </w:tc>
        <w:tc>
          <w:tcPr>
            <w:tcW w:w="48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Bed and Bath</w:t>
            </w:r>
          </w:p>
        </w:tc>
        <w:tc>
          <w:tcPr>
            <w:tcW w:w="4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5380" w:type="dxa"/>
            <w:vAlign w:val="bottom"/>
            <w:shd w:val="clear" w:color="auto" w:fill="000000"/>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typical gift shop features approximately 4,200 stock keeping units. Many of the food items are sold under the “Cracker Barrel Old Country Store” brand name. We believe that we achieve high retail sales per square foot of retail selling space (approximately $430 per square foot in 2015) as compared to mall stores both by offering appealing merchandise and by having a significant source of customers who are typically our restaurant guests.</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sell certain licensed food products under the “CB Old Country Store” brand name in the grocery store and retail channels. These licensed food products currently include ham, premium bacon, deli meat, jerky, summer sausage, baking mix and gravy mix.</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u w:val="single" w:color="auto"/>
          <w:color w:val="auto"/>
        </w:rPr>
        <w:t>Product Development and Merchandising</w:t>
      </w:r>
      <w:r>
        <w:rPr>
          <w:rFonts w:ascii="Arial" w:cs="Arial" w:eastAsia="Arial" w:hAnsi="Arial"/>
          <w:sz w:val="17"/>
          <w:szCs w:val="17"/>
          <w:color w:val="auto"/>
        </w:rPr>
        <w:t>: We maintain a product development department, which develops new and improved menu items either in response to shifts in customer preferences or to create customer interest. We utilize a formal development and testing process, which includes guest research and in-store market tests to ensure products brought to market have a greater likelihood of meeting our goals. Menu-driven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 Our licensees develop new licensed food products under our direction for consideration and approval. We intend to add additional licensees and licensed food products in the future.</w:t>
      </w:r>
    </w:p>
    <w:p>
      <w:pPr>
        <w:spacing w:after="0" w:line="20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Store Management and Quality Controls</w:t>
      </w:r>
      <w:r>
        <w:rPr>
          <w:rFonts w:ascii="Arial" w:cs="Arial" w:eastAsia="Arial" w:hAnsi="Arial"/>
          <w:sz w:val="17"/>
          <w:szCs w:val="17"/>
          <w:color w:val="auto"/>
        </w:rPr>
        <w:t>: At each store, our store management typically consists of one general manager, four associate managers and one retail manager. Our store management is responsible for an average of 105 employees on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Each store is assigned to both a restaurant and a retail district manager. We employ ninety restaurant district managers and ten restaurant regional vice presidents. Each restaurant district manager oversees seven to nine stores and each restaurant regional vice president oversees eight to ten district managers. Each restaurant district manager is assigned to a restaurant regional vice president. We also employ forty-three retail district managers, two retail regional directors and four retail regional vice presidents. Each retail district manager oversees ten to fifteen retail stores. Each retail director oversees four district managers. Each retail regional vice president oversees eight to thirteen retail district managers. Two of the retail regional vice presidents each oversee one of the two regional directors. The various levels of restaurant and retail management work closely together to allow our stores to deliver a unique, integrated employee and guest experience.</w:t>
      </w:r>
    </w:p>
    <w:p>
      <w:pPr>
        <w:spacing w:after="0" w:line="2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ensure that individual stores are operated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assessments designed to identify those applicants most likely to be best suited to manage store operations. Candidates who successfully pass this screening process are then required to complete a training program. The restaurant manager training program consists of three weeks of training at our home office and five weeks of in-store training. The retail manager training program consists of two weeks of training at our home office and three weeks of in-store training. We believe that our training programs develop managers who can effectively deliver a great employee and guest experience through the leadership and execution of our operating systems. This program allows new managers the opportunity to become familiar with our operations, culture, management objectives, controls and evaluation criteria before assuming management responsibility. We provide our managers and hourly employees with ongoing training through various development courses taught through a blended learning approach, including a mix of hands-on, traditional classroom, written and cloud-based training. Each store is equipped with dedicated training computers and cloud-based proprietary eLearning instruction programs. Additionally, each store typically has an employee training coordinator who oversees the training of the store’s hourly employees.</w:t>
      </w:r>
    </w:p>
    <w:p>
      <w:pPr>
        <w:spacing w:after="0" w:line="200"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u w:val="single" w:color="auto"/>
          <w:color w:val="auto"/>
        </w:rPr>
        <w:t>Purchasing and Distribution</w:t>
      </w:r>
      <w:r>
        <w:rPr>
          <w:rFonts w:ascii="Arial" w:cs="Arial" w:eastAsia="Arial" w:hAnsi="Arial"/>
          <w:sz w:val="18"/>
          <w:szCs w:val="18"/>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Kendalville, Indiana; and Ft. Mill, South Carolina. We purchase the majority of our food products and restaurant supplies on a cost</w:t>
      </w:r>
      <w:r>
        <w:rPr>
          <w:rFonts w:ascii="MS PGothic" w:cs="MS PGothic" w:eastAsia="MS PGothic" w:hAnsi="MS PGothic"/>
          <w:sz w:val="18"/>
          <w:szCs w:val="18"/>
          <w:color w:val="auto"/>
        </w:rPr>
        <w:t>‑</w:t>
      </w:r>
      <w:r>
        <w:rPr>
          <w:rFonts w:ascii="Arial" w:cs="Arial" w:eastAsia="Arial" w:hAnsi="Arial"/>
          <w:sz w:val="18"/>
          <w:szCs w:val="18"/>
          <w:color w:val="auto"/>
        </w:rPr>
        <w:t>plus basis through this unaffiliated distributor. The distributor is responsible for placing food orders, warehousing and delivering food products to our stores. Deliveries are generally made once per week to individual stores.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2015:</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20" w:type="dxa"/>
            <w:vAlign w:val="bottom"/>
            <w:gridSpan w:val="2"/>
          </w:tcPr>
          <w:p>
            <w:pPr>
              <w:jc w:val="center"/>
              <w:ind w:left="3310"/>
              <w:spacing w:after="0"/>
              <w:rPr>
                <w:sz w:val="20"/>
                <w:szCs w:val="20"/>
                <w:color w:val="auto"/>
              </w:rPr>
            </w:pPr>
            <w:r>
              <w:rPr>
                <w:rFonts w:ascii="Arial" w:cs="Arial" w:eastAsia="Arial" w:hAnsi="Arial"/>
                <w:sz w:val="18"/>
                <w:szCs w:val="18"/>
                <w:color w:val="auto"/>
                <w:w w:val="87"/>
              </w:rPr>
              <w:t>Percentage of</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20" w:type="dxa"/>
            <w:vAlign w:val="bottom"/>
            <w:gridSpan w:val="2"/>
          </w:tcPr>
          <w:p>
            <w:pPr>
              <w:jc w:val="center"/>
              <w:ind w:left="3310"/>
              <w:spacing w:after="0"/>
              <w:rPr>
                <w:sz w:val="20"/>
                <w:szCs w:val="20"/>
                <w:color w:val="auto"/>
              </w:rPr>
            </w:pPr>
            <w:r>
              <w:rPr>
                <w:rFonts w:ascii="Arial" w:cs="Arial" w:eastAsia="Arial" w:hAnsi="Arial"/>
                <w:sz w:val="18"/>
                <w:szCs w:val="18"/>
                <w:color w:val="auto"/>
                <w:w w:val="86"/>
              </w:rPr>
              <w:t>Food Purchases</w:t>
            </w:r>
          </w:p>
        </w:tc>
      </w:tr>
      <w:tr>
        <w:trPr>
          <w:trHeight w:val="237"/>
        </w:trPr>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left="3530"/>
              <w:spacing w:after="0"/>
              <w:rPr>
                <w:sz w:val="20"/>
                <w:szCs w:val="20"/>
                <w:color w:val="auto"/>
              </w:rPr>
            </w:pPr>
            <w:r>
              <w:rPr>
                <w:rFonts w:ascii="Arial" w:cs="Arial" w:eastAsia="Arial" w:hAnsi="Arial"/>
                <w:sz w:val="18"/>
                <w:szCs w:val="18"/>
                <w:color w:val="auto"/>
                <w:w w:val="91"/>
              </w:rPr>
              <w:t>in 2015</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5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Dairy (including eggs)</w:t>
            </w:r>
          </w:p>
        </w:tc>
        <w:tc>
          <w:tcPr>
            <w:tcW w:w="50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5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Pork</w:t>
            </w:r>
          </w:p>
        </w:tc>
        <w:tc>
          <w:tcPr>
            <w:tcW w:w="5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Poultry</w:t>
            </w:r>
          </w:p>
        </w:tc>
        <w:tc>
          <w:tcPr>
            <w:tcW w:w="5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categories includes several individual items. The single food item within these categories that accounted for the largest share of our food purchasing expense in 2015 was chicken tenderloin at approximately 5% of total food purchases. Dairy, fruits and vegetables are purchased through numerous vendors, including local vendors. Eggs are purchased through four vendors. We purchase our pork through seven vendors and we purchase our beef and poultry each through eight vendors. Should any food items from a particular vendor become unavailable, we generally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purchase the majority of our retail items (approximately 80% in 2015) directly from domestic and international vendors and warehouse, or crossdock, them at our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individual stores. Approximately one-third of our 2015 retail items were purchased directly from vendors in the People’s Republic of China and, in 2014, we began making retail purchases from vendors in India, Thailand, the Philippines and Vietnam. We have relationships with several foreign buying agencies to source product, monitor quality control and supplement product development.</w:t>
      </w:r>
    </w:p>
    <w:p>
      <w:pPr>
        <w:spacing w:after="0" w:line="2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auto"/>
        </w:rPr>
        <w:t>Operational and Inventory Controls</w:t>
      </w:r>
      <w:r>
        <w:rPr>
          <w:rFonts w:ascii="Arial" w:cs="Arial" w:eastAsia="Arial" w:hAnsi="Arial"/>
          <w:sz w:val="17"/>
          <w:szCs w:val="17"/>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in a way that evokes memories of the past.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regional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internet and interactive voice response systems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u w:val="single" w:color="auto"/>
          <w:color w:val="auto"/>
        </w:rPr>
        <w:t>Marketing</w:t>
      </w:r>
      <w:r>
        <w:rPr>
          <w:rFonts w:ascii="Arial" w:cs="Arial" w:eastAsia="Arial" w:hAnsi="Arial"/>
          <w:sz w:val="16"/>
          <w:szCs w:val="16"/>
          <w:color w:val="auto"/>
        </w:rPr>
        <w:t>: We employ multiple mediums to reach and engage our guests. Outdoor advertising (i.e., billboards and state department of transportation signs) is the largest advertising vehicle we use to reach our traveling and local guests. In 2015, we had over 1,700 billboards and this expenditure accounted for 42% of our total advertising spend. Outdoor advertising is also expected to represent approximately 41% of advertising expenditures in 2016. We believe we are among the top billboard advertisers in the restaurant industry. Our use of non-billboard media has increased in recent years as we look to build market awareness for local occasions. This increased support has utilized broadcast television, national cable and digital support. In 2015, we ran media in our first, second and fourth quarters. In 2016, we anticipate adding similar media to our third quarter. We continue to increase our efforts in the digital space to drive preference and engagement with the brand. We now have properties on multiple social media sites, including a customer relationship management program, an e-commerce platform and our brand site. Our exclusive music program drives awareness for the brand and builds cultural relevance and affinity with our guests. We continue to have multiple releases each year with specific promotional support for each release. In 2016, we plan to spend approximately 2.6% of our revenues on advertising compared to 2.4% of revenues in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STORE DEVELOPMENT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opened six new stores in 2015. We plan to open seven or eight new stores during 2016. As of September 21, 2015, approximately 83% of our stores are located along interstate highways. Our remaining stores are located off-interstate or near tourist destinations. We believe we should pursue development of both interstate locations and off-interstate locations to capitalize on the strength of our brand associated with travelers on the interstate highway system and by locating in certain local markets where our guests live and work including locations outside of our existing core markets and in states where we currently do not operate.</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 637 stores open as of September 21, 2015, we own the land and buildings for 417, while the other 220 properties are either ground leases or ground and building leases. Land costs for stores opened during 2015 averaged $1,415 per site if owned. Building, site improvement, furniture, equipment and related development costs for stores opened during 2015 averaged $3,062. Pre-opening costs averaged $380 per store in 2015.</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store prototype is approximately 9,000 square feet, including approximately 2,100 square feet of retail selling space, and has dining room seating for 177 guests. Our capital investment in new stores may differ in the future due to changes in our store prototype, building design specifications, site location and site characteristics.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As of July 31, 2015, we employed approximately 72,000 people, of whom 461 were in advisory and supervisory capacities, 3,712 were in-store management positions and 34 were officers. Many store personnel are employed on a part</w:t>
      </w:r>
      <w:r>
        <w:rPr>
          <w:rFonts w:ascii="MS PGothic" w:cs="MS PGothic" w:eastAsia="MS PGothic" w:hAnsi="MS PGothic"/>
          <w:sz w:val="18"/>
          <w:szCs w:val="18"/>
          <w:color w:val="auto"/>
        </w:rPr>
        <w:t>‑</w:t>
      </w:r>
      <w:r>
        <w:rPr>
          <w:rFonts w:ascii="Arial" w:cs="Arial" w:eastAsia="Arial" w:hAnsi="Arial"/>
          <w:sz w:val="18"/>
          <w:szCs w:val="18"/>
          <w:color w:val="auto"/>
        </w:rPr>
        <w:t>time basis. None of our employees is represented by any union, and management considers its employee relations to be good.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We expect competition to continue in all of these areas, which could cause consumers to choose less expensive alternatives.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 service menu and a large variety of nostalgic and unique retail items. For further information regarding competition, see Item 1A. Risk Factors.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Essential restaurant supplies and raw materials are generally available from several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such disruptions should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research and development is important to us, these expenditures have not been material due to the nature of the restaurant and retail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Historically, our revenue and profits have been lower in the first and third fiscal quarters and higher in the second and fourth fiscal quarters. We attribute these variations primarily to the Christmas holiday shopping season and the summer vacation and travel season. Our gift shop sales, which are made substantially to our restaurant guests, historically have been highest in our second quarter, which includes the Christmas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Discretionary consumer spending, which is critical to our success, is influenced by general economic conditions and the availability of discretionary income. Global economic factors and a weak economic recovery have reduced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revolving credit facility and our derivative and other contracts, increasing the cost of goods to us, and other adverse consequences which we are unable to fully anticipate.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remain static in 2016, or thereafter, in which case we could experience declines in revenues and profits, and could face capital and liquidity constraints or other business challenges.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and we face many well-established competitors. We compete within each market with national and regional restaurant and retail chains and locally-owned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and availability of food, ingredients, retail merchandise and utilities used by our stores could adversely affect our revenues and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utilities and other related costs over which we have limited control. Fluctuations in economic conditions, weather, demand and other factors affect the availability, quality and cost of the ingredients and products that we buy. Some climatologists predict that the long-term effects of climate change may result in more severe, volatile weather, which could result in greater volatility in product supply and price. Furthermore, many of the products that we use and their costs are interrelated. The increased global demand for corn, wheat and dairy products has increased feed costs for poultry and livestock. The effect of, introduction of, or changes to tariffs or exchange rates on imported retail products or food products could increase our costs and possibly affect the supply of those products. In addition, food safety concerns, widespread outbreaks of livestock and poultry diseases, such as, among other things, the Avian Flu, and product recalls, all of which are out of our control, and, in many instances, unpredictable, could also increase our costs and possibly affect the supply of livestock and poultry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had, and expect to continue to have, priorities and initiatives in various stages of testing, evaluation and implementation, upon which we expect to rely to improve our results of operations and financial condition. These priorities and initiatives include, but are not limited to, the introduction of tiered menu pricing, evolving our marketing messaging to support the brand, improving the quality and breadth of retail assortments, re-engineering store processes to reduce costs and improve store margins, applying technology to improve the employee and guest experience, expanding our store footprint, including the launch of a new fast casual concept, and extending the brand beyond our existing stores.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attracting and retaining qualified employees while also controlling labor costs.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currency exchange rates;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control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import/export restrictions and 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political and economic instability;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 and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trade barriers and other trade restrictions by the U.S. government on products or components shipped from foreign sources.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risks are heightened because of our single retail distribution facility and our potential inability or failure to execute on a comprehensive business continuity plan following a major disaster at or near our corporate facility could adversely affect our business</w:t>
      </w:r>
      <w:r>
        <w:rPr>
          <w:rFonts w:ascii="Arial" w:cs="Arial" w:eastAsia="Arial" w:hAnsi="Arial"/>
          <w:sz w:val="17"/>
          <w:szCs w:val="17"/>
          <w:color w:val="auto"/>
        </w:rPr>
        <w:t>.</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retail inventory levels and changes in merchandise mix may adversely affect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cash flows from operations and our financial condition.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disruption in our information technology, network infrastructure and telecommunication systems could adversely affect our business and results of operations.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capital structure contains substantial indebtedness, which may decrease our flexibility, increase our borrowing costs and adversely affect our liquidity. In addition, we cannot provide any guaranty of future cash dividend payments or that we will be able to actively repurchase our common stock pursuant to a share repurchase program.</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revolving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make scheduled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our ongoing results of operations.</w:t>
      </w: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recent years, we have increased the quarterly cash dividends on our common stock and, in 2015, we also declared a special dividend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dividend. Furthermore, there can be no assurance that we will be able to actively repurchase our common stock and we may discontinue plans to repurchase common stock at any time.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our evolving marketing strategy involves increased advertising and marketing costs that could adversely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as we continue to build stores away from our traditional interstate locations and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systems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prohibit others from obtaining improper access to this information. If we fail to comply with the laws and regulations regarding privacy and security or experience a security breach, we could be exposed to risks of data loss, fines, a loss of the ability to process credit and debit card payments, litigation and serious disruption of our operations. Additionally, any resulting negative publicity could significantly harm our reputation.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15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The recession and current economic condition have reduced commercial development activity and has limited the availability of attractive sites for new stores. New stores typically experience an adjustment period before sales levels and operating margins normalize, and even sales at successful newly-opened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appropriately train employees and staff the stores; consumer acceptance of our stores in new markets;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Historically, our highest sales and profits have occurred during the second and fourth quarters, which include the Christmas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1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use of third party technologies has increased and if we are unable to maintain our rights to these technologies our business may be harmed.</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business processes are currently outsourced to third parties. Such processes include distribution of food and retail products to our store locations,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9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a limited number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significant adverse effect on our revenues and results of operations as well as the carrying value of our individual locations.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industry is subject to extensive federal, state and local laws and regulations, including those relating to food safety, minimum wage and other labor issues including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Increases in the federal minimum wage, including recent proposals to increase the federal minimum wage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March 2010, the Patient Protection and Affordable Care Act and the Health Care and Education Affordability Reconciliation Act of 2010 was enacted and, in June 2012, the U.S. Supreme Court upheld the constitutionality of the law except for certain parts related to the expansion of Medicaid. Although we cannot predict with certainty the financial and operational impacts the law will have on us, such changes could affect our business, financial condition and results of operations. The law requires restaurant companies such as ours to disclose calorie information on their menus. We do not expect to incur any material costs from compliance with this provision of the law, but cannot anticipate the changes in guest behavior that could result from the implementation of this provision, which could have an adverse effect on our sales or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also has been increasing focus by U.S. and overseas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where “cap and trade” initiatives could effectively impose a tax on carbon emissions.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retain senior management or other key personnel or to attract key personnel, our succession planning and operations could be materially and adversely affected. We must continue to recruit, retain and motivate management and other employees sufficient to maintain our current business and support our projected growth. A loss of key employees or a significant shortage of high quality store employees could jeopardize our ability to meet our business goals.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insurance coverage is structured to include deductibles, self-insured retentions, limits of liability, stop loss limits and similar provisions that we believe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is not static – it changes periodically as a result of many factors, including those discussed above and:</w:t>
      </w: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and decreases in average weekly sales, restaurant and retail sales and restaurant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into new markets;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of long-lived assets and any loss on store closures.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that event, the price of our securities could fluctuate dramatically over time or could decrease generally.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5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the United States generally accepted accounting principles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financial reporting complies with GAAP, and GAAP is subject to change over time. If new rules or interpretations of existing rules require us to change our financial reporting (including the proposed lease accounting changes and the adoption of international financial reporting standards in the United States), our reported results of operations and financial condition could be affected substantially, including requirements to restate historical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Lion Fund II, L.P., an affiliate of Biglari Holdings Inc. (“BH”), the owner of Steak N Shake and Western Sizzlin’ restaurants, is currently the beneficial owner of approximately 19.9% of our outstanding common stock. In the past, BH and its affiliates have nominated candidates for election to our board of directors at our annual meetings of shareholders, resulting in proxy contests, and called publicly for special meetings of shareholders to consider other proposals. While BH and its affiliates have not nominated director candidates for election at our 2015 Annual Meeting of Shareholders, the actions of BH and its affiliates or another activist shareholder in the future could adversely affect our business because:</w:t>
      </w:r>
    </w:p>
    <w:p>
      <w:pPr>
        <w:spacing w:after="0" w:line="200" w:lineRule="exact"/>
        <w:rPr>
          <w:sz w:val="20"/>
          <w:szCs w:val="20"/>
          <w:color w:val="auto"/>
        </w:rPr>
      </w:pPr>
    </w:p>
    <w:p>
      <w:pPr>
        <w:ind w:left="340" w:right="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to public proposals, special meeting requests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pursuit of an activist shareholder’s agenda may adversely affect our ability to effectively implement our business strategy and create additional value for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the Company.</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is currently scheduled to expire on April 9, 2018, but would expire promptly following the 2015 Annual Meeting of Shareholders if the shareholder rights plan is not approved by our shareholders.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office headquarters and warehouse facilities are located on approximately 90 acres of land owned by the Company in Lebanon, Tennessee. We utilize approximately 245,000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various corporate facilities, we have five owned properties for future development, a motel used for housing management trainees and for the general public, and five parcels of excess real property and improvements that we intend to sell.</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properties mentioned above, we own or lease the following store properties as of September 21, 2015:</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Owned</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Leased</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Owned</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Leased</w:t>
            </w:r>
          </w:p>
        </w:tc>
        <w:tc>
          <w:tcPr>
            <w:tcW w:w="120" w:type="dxa"/>
            <w:vAlign w:val="bottom"/>
          </w:tcPr>
          <w:p>
            <w:pPr>
              <w:spacing w:after="0"/>
              <w:rPr>
                <w:sz w:val="20"/>
                <w:szCs w:val="20"/>
                <w:color w:val="auto"/>
              </w:rPr>
            </w:pPr>
          </w:p>
        </w:tc>
      </w:tr>
      <w:tr>
        <w:trPr>
          <w:trHeight w:val="216"/>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Tennessee</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Maryland</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Florida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Oklahoma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New Jersey</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Georgia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Wisconsin</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Colorado</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Kentucky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Kansas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Massachusetts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Ohio</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New Mexico</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Utah</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Indiana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Iowa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Connecticut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Pennsylvania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Idaho</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Montana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Missouri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Nebraska</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Delaware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Arizona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Maine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Minnesota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Arkansas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New Hampshire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North Dakota</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West Virginia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Rhode Island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2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New York</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South Dakota</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0" w:type="dxa"/>
            <w:vAlign w:val="bottom"/>
            <w:gridSpan w:val="2"/>
          </w:tcPr>
          <w:p>
            <w:pPr>
              <w:ind w:left="102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r>
      <w:tr>
        <w:trPr>
          <w:trHeight w:val="21"/>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FLSA Litigation</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On April 11, 2014, a putative collective action under the Fair Labor Standards Act (“FLSA”) was filed in the United States District Court for the Northern District of New York, </w:t>
      </w:r>
      <w:r>
        <w:rPr>
          <w:rFonts w:ascii="Arial" w:cs="Arial" w:eastAsia="Arial" w:hAnsi="Arial"/>
          <w:sz w:val="17"/>
          <w:szCs w:val="17"/>
          <w:i w:val="1"/>
          <w:iCs w:val="1"/>
          <w:color w:val="auto"/>
        </w:rPr>
        <w:t>Proper v. Cracker Barrel Old Country Store, Inc.</w:t>
      </w:r>
      <w:r>
        <w:rPr>
          <w:rFonts w:ascii="Arial" w:cs="Arial" w:eastAsia="Arial" w:hAnsi="Arial"/>
          <w:sz w:val="17"/>
          <w:szCs w:val="17"/>
          <w:color w:val="auto"/>
        </w:rPr>
        <w:t xml:space="preserve">, in which the named plaintiffs are challenging the Company’s classification of associate managers as being exempt from the minimum wage and overtime requirements and is asserting various New York state law wage notice claims. Two other putative collective action suits alleging claims under the FLSA, </w:t>
      </w:r>
      <w:r>
        <w:rPr>
          <w:rFonts w:ascii="Arial" w:cs="Arial" w:eastAsia="Arial" w:hAnsi="Arial"/>
          <w:sz w:val="17"/>
          <w:szCs w:val="17"/>
          <w:i w:val="1"/>
          <w:iCs w:val="1"/>
          <w:color w:val="auto"/>
        </w:rPr>
        <w:t>Hill and Hernandez v. Cracker Barrel</w:t>
      </w:r>
      <w:r>
        <w:rPr>
          <w:rFonts w:ascii="Arial" w:cs="Arial" w:eastAsia="Arial" w:hAnsi="Arial"/>
          <w:sz w:val="17"/>
          <w:szCs w:val="17"/>
          <w:color w:val="auto"/>
        </w:rPr>
        <w:t xml:space="preserve"> and </w:t>
      </w:r>
      <w:r>
        <w:rPr>
          <w:rFonts w:ascii="Arial" w:cs="Arial" w:eastAsia="Arial" w:hAnsi="Arial"/>
          <w:sz w:val="17"/>
          <w:szCs w:val="17"/>
          <w:i w:val="1"/>
          <w:iCs w:val="1"/>
          <w:color w:val="auto"/>
        </w:rPr>
        <w:t>Perzan et al. v. Cracker Barrel</w:t>
      </w:r>
      <w:r>
        <w:rPr>
          <w:rFonts w:ascii="Arial" w:cs="Arial" w:eastAsia="Arial" w:hAnsi="Arial"/>
          <w:sz w:val="17"/>
          <w:szCs w:val="17"/>
          <w:color w:val="auto"/>
        </w:rPr>
        <w:t>, were filed in the United States District Courts for the Middle District of Florida in August 2014 and for the District of Massachusetts in September 2014, respectively. These lawsuits asserted essentially duplicative claims under select state laws challenging the same exempt classification of associate managers. The plaintiffs sought an unspecified amount of alleged back wages, liquidated damages, and attorneys' fees. Although we continue to believe that our associate managers are and have been properly classified as exempt employees under FLSA and have therefore aggressively challenged the plaintiffs’ claims in these lawsuits, in light of the potential cost and uncertainty involved in these lawsuits, in March 2015, we entered into a memorandum of understanding (the “MOU”) with respect to a settlement with plaintiffs’ counsel to resolve the series of lawsuits. Per the MOU, all three of these federal lawsuits were dismissed and a consolidated lawsuit was filed in Broward County, Florida Circuit Court with respect to the underlying claims. In May 2015, the parties executed the settlement agreement based on the MOU, and the settlement agreement was approved by the Florida court on July 31, 2015. Consistent with the terms of the MOU and the court-approved agreement, the parties will distribute notice to potential claimants and process submitted claims through a settlement administrator. The Company has recorded a provision of approximately $3,500 at July 31, 2015 related to these lawsuits. With the exception of this provision relating to these lawsuits recorded at July 31, 2015, no other provision for any potential liability has been made in the consolidated financial statements of the Company related to these proceedings.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matter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193"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Pursuant to Instruction 3 to Item 401(b) of Regulation S</w:t>
      </w:r>
      <w:r>
        <w:rPr>
          <w:rFonts w:ascii="MS PGothic" w:cs="MS PGothic" w:eastAsia="MS PGothic" w:hAnsi="MS PGothic"/>
          <w:sz w:val="18"/>
          <w:szCs w:val="18"/>
          <w:color w:val="auto"/>
        </w:rPr>
        <w:t>‑</w:t>
      </w:r>
      <w:r>
        <w:rPr>
          <w:rFonts w:ascii="Arial" w:cs="Arial" w:eastAsia="Arial" w:hAnsi="Arial"/>
          <w:sz w:val="18"/>
          <w:szCs w:val="18"/>
          <w:color w:val="auto"/>
        </w:rPr>
        <w:t>K and General Instruction G(3) to Form 10</w:t>
      </w:r>
      <w:r>
        <w:rPr>
          <w:rFonts w:ascii="MS PGothic" w:cs="MS PGothic" w:eastAsia="MS PGothic" w:hAnsi="MS PGothic"/>
          <w:sz w:val="18"/>
          <w:szCs w:val="18"/>
          <w:color w:val="auto"/>
        </w:rPr>
        <w:t>‑</w:t>
      </w:r>
      <w:r>
        <w:rPr>
          <w:rFonts w:ascii="Arial" w:cs="Arial" w:eastAsia="Arial" w:hAnsi="Arial"/>
          <w:sz w:val="18"/>
          <w:szCs w:val="18"/>
          <w:color w:val="auto"/>
        </w:rPr>
        <w:t>K, the following information is included in Part 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sz w:val="20"/>
                <w:szCs w:val="20"/>
                <w:color w:val="auto"/>
              </w:rPr>
            </w:pPr>
            <w:r>
              <w:rPr>
                <w:rFonts w:ascii="Arial" w:cs="Arial" w:eastAsia="Arial" w:hAnsi="Arial"/>
                <w:sz w:val="18"/>
                <w:szCs w:val="18"/>
                <w:color w:val="auto"/>
              </w:rPr>
              <w:t>Name</w:t>
            </w:r>
          </w:p>
        </w:tc>
        <w:tc>
          <w:tcPr>
            <w:tcW w:w="7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Age</w:t>
            </w:r>
          </w:p>
        </w:tc>
        <w:tc>
          <w:tcPr>
            <w:tcW w:w="7420" w:type="dxa"/>
            <w:vAlign w:val="bottom"/>
            <w:gridSpan w:val="2"/>
          </w:tcPr>
          <w:p>
            <w:pPr>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5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E. Hyatt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Beverly K. Carmichael</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People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 Ciavarra</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Greene</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Strategic Initiatives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 Wilson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Zylstra</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4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ind w:left="1640"/>
              <w:spacing w:after="0"/>
              <w:rPr>
                <w:sz w:val="20"/>
                <w:szCs w:val="20"/>
                <w:color w:val="auto"/>
              </w:rPr>
            </w:pPr>
            <w:r>
              <w:rPr>
                <w:rFonts w:ascii="Arial" w:cs="Arial" w:eastAsia="Arial" w:hAnsi="Arial"/>
                <w:sz w:val="14"/>
                <w:szCs w:val="14"/>
                <w:color w:val="auto"/>
              </w:rPr>
              <w:t>24</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5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Ms. Cochran has been employed with us in various capacities since 2009. Ms. Cochran served as our Executive Vice President and Chief Financial Officer from April 2009 to November 2010, and as President and Chief Operating Officer from November 2010 until September 2011 when she assumed her current position. In September 2011, she also became a member of our Board of Directors. Prior to March 2009, she was the Chief Executive Officer of Books-A-Million, Inc. Ms. Cochran has 22 years of experience in the retail industry and six years of experience in the restaurant industry.</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Mr. Hyatt has been employed with us as Senior Vice President and Chief Financial Officer since January 2011. Prior to January 2011, he was the Chief Financial Officer and Treasurer of O’Charley’s Inc., having assumed that role in 2004. He also served as Interim President and Chief Executive Officer of O’Charley’s Inc. from February 2009 through June 2009. Mr. Hyatt has 13 years of experience in the restaurant industry, seven years of experience in the retail industry and over 20 years of experience as Chief Financial Officer with various organizations. On September 15, 2015, Mr. Hyatt announced his plans to retire from his current position by the end of the 2016 fiscal year following the appointment of his successor.</w:t>
      </w:r>
    </w:p>
    <w:p>
      <w:pPr>
        <w:spacing w:after="0" w:line="20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Ms. Carmichael has been employed with us in her current capacity since January 2014. She most recently was with Frisco, Texas-based Star HR LLC, a human resource consulting firm, which she founded in 2010 and served as President. From 2009 to 2011, she served as an adjunct professor and advisor in the masters of business administration program in the Price College of Business for the University of Oklahoma. Ms. Carmichael was Executive Vice President Human Resources and Chief People Officer of Ticketmaster from 2006 to 2009. She has over 20 years of human resource leadership experience.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Ciavarra has been employed with us since 2008. Mr. Ciavarra served as Vice President, Brand and Menu Strategy from 2008 until 2010 when he assumed his current position. Prior to 2008, he was the Director of Marketing for Aramark Corporation from 2005 to 2008. Mr. Ciavarra has over 15 years of experience in the restaurant industry and over ten years of experience in the retail industry.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Daily has been employed with us as Senior Vice President, Retail since May 2012. Prior to May 2012, she served as Vice President for Ballard Designs, an Internet and catalog home furnishings retailer that is part of HSN, Inc., where she was in charge of all merchandising and trends for the company. She has over 22 years of experience as a merchant with a number of retail organizations.</w:t>
      </w:r>
    </w:p>
    <w:p>
      <w:pPr>
        <w:spacing w:after="0" w:line="20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Mr. Flanagan has been employed with us since 2004. From 2004 to 2010, he served in various capacities including Vice President of Restaurant Operations. He assumed his current position in November 2010. Mr. Flanagan has over 26 years of experience in the restaurant industry.</w:t>
      </w:r>
    </w:p>
    <w:p>
      <w:pPr>
        <w:spacing w:after="0" w:line="17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Mr. Greene has been employed with us in his current capacity since October 2005. Mr. Greene has over 37 years of combined experience in the restaurant and food processing industries. In January 2015, Mr. Greene announced his plans to retire from his current position effective on or about November 2, 2015.</w:t>
      </w:r>
    </w:p>
    <w:p>
      <w:pPr>
        <w:spacing w:after="0" w:line="15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Mr. Wilson has been employed with us since 2007 in various capacities including Vice President, Operations Analysis. He assumed his current position in June 2015. Mr. Wilson has 18 years of experience in the restaurant industry and four years of experience in the retail industry.</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Zylstra has been employed with us in various capacities since 1992. He assumed his present position in January 2012 after serving as Vice President, Associate General Counsel and Assistant Corporate Secretary since 1999. Mr. Zylstra has 24 years of experience in the restaurant and retail industries, all with Cracker Barrel Old Country Store,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ITEM 5.</w:t>
        <w:tab/>
        <w:t>MARKET FOR REGISTRANT'S COMMON EQUITY, RELATED STOCKHOLDER MATTERS AND ISSUER PURCHASES OF EQUITY SECURITIES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8,095 shareholders of record as of September 21,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indicates the high and low sales prices of our common stock, as reported by Nasdaq, and dividends declared and paid for the quarters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1"/>
              </w:rPr>
              <w:t>Fiscal Year 2015</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0"/>
              </w:rPr>
              <w:t>Fiscal Year 2014</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Prices</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3"/>
              </w:rPr>
              <w:t>Dividends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Prices</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Dividends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4"/>
              </w:rPr>
              <w:t>Declared</w:t>
            </w:r>
          </w:p>
        </w:tc>
        <w:tc>
          <w:tcPr>
            <w:tcW w:w="3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Paid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High</w:t>
            </w:r>
          </w:p>
        </w:tc>
        <w:tc>
          <w:tcPr>
            <w:tcW w:w="3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88"/>
              </w:rPr>
              <w:t>Declared</w:t>
            </w:r>
          </w:p>
        </w:tc>
        <w:tc>
          <w:tcPr>
            <w:tcW w:w="300" w:type="dxa"/>
            <w:vAlign w:val="bottom"/>
          </w:tcPr>
          <w:p>
            <w:pPr>
              <w:spacing w:after="0"/>
              <w:rPr>
                <w:sz w:val="19"/>
                <w:szCs w:val="19"/>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Paid</w:t>
            </w: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96.50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Second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142.49</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114.94</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118.63</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96.41</w:t>
            </w: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162.33</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131.21</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92.84</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0.75</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Consolidated Financial Statements with respect to dividend restrictions.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2015 Proxy Statement, incorporated by reference in Part III, Item 12 of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3, 2014, our Board of Directors approved the repurchase of up to $25,000 of our common stock, with such authorization to expire on October 3, 2015 to the extent it remains unused. We did not repurchase any of our common stock in the fourth quarter ended July 31, 2015. On September 25, 2015, our Board of Directors extended this repurchase authorization for an additional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3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240" w:type="dxa"/>
            <w:vAlign w:val="bottom"/>
            <w:gridSpan w:val="3"/>
          </w:tcPr>
          <w:p>
            <w:pPr>
              <w:spacing w:after="0"/>
              <w:rPr>
                <w:sz w:val="20"/>
                <w:szCs w:val="20"/>
                <w:color w:val="auto"/>
              </w:rPr>
            </w:pPr>
            <w:r>
              <w:rPr>
                <w:rFonts w:ascii="Arial" w:cs="Arial" w:eastAsia="Arial" w:hAnsi="Arial"/>
                <w:sz w:val="18"/>
                <w:szCs w:val="18"/>
                <w:color w:val="auto"/>
              </w:rPr>
              <w:t>ITEM 6.  SELECTED FINANCIAL DATA</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gridSpan w:val="9"/>
          </w:tcPr>
          <w:p>
            <w:pPr>
              <w:jc w:val="center"/>
              <w:ind w:left="811"/>
              <w:spacing w:after="0"/>
              <w:rPr>
                <w:sz w:val="20"/>
                <w:szCs w:val="20"/>
                <w:color w:val="auto"/>
              </w:rPr>
            </w:pPr>
            <w:r>
              <w:rPr>
                <w:rFonts w:ascii="Arial" w:cs="Arial" w:eastAsia="Arial" w:hAnsi="Arial"/>
                <w:sz w:val="18"/>
                <w:szCs w:val="18"/>
                <w:i w:val="1"/>
                <w:iCs w:val="1"/>
                <w:color w:val="auto"/>
                <w:w w:val="89"/>
              </w:rPr>
              <w:t>(Dollars in thousands except percentages and share data)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6"/>
          </w:tcPr>
          <w:p>
            <w:pPr>
              <w:jc w:val="center"/>
              <w:ind w:right="390"/>
              <w:spacing w:after="0"/>
              <w:rPr>
                <w:sz w:val="20"/>
                <w:szCs w:val="20"/>
                <w:color w:val="auto"/>
              </w:rPr>
            </w:pPr>
            <w:r>
              <w:rPr>
                <w:rFonts w:ascii="Arial" w:cs="Arial" w:eastAsia="Arial" w:hAnsi="Arial"/>
                <w:sz w:val="18"/>
                <w:szCs w:val="18"/>
                <w:i w:val="1"/>
                <w:iCs w:val="1"/>
                <w:color w:val="auto"/>
                <w:w w:val="90"/>
              </w:rPr>
              <w:t>For each of the fiscal years ended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11"/>
              <w:spacing w:after="0"/>
              <w:rPr>
                <w:sz w:val="20"/>
                <w:szCs w:val="20"/>
                <w:color w:val="auto"/>
              </w:rPr>
            </w:pPr>
            <w:r>
              <w:rPr>
                <w:rFonts w:ascii="Arial" w:cs="Arial" w:eastAsia="Arial" w:hAnsi="Arial"/>
                <w:sz w:val="18"/>
                <w:szCs w:val="18"/>
                <w:b w:val="1"/>
                <w:bCs w:val="1"/>
                <w:color w:val="auto"/>
              </w:rPr>
              <w:t>July 31,</w:t>
            </w: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1,</w:t>
            </w:r>
          </w:p>
        </w:tc>
        <w:tc>
          <w:tcPr>
            <w:tcW w:w="160" w:type="dxa"/>
            <w:vAlign w:val="bottom"/>
          </w:tcPr>
          <w:p>
            <w:pPr>
              <w:spacing w:after="0"/>
              <w:rPr>
                <w:sz w:val="17"/>
                <w:szCs w:val="17"/>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7"/>
              </w:rPr>
              <w:t>August 2,</w:t>
            </w:r>
          </w:p>
        </w:tc>
        <w:tc>
          <w:tcPr>
            <w:tcW w:w="260" w:type="dxa"/>
            <w:vAlign w:val="bottom"/>
          </w:tcPr>
          <w:p>
            <w:pPr>
              <w:spacing w:after="0"/>
              <w:rPr>
                <w:sz w:val="17"/>
                <w:szCs w:val="17"/>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w w:val="87"/>
              </w:rPr>
              <w:t>August 3,</w:t>
            </w:r>
          </w:p>
        </w:tc>
        <w:tc>
          <w:tcPr>
            <w:tcW w:w="26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July 29,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451"/>
              <w:spacing w:after="0" w:line="245" w:lineRule="exact"/>
              <w:rPr>
                <w:sz w:val="20"/>
                <w:szCs w:val="20"/>
                <w:color w:val="auto"/>
              </w:rPr>
            </w:pPr>
            <w:r>
              <w:rPr>
                <w:rFonts w:ascii="Arial" w:cs="Arial" w:eastAsia="Arial" w:hAnsi="Arial"/>
                <w:sz w:val="17"/>
                <w:szCs w:val="17"/>
                <w:b w:val="1"/>
                <w:bCs w:val="1"/>
                <w:color w:val="auto"/>
                <w:w w:val="85"/>
              </w:rPr>
              <w:t>2015</w:t>
            </w:r>
            <w:r>
              <w:rPr>
                <w:rFonts w:ascii="Arial" w:cs="Arial" w:eastAsia="Arial" w:hAnsi="Arial"/>
                <w:sz w:val="28"/>
                <w:szCs w:val="28"/>
                <w:b w:val="1"/>
                <w:bCs w:val="1"/>
                <w:color w:val="auto"/>
                <w:w w:val="85"/>
                <w:vertAlign w:val="superscript"/>
              </w:rPr>
              <w:t>(a)</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450"/>
              <w:spacing w:after="0" w:line="245" w:lineRule="exact"/>
              <w:rPr>
                <w:sz w:val="20"/>
                <w:szCs w:val="20"/>
                <w:color w:val="auto"/>
              </w:rPr>
            </w:pPr>
            <w:r>
              <w:rPr>
                <w:rFonts w:ascii="Arial" w:cs="Arial" w:eastAsia="Arial" w:hAnsi="Arial"/>
                <w:sz w:val="17"/>
                <w:szCs w:val="17"/>
                <w:b w:val="1"/>
                <w:bCs w:val="1"/>
                <w:color w:val="auto"/>
                <w:w w:val="84"/>
              </w:rPr>
              <w:t>2014</w:t>
            </w:r>
            <w:r>
              <w:rPr>
                <w:rFonts w:ascii="Arial" w:cs="Arial" w:eastAsia="Arial" w:hAnsi="Arial"/>
                <w:sz w:val="28"/>
                <w:szCs w:val="28"/>
                <w:b w:val="1"/>
                <w:bCs w:val="1"/>
                <w:color w:val="auto"/>
                <w:w w:val="84"/>
                <w:vertAlign w:val="superscript"/>
              </w:rPr>
              <w:t>(b)</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center"/>
              <w:ind w:right="410"/>
              <w:spacing w:after="0" w:line="245" w:lineRule="exact"/>
              <w:rPr>
                <w:sz w:val="20"/>
                <w:szCs w:val="20"/>
                <w:color w:val="auto"/>
              </w:rPr>
            </w:pPr>
            <w:r>
              <w:rPr>
                <w:rFonts w:ascii="Arial" w:cs="Arial" w:eastAsia="Arial" w:hAnsi="Arial"/>
                <w:sz w:val="17"/>
                <w:szCs w:val="17"/>
                <w:b w:val="1"/>
                <w:bCs w:val="1"/>
                <w:color w:val="auto"/>
                <w:w w:val="85"/>
              </w:rPr>
              <w:t>2013</w:t>
            </w:r>
            <w:r>
              <w:rPr>
                <w:rFonts w:ascii="Arial" w:cs="Arial" w:eastAsia="Arial" w:hAnsi="Arial"/>
                <w:sz w:val="28"/>
                <w:szCs w:val="28"/>
                <w:b w:val="1"/>
                <w:bCs w:val="1"/>
                <w:color w:val="auto"/>
                <w:w w:val="85"/>
                <w:vertAlign w:val="superscript"/>
              </w:rPr>
              <w:t>(c)</w:t>
            </w:r>
          </w:p>
        </w:tc>
        <w:tc>
          <w:tcPr>
            <w:tcW w:w="260" w:type="dxa"/>
            <w:vAlign w:val="bottom"/>
          </w:tcPr>
          <w:p>
            <w:pPr>
              <w:spacing w:after="0"/>
              <w:rPr>
                <w:sz w:val="21"/>
                <w:szCs w:val="21"/>
                <w:color w:val="auto"/>
              </w:rPr>
            </w:pPr>
          </w:p>
        </w:tc>
        <w:tc>
          <w:tcPr>
            <w:tcW w:w="1140" w:type="dxa"/>
            <w:vAlign w:val="bottom"/>
          </w:tcPr>
          <w:p>
            <w:pPr>
              <w:jc w:val="right"/>
              <w:ind w:right="410"/>
              <w:spacing w:after="0" w:line="245" w:lineRule="exact"/>
              <w:rPr>
                <w:sz w:val="20"/>
                <w:szCs w:val="20"/>
                <w:color w:val="auto"/>
              </w:rPr>
            </w:pPr>
            <w:r>
              <w:rPr>
                <w:rFonts w:ascii="Arial" w:cs="Arial" w:eastAsia="Arial" w:hAnsi="Arial"/>
                <w:sz w:val="17"/>
                <w:szCs w:val="17"/>
                <w:b w:val="1"/>
                <w:bCs w:val="1"/>
                <w:color w:val="auto"/>
              </w:rPr>
              <w:t>2012</w:t>
            </w:r>
            <w:r>
              <w:rPr>
                <w:rFonts w:ascii="Arial" w:cs="Arial" w:eastAsia="Arial" w:hAnsi="Arial"/>
                <w:sz w:val="28"/>
                <w:szCs w:val="28"/>
                <w:b w:val="1"/>
                <w:bCs w:val="1"/>
                <w:color w:val="auto"/>
                <w:vertAlign w:val="superscript"/>
              </w:rPr>
              <w:t>(d)</w:t>
            </w:r>
          </w:p>
        </w:tc>
        <w:tc>
          <w:tcPr>
            <w:tcW w:w="260" w:type="dxa"/>
            <w:vAlign w:val="bottom"/>
          </w:tcPr>
          <w:p>
            <w:pPr>
              <w:spacing w:after="0"/>
              <w:rPr>
                <w:sz w:val="21"/>
                <w:szCs w:val="21"/>
                <w:color w:val="auto"/>
              </w:rPr>
            </w:pPr>
          </w:p>
        </w:tc>
        <w:tc>
          <w:tcPr>
            <w:tcW w:w="1100" w:type="dxa"/>
            <w:vAlign w:val="bottom"/>
            <w:gridSpan w:val="2"/>
          </w:tcPr>
          <w:p>
            <w:pPr>
              <w:jc w:val="right"/>
              <w:ind w:right="480"/>
              <w:spacing w:after="0" w:line="245" w:lineRule="exact"/>
              <w:rPr>
                <w:sz w:val="20"/>
                <w:szCs w:val="20"/>
                <w:color w:val="auto"/>
              </w:rPr>
            </w:pPr>
            <w:r>
              <w:rPr>
                <w:rFonts w:ascii="Arial" w:cs="Arial" w:eastAsia="Arial" w:hAnsi="Arial"/>
                <w:sz w:val="17"/>
                <w:szCs w:val="17"/>
                <w:b w:val="1"/>
                <w:bCs w:val="1"/>
                <w:color w:val="auto"/>
                <w:w w:val="98"/>
              </w:rPr>
              <w:t>2011</w:t>
            </w:r>
            <w:r>
              <w:rPr>
                <w:rFonts w:ascii="Arial" w:cs="Arial" w:eastAsia="Arial" w:hAnsi="Arial"/>
                <w:sz w:val="28"/>
                <w:szCs w:val="28"/>
                <w:b w:val="1"/>
                <w:bCs w:val="1"/>
                <w:color w:val="auto"/>
                <w:w w:val="98"/>
                <w:vertAlign w:val="superscript"/>
              </w:rPr>
              <w:t>(e)</w:t>
            </w:r>
          </w:p>
        </w:tc>
        <w:tc>
          <w:tcPr>
            <w:tcW w:w="0" w:type="dxa"/>
            <w:vAlign w:val="bottom"/>
          </w:tcPr>
          <w:p>
            <w:pPr>
              <w:spacing w:after="0"/>
              <w:rPr>
                <w:sz w:val="1"/>
                <w:szCs w:val="1"/>
                <w:color w:val="auto"/>
              </w:rPr>
            </w:pPr>
          </w:p>
        </w:tc>
      </w:tr>
      <w:tr>
        <w:trPr>
          <w:trHeight w:val="216"/>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Selected Income Statement Data:</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2,842,284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2,683,677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2,644,630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2,580,195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163,903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132,128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117,265</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103,081</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4.95</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4.47</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Percent of Total Revenue: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w w:val="96"/>
              </w:rPr>
              <w:t>Cost of goods sold (exclusive of depreciation and rent)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Selected Balance Sheet Data:</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(14,789)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(13,873)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18,249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1,576,208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1,432,248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1,388,306</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1,418,992</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1,310,884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interest rate swap liability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20,215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375,000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525,036</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550,143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interest rate swap liability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11,644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14,166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133,594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123,221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120,073</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114,897</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538,268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528,641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484,026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382,675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Purchase of property and equipment, net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90,490</w:t>
            </w:r>
          </w:p>
        </w:tc>
        <w:tc>
          <w:tcPr>
            <w:tcW w:w="18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90,564</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73,961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80,170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repurchases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14,923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Other Data:</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Common shares outstanding at end of year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w w:val="90"/>
              </w:rPr>
              <w:t>23,975,755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0"/>
              </w:rPr>
              <w:t>23,821,227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23,795,327</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23,473,024</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22,840,974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open at end of year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Average Unit Volumes</w:t>
            </w:r>
            <w:r>
              <w:rPr>
                <w:rFonts w:ascii="Arial" w:cs="Arial" w:eastAsia="Arial" w:hAnsi="Arial"/>
                <w:sz w:val="25"/>
                <w:szCs w:val="25"/>
                <w:b w:val="1"/>
                <w:bCs w:val="1"/>
                <w:color w:val="auto"/>
                <w:vertAlign w:val="superscript"/>
              </w:rPr>
              <w:t>(f)</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Restaurant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3,581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3,415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3,390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3,369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869</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863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Comparable Store Sales</w:t>
            </w:r>
            <w:r>
              <w:rPr>
                <w:rFonts w:ascii="Arial" w:cs="Arial" w:eastAsia="Arial" w:hAnsi="Arial"/>
                <w:sz w:val="25"/>
                <w:szCs w:val="25"/>
                <w:b w:val="1"/>
                <w:bCs w:val="1"/>
                <w:color w:val="auto"/>
                <w:vertAlign w:val="superscript"/>
              </w:rPr>
              <w:t>(g)</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Period to period increase in comparable store sales: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Retail</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 Number of stores in comparable base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596</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5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 total provision of approximately $3,500, which is included in general and administrative expenses, to reflect the liability related to several claims filed as a putative collective action alleging violations of the Fair Labor Standards Act. See “Item 3. Legal Proceedings” of Part 1 of this Annual Report on Form 10-K for further information related to these claims. Our debt refinancing in the second quarter of fiscal 2015 resulted in additional interest expense of $412 related to the write-off of deferred financing costs.</w:t>
      </w:r>
    </w:p>
    <w:p>
      <w:pPr>
        <w:spacing w:after="0" w:line="2"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$4,313 in costs related to the November 2013 proxy contest and April 2014 special shareholders’ meeting, which are included in general and administrative expenses.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$4,111 in costs related to the November 2012 proxy contest, which are included in general and administrative expenses.</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Fiscal 2012 consisted of 53 weeks while all other periods presented consisted of 52 weeks. The estimated impact of the additional week was to increase consolidated fiscal 2012 results as follows: total revenue, $51,059; store operating income, 0.2% of total revenue; operating income, 0.2% of total revenue; net income, 0.2% of total revenue; and diluted net income per share, $0.27. As part of our restructuring of our field organization in April 2012, we incurred severance charges of $1,660, which are included in general and administrative expenses. We also incurred $5,203 in costs related to the December 2011 proxy contest, which are also included in general and administrative expenses.</w:t>
      </w:r>
    </w:p>
    <w:p>
      <w:pPr>
        <w:spacing w:after="0" w:line="1" w:lineRule="exact"/>
        <w:rPr>
          <w:rFonts w:ascii="Arial" w:cs="Arial" w:eastAsia="Arial" w:hAnsi="Arial"/>
          <w:sz w:val="17"/>
          <w:szCs w:val="17"/>
          <w:color w:val="auto"/>
        </w:rPr>
      </w:pPr>
    </w:p>
    <w:p>
      <w:pPr>
        <w:jc w:val="both"/>
        <w:ind w:left="34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impairment charges of $3,219 before taxes and pre-tax gains on store dispositions of $4,109. Our debt refinancing in the fourth quarter of fiscal 2011 resulted in additional interest expense of $5,136 related to transaction fees and the write-off of deferred financing costs. During the fourth quarter of fiscal 2011, as part of our cost reduction and organization streamlining initiative, we incurred severance charges of $1,768, which are included in general and administrative expenses. We also incurred $404 in costs related to the December 2011 proxy contest, which are also included in general and</w:t>
      </w:r>
    </w:p>
    <w:p>
      <w:pPr>
        <w:ind w:left="340"/>
        <w:spacing w:after="0"/>
        <w:rPr>
          <w:sz w:val="20"/>
          <w:szCs w:val="20"/>
          <w:color w:val="auto"/>
        </w:rPr>
      </w:pPr>
      <w:r>
        <w:rPr>
          <w:rFonts w:ascii="Arial" w:cs="Arial" w:eastAsia="Arial" w:hAnsi="Arial"/>
          <w:sz w:val="18"/>
          <w:szCs w:val="18"/>
          <w:color w:val="auto"/>
        </w:rPr>
        <w:t>administrative expenses.</w:t>
      </w:r>
    </w:p>
    <w:p>
      <w:pPr>
        <w:ind w:left="340" w:hanging="287"/>
        <w:spacing w:after="0" w:line="184" w:lineRule="auto"/>
        <w:tabs>
          <w:tab w:leader="none" w:pos="340" w:val="left"/>
        </w:tabs>
        <w:numPr>
          <w:ilvl w:val="1"/>
          <w:numId w:val="7"/>
        </w:numPr>
        <w:rPr>
          <w:rFonts w:ascii="Arial" w:cs="Arial" w:eastAsia="Arial" w:hAnsi="Arial"/>
          <w:sz w:val="16"/>
          <w:szCs w:val="16"/>
          <w:color w:val="auto"/>
        </w:rPr>
      </w:pPr>
      <w:r>
        <w:rPr>
          <w:rFonts w:ascii="Arial" w:cs="Arial" w:eastAsia="Arial" w:hAnsi="Arial"/>
          <w:sz w:val="16"/>
          <w:szCs w:val="16"/>
          <w:color w:val="auto"/>
        </w:rPr>
        <w:t>Average unit volumes include sales of all stores. Fiscal 2012 included a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while all other periods presented consisted of 52 weeks.</w:t>
      </w:r>
    </w:p>
    <w:p>
      <w:pPr>
        <w:ind w:left="340" w:right="2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also should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25" w:lineRule="exact"/>
        <w:rPr>
          <w:sz w:val="20"/>
          <w:szCs w:val="20"/>
          <w:color w:val="auto"/>
        </w:rPr>
      </w:pPr>
    </w:p>
    <w:p>
      <w:pPr>
        <w:ind w:left="580" w:hanging="248"/>
        <w:spacing w:after="0" w:line="25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key performance indicators and the Company’s performance in 2015.</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Cracker Barrel Old Country Store, Inc. (the “Company,” “our” or “we”) is a publicly traded (Nasdaq: CBRL) company that, through its operations and those of certain subsidiaries, is engaged in the operation and development of the Cracker Barrel Old Country Store® (“Cracker Barrel”) concept. Each Cracker Barrel store consists of a restaurant with a gift shop. The restaurants serve breakfast, lunch and dinner. The gift shop area offers a variety of decorative and functional items specializing in rocking chairs, holiday gifts, toys, apparel and foods. As of September 21, 2015, the Company operated 637 Cracker Barrel stores located in 42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Restaurant and Retail Industries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fast casual and quick service, which often overlap and provide competition for widely diverse restaurant concepts. We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Christmas holiday shopping season. Severe weather also affects restaurant and retail sales adversely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Comparable store restaurant and retail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Retail conversion is the percentage of restaurant guest traffic that make a retail purchase. Management uses retail conversion as its metric to analyze a store’s ability to convert restaurant traffic into a retail sales occasion.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Store operating margins are defined as total revenue less cost of goods sold (exclusive of depreciation and rent), labor and other related expenses and other store operating expenses, all as a percentage of total revenue. Management uses this indicator as a primary measure of operating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in 2015</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 During 2015, we focused on four key business priorities which were based on our previously announced long-term strategy.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strategy includes the following:</w:t>
      </w:r>
    </w:p>
    <w:p>
      <w:pPr>
        <w:spacing w:after="0" w:line="252" w:lineRule="exact"/>
        <w:rPr>
          <w:sz w:val="20"/>
          <w:szCs w:val="20"/>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Expanding the footprint through continued use of our proven site selection tools, introducing a new and more efficient building and equipment prototype and the selective entry into new markets;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four priorities for 2015 were to:</w:t>
      </w:r>
    </w:p>
    <w:p>
      <w:pPr>
        <w:spacing w:after="0" w:line="248"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Extend the reach of the Cracker Barrel brand to drive traffic and sales in both our restaurant and retail businesses.</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During 2015, our five seasonal menu promotions continued to be well received by our guests. We believe these promotions drive repeat visits by</w:t>
      </w:r>
    </w:p>
    <w:p>
      <w:pPr>
        <w:spacing w:after="0" w:line="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providing our guests with variety through limited-time offerings that appeal to both our most frequent guests and our lighter users. To meet our guests’ desire for additional better-for-you menu items, we continued the build-out of our Wholesome Fixin’s menu category throughout 2015. Our retail gift shop continues to be an integral part of the Cracker Barrel experience. Our merchandising team sourced themes that are designed to work across multiple demographics and resonate with a range of guests, with a focus on nostalgic and authentic items that are uniquely Cracker Barrel. Marketing and advertising were key strategies to help drive restaurant and retail sales. In 2015, we sought to optimize our spend in these areas by reallocating dollars into media channels including social, digital, and our exclusive music program. We continued our Handcrafted by Cracker Barrel campaign with television and new billboard creative content to drive brand awareness. We ran national cable advertising during our first, second, and fourth quarters of 2015. During these on-air periods, we used a pulsing schedule to stay engaged with our target guests over a longer period of time.</w:t>
      </w:r>
    </w:p>
    <w:p>
      <w:pPr>
        <w:spacing w:after="0" w:line="20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Optimize average guest check through the implementation of geographic pricing tiers.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Using a rigorous testing methodology that will be analyzed over multiple purchase cycles, we began our market level pricing test in the first quarter of 2015. We moved forward with our second phase in the third quarter of 2015 and continue to read the elasticity in each market and use the findings to further expand the pricing variance between levels. We believe that a geographic pricing structure will allow us to increase our prices at a compound annual growth rate of two to three percent per fiscal year over the next few years.</w:t>
      </w:r>
    </w:p>
    <w:p>
      <w:pPr>
        <w:spacing w:after="0" w:line="21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Apply technology and process enhancements to drive store operating margins</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successfully implemented new technology and process improvements to reduce annual operating costs by approximately $20,000 annualized. These improvements and initiatives included plate reduction, retail labor scheduling and lighting enhancement. Our new plate reduction guidelines drove improvements in dish room labor and chemical usage costs. Annual savings were also realized through a system-wide update to our retail labor scheduling and a re-bulbing of all stores with new LED light technology. We believe these initiatives further drove retail productivity and reduced our utilities expense, respectively, while maintaining the overall guest experience. It is our belief that these 2015 initiatives generated sustainable improvements in our cost structure and drove higher operating margins.</w:t>
      </w:r>
    </w:p>
    <w:p>
      <w:pPr>
        <w:spacing w:after="0" w:line="21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Continue the growth of the brand by developing and opening new stores</w:t>
      </w:r>
      <w:r>
        <w:rPr>
          <w:rFonts w:ascii="Arial" w:cs="Arial" w:eastAsia="Arial" w:hAnsi="Arial"/>
          <w:sz w:val="18"/>
          <w:szCs w:val="18"/>
          <w:color w:val="auto"/>
        </w:rPr>
        <w:t>.</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2015, we opened six new Cracker Barrel Old Country Store locations, including one designed with our new store prototype, expanding our chain to 637 stores in 42 states at year-end. We were pleased with guests’ responses to our new prototype design. As we gain knowledge from the performance of our new prototype, we anticipate retrofit opportunities for individual initiatives that can benefit the performance of our existing stores.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the successful implementation of these four priorities contributed to our revenue growth during the year, positive comparable store restaurant and retail sales for the year and higher operating margin and profit as compared to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operating results over the past three years:</w:t>
      </w:r>
    </w:p>
    <w:p>
      <w:pPr>
        <w:spacing w:after="0" w:line="252"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Relationship to Total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3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453"/>
        </w:trPr>
        <w:tc>
          <w:tcPr>
            <w:tcW w:w="6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w w:val="96"/>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Revenue in dollars: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2,269,610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2,137,405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2,104,768</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572,674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546,272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539,862</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2,842,284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2,683,677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2,644,630</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revenue percentage increase</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Borders>
              <w:top w:val="single" w:sz="8" w:color="auto"/>
            </w:tcBorders>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Comparable number of stores</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621</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609</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 averages per store: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3,569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3,422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894</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4,463</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4,293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(1)</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00" w:type="dxa"/>
            <w:vAlign w:val="bottom"/>
          </w:tcPr>
          <w:p>
            <w:pPr>
              <w:spacing w:after="0" w:line="231"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6"/>
                <w:szCs w:val="26"/>
                <w:color w:val="auto"/>
                <w:vertAlign w:val="superscript"/>
              </w:rPr>
              <w:t>(1)</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340" w:right="3600" w:hanging="332"/>
        <w:spacing w:after="0" w:line="455" w:lineRule="auto"/>
        <w:tabs>
          <w:tab w:leader="none" w:pos="228"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Average weekly sales are calculated by dividing net sales by operating weeks and include all stores. Total revenue benefited from the opening of 6, 7 and 8 new stores in 2015, 2014 and 2013, respectively.</w:t>
      </w:r>
    </w:p>
    <w:p>
      <w:pPr>
        <w:ind w:left="340"/>
        <w:spacing w:after="0"/>
        <w:rPr>
          <w:rFonts w:ascii="Arial" w:cs="Arial" w:eastAsia="Arial" w:hAnsi="Arial"/>
          <w:sz w:val="26"/>
          <w:szCs w:val="26"/>
          <w:color w:val="auto"/>
          <w:vertAlign w:val="superscript"/>
        </w:rPr>
      </w:pPr>
      <w:r>
        <w:rPr>
          <w:rFonts w:ascii="Arial" w:cs="Arial" w:eastAsia="Arial" w:hAnsi="Arial"/>
          <w:sz w:val="18"/>
          <w:szCs w:val="18"/>
          <w:color w:val="auto"/>
        </w:rPr>
        <w:t>The following table highlights comparable store sales* results over the past two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2700" w:type="dxa"/>
            <w:vAlign w:val="bottom"/>
            <w:gridSpan w:val="3"/>
          </w:tcPr>
          <w:p>
            <w:pPr>
              <w:ind w:left="360"/>
              <w:spacing w:after="0"/>
              <w:rPr>
                <w:sz w:val="20"/>
                <w:szCs w:val="20"/>
                <w:color w:val="auto"/>
              </w:rPr>
            </w:pPr>
            <w:r>
              <w:rPr>
                <w:rFonts w:ascii="Arial" w:cs="Arial" w:eastAsia="Arial" w:hAnsi="Arial"/>
                <w:sz w:val="18"/>
                <w:szCs w:val="18"/>
                <w:color w:val="auto"/>
              </w:rPr>
              <w:t>Period to Period Increase</w:t>
            </w: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3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2015 vs 2014</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2014 vs 2013</w:t>
            </w:r>
          </w:p>
        </w:tc>
        <w:tc>
          <w:tcPr>
            <w:tcW w:w="1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87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(621 Stores)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(609 Stores)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7"/>
              </w:rPr>
              <w:t>0.7%</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Retail</w:t>
            </w:r>
          </w:p>
        </w:tc>
        <w:tc>
          <w:tcPr>
            <w:tcW w:w="1380" w:type="dxa"/>
            <w:vAlign w:val="bottom"/>
          </w:tcPr>
          <w:p>
            <w:pPr>
              <w:ind w:left="900"/>
              <w:spacing w:after="0"/>
              <w:rPr>
                <w:sz w:val="20"/>
                <w:szCs w:val="20"/>
                <w:color w:val="auto"/>
              </w:rPr>
            </w:pPr>
            <w:r>
              <w:rPr>
                <w:rFonts w:ascii="Arial" w:cs="Arial" w:eastAsia="Arial" w:hAnsi="Arial"/>
                <w:sz w:val="18"/>
                <w:szCs w:val="18"/>
                <w:color w:val="auto"/>
              </w:rPr>
              <w:t>3.6</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0.4</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13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4.8</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0.6</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6"/>
          <w:szCs w:val="16"/>
          <w:color w:val="auto"/>
        </w:rPr>
        <w:t>*Comparable store sales consist of sales of stores open at least six full quarters at the beginning of the year and are measured on comparable calendar weeks.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comparable store restaurant sales increase from 2014 to 2015 resulted from a higher average check of 3.0%, primarily attributable to a 2.5% average menu price increase and an increase in guest traffic of 2.1%. Our comparable store restaurant sales increase from 2013 to 2014 resulted from a higher average check of 2.6%, primarily attributable to a 2.1% average menu price increase, partially offset by a decrease in guest traffic of 1.9%.</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comparable store retail sales increase from 2014 to 2015 resulted primarily from strong performance in apparel and accessories, bed and bath and home décor merchandise categories and the increase in guest traffic. The comparable store retail sales increase from 2013 to 2014 resulted primarily from strong performance in apparel and accessories and home décor merchandise categories partially offset by a decline in the bed and bath merchandise category and the decrease in guest traffic.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(Exclusive of Depreciation and Rent)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630,417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589,390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28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293,754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283,368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282,859</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2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924,171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872,758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restaurant cost of goods sold as a percentage of restaurant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2014</w:t>
            </w:r>
          </w:p>
        </w:tc>
        <w:tc>
          <w:tcPr>
            <w:tcW w:w="7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080" w:type="dxa"/>
            <w:vAlign w:val="bottom"/>
            <w:tcBorders>
              <w:top w:val="single" w:sz="8" w:color="auto"/>
              <w:bottom w:val="single" w:sz="8" w:color="auto"/>
            </w:tcBorders>
            <w:shd w:val="clear" w:color="auto" w:fill="CCEEFF"/>
          </w:tcPr>
          <w:p>
            <w:pPr>
              <w:jc w:val="right"/>
              <w:ind w:right="5770"/>
              <w:spacing w:after="0" w:line="196" w:lineRule="exact"/>
              <w:rPr>
                <w:sz w:val="20"/>
                <w:szCs w:val="20"/>
                <w:color w:val="auto"/>
              </w:rPr>
            </w:pPr>
            <w:r>
              <w:rPr>
                <w:rFonts w:ascii="Arial" w:cs="Arial" w:eastAsia="Arial" w:hAnsi="Arial"/>
                <w:sz w:val="18"/>
                <w:szCs w:val="18"/>
                <w:color w:val="auto"/>
                <w:w w:val="88"/>
              </w:rPr>
              <w:t>Restaurant Cost of Goods Sold</w:t>
            </w:r>
          </w:p>
        </w:tc>
        <w:tc>
          <w:tcPr>
            <w:tcW w:w="1400" w:type="dxa"/>
            <w:vAlign w:val="bottom"/>
            <w:tcBorders>
              <w:top w:val="single" w:sz="8" w:color="auto"/>
              <w:bottom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93"/>
              </w:rPr>
              <w:t>27.8%</w:t>
            </w:r>
          </w:p>
        </w:tc>
        <w:tc>
          <w:tcPr>
            <w:tcW w:w="7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3"/>
              </w:rPr>
              <w:t>27.6%</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bl>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modest increase from 2014 to 2015 was the result of food commodity inflation of 2.7% and a shift to higher cost menu items partially offset by our menu price increase referenced above and lower food waste. Higher cost menu items and lower food waste accounted for 0.2% and 0.1%, respectively, in restaurant cost of goods sold as a percentage of restaurant revenue. The increase from 2013 to 2014 was primarily the result of food commodity inflation of 1.8%, a shift to higher cost menu items and higher food waste partially offset by our menu price increase referenced above. Higher cost menu items and higher food waste accounted for 0.3% and 0.1%, respectively, in restaurant cost of goods sold as a percentage of restaurant revenue.</w:t>
      </w:r>
    </w:p>
    <w:p>
      <w:pPr>
        <w:spacing w:after="0" w:line="18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presently expect the rate of commodity inflation to be approximately 3.0% to 4.0% in 2016 as compared to 2015. We expect to partially offset the effects of food commodity inflation through a combination of menu price increases, supply contracts and other cost reduction initiatives.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1400" w:type="dxa"/>
            <w:vAlign w:val="bottom"/>
          </w:tcPr>
          <w:p>
            <w:pPr>
              <w:jc w:val="right"/>
              <w:spacing w:after="0"/>
              <w:rPr>
                <w:sz w:val="20"/>
                <w:szCs w:val="20"/>
                <w:color w:val="auto"/>
              </w:rPr>
            </w:pPr>
            <w:r>
              <w:rPr>
                <w:rFonts w:ascii="Arial" w:cs="Arial" w:eastAsia="Arial" w:hAnsi="Arial"/>
                <w:sz w:val="18"/>
                <w:szCs w:val="18"/>
                <w:color w:val="auto"/>
              </w:rPr>
              <w:t>2014</w:t>
            </w:r>
          </w:p>
        </w:tc>
        <w:tc>
          <w:tcPr>
            <w:tcW w:w="7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57"/>
        </w:trPr>
        <w:tc>
          <w:tcPr>
            <w:tcW w:w="20" w:type="dxa"/>
            <w:vAlign w:val="bottom"/>
          </w:tcPr>
          <w:p>
            <w:pPr>
              <w:spacing w:after="0"/>
              <w:rPr>
                <w:sz w:val="22"/>
                <w:szCs w:val="22"/>
                <w:color w:val="auto"/>
              </w:rPr>
            </w:pPr>
          </w:p>
        </w:tc>
        <w:tc>
          <w:tcPr>
            <w:tcW w:w="8080" w:type="dxa"/>
            <w:vAlign w:val="bottom"/>
            <w:tcBorders>
              <w:top w:val="single" w:sz="8" w:color="auto"/>
              <w:bottom w:val="single" w:sz="8" w:color="auto"/>
            </w:tcBorders>
            <w:shd w:val="clear" w:color="auto" w:fill="CCEEFF"/>
          </w:tcPr>
          <w:p>
            <w:pPr>
              <w:jc w:val="right"/>
              <w:ind w:right="6110"/>
              <w:spacing w:after="0"/>
              <w:rPr>
                <w:sz w:val="20"/>
                <w:szCs w:val="20"/>
                <w:color w:val="auto"/>
              </w:rPr>
            </w:pPr>
            <w:r>
              <w:rPr>
                <w:rFonts w:ascii="Arial" w:cs="Arial" w:eastAsia="Arial" w:hAnsi="Arial"/>
                <w:sz w:val="18"/>
                <w:szCs w:val="18"/>
                <w:color w:val="auto"/>
                <w:w w:val="89"/>
              </w:rPr>
              <w:t>Retail Cost of Goods Sold</w:t>
            </w:r>
          </w:p>
        </w:tc>
        <w:tc>
          <w:tcPr>
            <w:tcW w:w="14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3"/>
              </w:rPr>
              <w:t>51.3%</w:t>
            </w:r>
          </w:p>
        </w:tc>
        <w:tc>
          <w:tcPr>
            <w:tcW w:w="7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3"/>
              </w:rPr>
              <w:t>51.9%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retail cost of goods sold as a percentage of retail revenue in 2015 as compared to 2014 resulted primarily from lower markdowns and lower freight expense.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2014 to 2015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320" w:type="dxa"/>
            <w:vAlign w:val="bottom"/>
            <w:gridSpan w:val="3"/>
          </w:tcPr>
          <w:p>
            <w:pPr>
              <w:jc w:val="center"/>
              <w:ind w:left="4776"/>
              <w:spacing w:after="0"/>
              <w:rPr>
                <w:sz w:val="20"/>
                <w:szCs w:val="20"/>
                <w:color w:val="auto"/>
              </w:rPr>
            </w:pPr>
            <w:r>
              <w:rPr>
                <w:rFonts w:ascii="Arial" w:cs="Arial" w:eastAsia="Arial" w:hAnsi="Arial"/>
                <w:sz w:val="18"/>
                <w:szCs w:val="18"/>
                <w:color w:val="auto"/>
                <w:w w:val="86"/>
              </w:rPr>
              <w:t>(Decrease) as a Percentage</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5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Freight</w:t>
            </w:r>
          </w:p>
        </w:tc>
        <w:tc>
          <w:tcPr>
            <w:tcW w:w="73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20"/>
                <w:szCs w:val="20"/>
                <w:color w:val="auto"/>
              </w:rPr>
            </w:pPr>
          </w:p>
        </w:tc>
      </w:tr>
      <w:tr>
        <w:trPr>
          <w:trHeight w:val="581"/>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120" w:type="dxa"/>
            <w:vAlign w:val="bottom"/>
          </w:tcPr>
          <w:p>
            <w:pPr>
              <w:jc w:val="right"/>
              <w:ind w:right="2796"/>
              <w:spacing w:after="0"/>
              <w:rPr>
                <w:sz w:val="20"/>
                <w:szCs w:val="20"/>
                <w:color w:val="auto"/>
              </w:rPr>
            </w:pPr>
            <w:r>
              <w:rPr>
                <w:rFonts w:ascii="Arial" w:cs="Arial" w:eastAsia="Arial" w:hAnsi="Arial"/>
                <w:sz w:val="14"/>
                <w:szCs w:val="14"/>
                <w:color w:val="auto"/>
              </w:rPr>
              <w:t>32</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decrease in retail cost of goods sold as a percentage of retail revenue in 2014 as compared to 2013 resulted primarily from lower freight, higher initial markup on retail merchandise, lower shrinkage and a reduction in the obsolescence inventory reserve partially offset by higher markdowns.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2013 to 2014</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26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Higher initial markup on merchandise</w:t>
            </w:r>
          </w:p>
        </w:tc>
        <w:tc>
          <w:tcPr>
            <w:tcW w:w="494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Retail inventory shrinkage</w:t>
            </w:r>
          </w:p>
        </w:tc>
        <w:tc>
          <w:tcPr>
            <w:tcW w:w="4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Obsolescence inventory reserve</w:t>
            </w:r>
          </w:p>
        </w:tc>
        <w:tc>
          <w:tcPr>
            <w:tcW w:w="494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4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Labor and Related Expenses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gridSpan w:val="3"/>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color w:val="auto"/>
              </w:rPr>
              <w:t>2014</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080" w:type="dxa"/>
            <w:vAlign w:val="bottom"/>
            <w:tcBorders>
              <w:top w:val="single" w:sz="8" w:color="auto"/>
              <w:bottom w:val="single" w:sz="8" w:color="auto"/>
            </w:tcBorders>
            <w:gridSpan w:val="2"/>
            <w:shd w:val="clear" w:color="auto" w:fill="CCEEFF"/>
          </w:tcPr>
          <w:p>
            <w:pPr>
              <w:jc w:val="right"/>
              <w:ind w:right="5630"/>
              <w:spacing w:after="0" w:line="196" w:lineRule="exact"/>
              <w:rPr>
                <w:sz w:val="20"/>
                <w:szCs w:val="20"/>
                <w:color w:val="auto"/>
              </w:rPr>
            </w:pPr>
            <w:r>
              <w:rPr>
                <w:rFonts w:ascii="Arial" w:cs="Arial" w:eastAsia="Arial" w:hAnsi="Arial"/>
                <w:sz w:val="18"/>
                <w:szCs w:val="18"/>
                <w:color w:val="auto"/>
                <w:w w:val="86"/>
              </w:rPr>
              <w:t>Labor and other related expenses</w:t>
            </w:r>
          </w:p>
        </w:tc>
        <w:tc>
          <w:tcPr>
            <w:tcW w:w="5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34.9%</w:t>
            </w:r>
          </w:p>
        </w:tc>
        <w:tc>
          <w:tcPr>
            <w:tcW w:w="154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36.0%</w:t>
            </w:r>
          </w:p>
        </w:tc>
        <w:tc>
          <w:tcPr>
            <w:tcW w:w="10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36.5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453"/>
        </w:trPr>
        <w:tc>
          <w:tcPr>
            <w:tcW w:w="20" w:type="dxa"/>
            <w:vAlign w:val="bottom"/>
          </w:tcPr>
          <w:p>
            <w:pPr>
              <w:spacing w:after="0"/>
              <w:rPr>
                <w:sz w:val="24"/>
                <w:szCs w:val="24"/>
                <w:color w:val="auto"/>
              </w:rPr>
            </w:pPr>
          </w:p>
        </w:tc>
        <w:tc>
          <w:tcPr>
            <w:tcW w:w="8080" w:type="dxa"/>
            <w:vAlign w:val="bottom"/>
            <w:gridSpan w:val="2"/>
          </w:tcPr>
          <w:p>
            <w:pPr>
              <w:jc w:val="right"/>
              <w:ind w:right="930"/>
              <w:spacing w:after="0"/>
              <w:rPr>
                <w:sz w:val="20"/>
                <w:szCs w:val="20"/>
                <w:color w:val="auto"/>
              </w:rPr>
            </w:pPr>
            <w:r>
              <w:rPr>
                <w:rFonts w:ascii="Arial" w:cs="Arial" w:eastAsia="Arial" w:hAnsi="Arial"/>
                <w:sz w:val="18"/>
                <w:szCs w:val="18"/>
                <w:color w:val="auto"/>
                <w:w w:val="95"/>
              </w:rPr>
              <w:t>The year-to-year percentage change from 2014 to 2015 resulted primarily from the following:</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91"/>
              </w:rPr>
              <w:t>2014 to 2015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center"/>
              <w:ind w:right="870"/>
              <w:spacing w:after="0"/>
              <w:rPr>
                <w:sz w:val="20"/>
                <w:szCs w:val="20"/>
                <w:color w:val="auto"/>
              </w:rPr>
            </w:pPr>
            <w:r>
              <w:rPr>
                <w:rFonts w:ascii="Arial" w:cs="Arial" w:eastAsia="Arial" w:hAnsi="Arial"/>
                <w:sz w:val="18"/>
                <w:szCs w:val="18"/>
                <w:color w:val="auto"/>
                <w:w w:val="86"/>
              </w:rPr>
              <w:t>(Decrease) Increase as a</w:t>
            </w: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780" w:type="dxa"/>
            <w:vAlign w:val="bottom"/>
            <w:gridSpan w:val="3"/>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Store management compensation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Payroll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from 2014 to 2015 resulted from menu price increases being greater than wage inflation and improved productivity driven by the successful implementation of labor savings initiatives in 2015.</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decrease in our employee health care expenses as compared to the prior year resulted primarily from a reduction in premiums associated with our transition of a majority of our plans from fully insured to self-insured for the plan year ending December 31, 2015 and lower plan enrollment.</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store management compensation expense as a percentage of total revenue in 2015 as compared to 2014 resulted primarily from lower staffing levels in 2015 as compared to 2014.</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payroll tax expense as a percentage of total revenue in 2015 as compared to 2014 resulted primarily from a reduction in state unemployment tax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Higher store bonus expense in 2015 as compared to 2014 reflected better performance against financial objectives in 2015 as compared to the prior year.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year-to-year percentage change from 2013 to 2014 resulted from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2013 to 2014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620" w:type="dxa"/>
            <w:vAlign w:val="bottom"/>
            <w:gridSpan w:val="3"/>
          </w:tcPr>
          <w:p>
            <w:pPr>
              <w:jc w:val="center"/>
              <w:ind w:left="4074"/>
              <w:spacing w:after="0"/>
              <w:rPr>
                <w:sz w:val="20"/>
                <w:szCs w:val="20"/>
                <w:color w:val="auto"/>
              </w:rPr>
            </w:pPr>
            <w:r>
              <w:rPr>
                <w:rFonts w:ascii="Arial" w:cs="Arial" w:eastAsia="Arial" w:hAnsi="Arial"/>
                <w:sz w:val="18"/>
                <w:szCs w:val="18"/>
                <w:color w:val="auto"/>
                <w:w w:val="86"/>
              </w:rPr>
              <w:t>(Decrease) as a Percentage</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44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66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6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r>
      <w:tr>
        <w:trPr>
          <w:trHeight w:val="596"/>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20" w:type="dxa"/>
            <w:vAlign w:val="bottom"/>
          </w:tcPr>
          <w:p>
            <w:pPr>
              <w:jc w:val="right"/>
              <w:ind w:right="2794"/>
              <w:spacing w:after="0"/>
              <w:rPr>
                <w:sz w:val="20"/>
                <w:szCs w:val="20"/>
                <w:color w:val="auto"/>
              </w:rPr>
            </w:pPr>
            <w:r>
              <w:rPr>
                <w:rFonts w:ascii="Arial" w:cs="Arial" w:eastAsia="Arial" w:hAnsi="Arial"/>
                <w:sz w:val="14"/>
                <w:szCs w:val="14"/>
                <w:color w:val="auto"/>
              </w:rPr>
              <w:t>33</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store bonus expense in 2014 as compared to 2013 reflected lower performance against financial objectives in 2014 as compared to the prior year.</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decrease in our employee health care expenses as compared to the prior year was primarily the result of the reimbursement of approximately $4,700 for certain health care premiums related to the plan year ended December 31, 2013, partially offset by higher enrollment and higher net premium costs related to the plan year ended December 31, 2014. During 2014, we recorded a receivable of $6,200 for reimbursement of certain health care premiums related to the plan year ended December 31, 2014, of which $3,600 reduced employee health care expenses in 2014.</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from 2013 to 2014 resulted from menu price increases being higher than wage inflation and improved productivity.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 The following table highlights other store operating expenses as a percentage of total revenue for the past three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color w:val="auto"/>
              </w:rPr>
              <w:t>2014</w:t>
            </w:r>
          </w:p>
        </w:tc>
        <w:tc>
          <w:tcPr>
            <w:tcW w:w="9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jc w:val="right"/>
              <w:ind w:right="5770"/>
              <w:spacing w:after="0"/>
              <w:rPr>
                <w:sz w:val="20"/>
                <w:szCs w:val="20"/>
                <w:color w:val="auto"/>
              </w:rPr>
            </w:pPr>
            <w:r>
              <w:rPr>
                <w:rFonts w:ascii="Arial" w:cs="Arial" w:eastAsia="Arial" w:hAnsi="Arial"/>
                <w:sz w:val="18"/>
                <w:szCs w:val="18"/>
                <w:color w:val="auto"/>
                <w:w w:val="87"/>
              </w:rPr>
              <w:t>Other store operating expenses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18.9%</w:t>
            </w: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453"/>
        </w:trPr>
        <w:tc>
          <w:tcPr>
            <w:tcW w:w="20" w:type="dxa"/>
            <w:vAlign w:val="bottom"/>
          </w:tcPr>
          <w:p>
            <w:pPr>
              <w:spacing w:after="0"/>
              <w:rPr>
                <w:sz w:val="24"/>
                <w:szCs w:val="24"/>
                <w:color w:val="auto"/>
              </w:rPr>
            </w:pPr>
          </w:p>
        </w:tc>
        <w:tc>
          <w:tcPr>
            <w:tcW w:w="8080" w:type="dxa"/>
            <w:vAlign w:val="bottom"/>
            <w:tcBorders>
              <w:top w:val="single" w:sz="8" w:color="auto"/>
            </w:tcBorders>
            <w:gridSpan w:val="2"/>
          </w:tcPr>
          <w:p>
            <w:pPr>
              <w:jc w:val="right"/>
              <w:ind w:right="1630"/>
              <w:spacing w:after="0"/>
              <w:rPr>
                <w:sz w:val="20"/>
                <w:szCs w:val="20"/>
                <w:color w:val="auto"/>
              </w:rPr>
            </w:pPr>
            <w:r>
              <w:rPr>
                <w:rFonts w:ascii="Arial" w:cs="Arial" w:eastAsia="Arial" w:hAnsi="Arial"/>
                <w:sz w:val="18"/>
                <w:szCs w:val="18"/>
                <w:color w:val="auto"/>
                <w:w w:val="95"/>
              </w:rPr>
              <w:t>The year-to-year percentage change from 2014 to 2015 resulted from the following:</w:t>
            </w: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jc w:val="center"/>
              <w:ind w:left="190"/>
              <w:spacing w:after="0"/>
              <w:rPr>
                <w:sz w:val="20"/>
                <w:szCs w:val="20"/>
                <w:color w:val="auto"/>
              </w:rPr>
            </w:pPr>
            <w:r>
              <w:rPr>
                <w:rFonts w:ascii="Arial" w:cs="Arial" w:eastAsia="Arial" w:hAnsi="Arial"/>
                <w:sz w:val="18"/>
                <w:szCs w:val="18"/>
                <w:color w:val="auto"/>
                <w:w w:val="91"/>
              </w:rPr>
              <w:t>2014 to 2015</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0" w:type="dxa"/>
            <w:vAlign w:val="bottom"/>
            <w:gridSpan w:val="6"/>
          </w:tcPr>
          <w:p>
            <w:pPr>
              <w:jc w:val="center"/>
              <w:ind w:right="780"/>
              <w:spacing w:after="0"/>
              <w:rPr>
                <w:sz w:val="20"/>
                <w:szCs w:val="20"/>
                <w:color w:val="auto"/>
              </w:rPr>
            </w:pPr>
            <w:r>
              <w:rPr>
                <w:rFonts w:ascii="Arial" w:cs="Arial" w:eastAsia="Arial" w:hAnsi="Arial"/>
                <w:sz w:val="18"/>
                <w:szCs w:val="18"/>
                <w:color w:val="auto"/>
                <w:w w:val="86"/>
              </w:rPr>
              <w:t>(Decrease) as a Percentage</w:t>
            </w: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0"/>
              </w:rPr>
              <w:t>of Total Revenue</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Utilities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Store manager conference expense</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maintenance expense as a percentage of total revenue for 2015 as compared to 2014 resulted primarily from cost saving initiatives.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utilities expense from 2014 to 2015 resulted primarily from milder winter weather and lower natural gas prices.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2014, we held a manager conference which was attended by our store operations management team. The next conference will be held in the first quarter of 2016.</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The year-to-year percentage change from 2013 to 2014 resulted primarily from the following:</w:t>
            </w: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2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2013 to 2014</w:t>
            </w:r>
          </w:p>
        </w:tc>
      </w:tr>
      <w:tr>
        <w:trPr>
          <w:trHeight w:val="216"/>
        </w:trPr>
        <w:tc>
          <w:tcPr>
            <w:tcW w:w="24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Increase as a Percentage</w:t>
            </w:r>
          </w:p>
        </w:tc>
      </w:tr>
      <w:tr>
        <w:trPr>
          <w:trHeight w:val="237"/>
        </w:trPr>
        <w:tc>
          <w:tcPr>
            <w:tcW w:w="24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of Total Revenue</w:t>
            </w:r>
          </w:p>
        </w:tc>
        <w:tc>
          <w:tcPr>
            <w:tcW w:w="18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4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Advertising</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4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Store manager conference expense</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240" w:type="dxa"/>
            <w:vAlign w:val="bottom"/>
          </w:tcPr>
          <w:p>
            <w:pPr>
              <w:spacing w:after="0"/>
              <w:rPr>
                <w:sz w:val="20"/>
                <w:szCs w:val="20"/>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Maintenance</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utilities expense from 2013 to 2014 resulted primarily from higher heating costs due to unseasonably cold weather experienced at many of our store locations during the winter months in 2014.</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advertising expense from 2013 to 2014 resulted primarily from higher media spending.</w:t>
      </w:r>
    </w:p>
    <w:p>
      <w:pPr>
        <w:spacing w:after="0" w:line="252" w:lineRule="exact"/>
        <w:rPr>
          <w:sz w:val="20"/>
          <w:szCs w:val="20"/>
          <w:color w:val="auto"/>
        </w:rPr>
      </w:pPr>
    </w:p>
    <w:p>
      <w:pPr>
        <w:ind w:right="20" w:firstLine="372"/>
        <w:spacing w:after="0" w:line="277" w:lineRule="auto"/>
        <w:rPr>
          <w:sz w:val="20"/>
          <w:szCs w:val="20"/>
          <w:color w:val="auto"/>
        </w:rPr>
      </w:pPr>
      <w:r>
        <w:rPr>
          <w:rFonts w:ascii="Arial" w:cs="Arial" w:eastAsia="Arial" w:hAnsi="Arial"/>
          <w:sz w:val="18"/>
          <w:szCs w:val="18"/>
          <w:color w:val="auto"/>
        </w:rPr>
        <w:t>In the first quarter of 2014, we held a manager conference which was attended by our store operations management team. The last such conference was held during the first quarter of 2012.</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Higher maintenance expenses resulted primarily from increases in lighting replacement costs, snow removal, kitchen equipment repairs and national inspection and repair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general and administrative expenses as a percentage of total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2014</w:t>
            </w:r>
          </w:p>
        </w:tc>
        <w:tc>
          <w:tcPr>
            <w:tcW w:w="10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120" w:type="dxa"/>
            <w:vAlign w:val="bottom"/>
            <w:gridSpan w:val="2"/>
            <w:shd w:val="clear" w:color="auto" w:fill="CCEEFF"/>
          </w:tcPr>
          <w:p>
            <w:pPr>
              <w:jc w:val="right"/>
              <w:ind w:right="5390"/>
              <w:spacing w:after="0"/>
              <w:rPr>
                <w:sz w:val="20"/>
                <w:szCs w:val="20"/>
                <w:color w:val="auto"/>
              </w:rPr>
            </w:pPr>
            <w:r>
              <w:rPr>
                <w:rFonts w:ascii="Arial" w:cs="Arial" w:eastAsia="Arial" w:hAnsi="Arial"/>
                <w:sz w:val="18"/>
                <w:szCs w:val="18"/>
                <w:color w:val="auto"/>
                <w:w w:val="88"/>
              </w:rPr>
              <w:t>General and administrative expenses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453"/>
        </w:trPr>
        <w:tc>
          <w:tcPr>
            <w:tcW w:w="20" w:type="dxa"/>
            <w:vAlign w:val="bottom"/>
          </w:tcPr>
          <w:p>
            <w:pPr>
              <w:spacing w:after="0"/>
              <w:rPr>
                <w:sz w:val="24"/>
                <w:szCs w:val="24"/>
                <w:color w:val="auto"/>
              </w:rPr>
            </w:pPr>
          </w:p>
        </w:tc>
        <w:tc>
          <w:tcPr>
            <w:tcW w:w="8120" w:type="dxa"/>
            <w:vAlign w:val="bottom"/>
            <w:tcBorders>
              <w:top w:val="single" w:sz="8" w:color="auto"/>
            </w:tcBorders>
            <w:gridSpan w:val="2"/>
          </w:tcPr>
          <w:p>
            <w:pPr>
              <w:jc w:val="right"/>
              <w:ind w:right="1670"/>
              <w:spacing w:after="0"/>
              <w:rPr>
                <w:sz w:val="20"/>
                <w:szCs w:val="20"/>
                <w:color w:val="auto"/>
              </w:rPr>
            </w:pPr>
            <w:r>
              <w:rPr>
                <w:rFonts w:ascii="Arial" w:cs="Arial" w:eastAsia="Arial" w:hAnsi="Arial"/>
                <w:sz w:val="18"/>
                <w:szCs w:val="18"/>
                <w:color w:val="auto"/>
                <w:w w:val="95"/>
              </w:rPr>
              <w:t>The year-to-year percentage change from 2014 to 2015 resulted from the following:</w:t>
            </w: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left="210"/>
              <w:spacing w:after="0"/>
              <w:rPr>
                <w:sz w:val="20"/>
                <w:szCs w:val="20"/>
                <w:color w:val="auto"/>
              </w:rPr>
            </w:pPr>
            <w:r>
              <w:rPr>
                <w:rFonts w:ascii="Arial" w:cs="Arial" w:eastAsia="Arial" w:hAnsi="Arial"/>
                <w:sz w:val="18"/>
                <w:szCs w:val="18"/>
                <w:color w:val="auto"/>
                <w:w w:val="91"/>
              </w:rPr>
              <w:t>2014 to 2015</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center"/>
              <w:ind w:right="960"/>
              <w:spacing w:after="0"/>
              <w:rPr>
                <w:sz w:val="20"/>
                <w:szCs w:val="20"/>
                <w:color w:val="auto"/>
              </w:rPr>
            </w:pPr>
            <w:r>
              <w:rPr>
                <w:rFonts w:ascii="Arial" w:cs="Arial" w:eastAsia="Arial" w:hAnsi="Arial"/>
                <w:sz w:val="18"/>
                <w:szCs w:val="18"/>
                <w:color w:val="auto"/>
                <w:w w:val="86"/>
              </w:rPr>
              <w:t>Increase (Decrease) as a</w:t>
            </w: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Percentage of Total Revenue</w:t>
            </w:r>
          </w:p>
        </w:tc>
        <w:tc>
          <w:tcPr>
            <w:tcW w:w="780" w:type="dxa"/>
            <w:vAlign w:val="bottom"/>
            <w:gridSpan w:val="3"/>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expense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Litigation accrual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Proxy contest expenses in the prior year</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Higher incentive compensation in 2015 as compared to 2014 resulted primarily from better performance against financial objectives as compared to the prior year and the effect of the increase in the price of our common stock in 2015.</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we recorded a total provision of approximately $3,500 related to the liability associated with the disclosed Fair Labor Standards Act (“FLSA”) litigation. See Note 15 to our Consolidated Financial Statements and “Item 3. Legal Proceedings” of Part 1 of this Annual Report on Form 10-K for further information related to the FLSA litigation.</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2014, we incurred $4,313 in costs related to a proxy contest at our Annual Shareholders Meeting and a Special Meeting of Shareholders.</w:t>
      </w:r>
    </w:p>
    <w:p>
      <w:pPr>
        <w:spacing w:after="0" w:line="2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percentage change from 2013 to 2014 resulted primarily from lower incentive compensation. Lower incentive compensation resulted primarily from lower performance against financial objectives as compared to the prior year and the effect of the decrease in the price of our common stock in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16,679</w:t>
        <w:tab/>
        <w:t>$</w:t>
      </w:r>
      <w:r>
        <w:rPr>
          <w:sz w:val="20"/>
          <w:szCs w:val="20"/>
          <w:color w:val="auto"/>
        </w:rPr>
        <w:tab/>
      </w:r>
      <w:r>
        <w:rPr>
          <w:rFonts w:ascii="Arial" w:cs="Arial" w:eastAsia="Arial" w:hAnsi="Arial"/>
          <w:sz w:val="18"/>
          <w:szCs w:val="18"/>
          <w:color w:val="auto"/>
        </w:rPr>
        <w:t>17,557</w:t>
        <w:tab/>
        <w:t>$</w:t>
      </w:r>
      <w:r>
        <w:rPr>
          <w:sz w:val="20"/>
          <w:szCs w:val="20"/>
          <w:color w:val="auto"/>
        </w:rPr>
        <w:tab/>
      </w:r>
      <w:r>
        <w:rPr>
          <w:rFonts w:ascii="Arial" w:cs="Arial" w:eastAsia="Arial" w:hAnsi="Arial"/>
          <w:sz w:val="16"/>
          <w:szCs w:val="16"/>
          <w:color w:val="auto"/>
        </w:rPr>
        <w:t>35,742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decrease from 2014 to 2015 resulted primarily from lower weighted average interest rates partially offset by the write-off of $412 in deferred financing costs as a result of our debt refinancing. See the discussion below under “Borrowing Capacity and Debt Covenants” for further information on our debt refinancing. We presently expect interest expense for 2016 to be approximately $14,000 to $15,000.</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year-to-year decrease from 2013 to 2014 resulted primarily from lower interest rates because of the expiration of our seven-year interest rate swap on May 3, 2013, which had a fixed interest rate of 5.57% plus our credit spread, and lower debt outstanding.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89"/>
              </w:rPr>
              <w:t>Effective tax rate</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31.2%</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30.8%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our effective tax rate from 2014 to 2015 resulted primarily from lower employer tax credits as a percent of income before taxes. The increase in our effective tax rate from 2013 to 2014 resulted primarily from the expiration of the Work Opportunity Tax Credit (“WOTC”) as of December 31, 2013.</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presently expect our effective tax rate for 2016 to be between 32% and 33%. This estimate assumes that the WOTC, which expired on December 31, 2014, is not renewed. We estimate that the renewal of the WOTC could reduce our provision for income taxes by $3,500 to $6,500 in 2016.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 summary of our cash flows for the last three years: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334,055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177,625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(88,614)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(88,815)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8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146,094</w:t>
            </w:r>
          </w:p>
        </w:tc>
        <w:tc>
          <w:tcPr>
            <w:tcW w:w="3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(2,357)</w:t>
            </w:r>
          </w:p>
        </w:tc>
        <w:tc>
          <w:tcPr>
            <w:tcW w:w="3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197" w:lineRule="exact"/>
              <w:rPr>
                <w:sz w:val="20"/>
                <w:szCs w:val="20"/>
                <w:color w:val="auto"/>
              </w:rPr>
            </w:pPr>
            <w:r>
              <w:rPr>
                <w:rFonts w:ascii="Arial" w:cs="Arial" w:eastAsia="Arial" w:hAnsi="Arial"/>
                <w:sz w:val="13"/>
                <w:szCs w:val="13"/>
                <w:color w:val="auto"/>
              </w:rPr>
              <w:t>(30,244</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6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revolving credit facility. Our internally generated cash, along with cash on hand at August 1, 2014, was sufficient to finance all of our growth, dividend payments, working capital needs and other cash payment obligations in 2015.</w:t>
      </w:r>
    </w:p>
    <w:p>
      <w:pPr>
        <w:spacing w:after="0" w:line="20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believe that cash at July 31, 2015, along with cash expected to be generated from our operating activities and the borrowing capacity under our revolving credit facility will be sufficient to finance our continuing operations, our continuing expansion plans and our expected dividend payments for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increase in net cash flow provided by operating activities from 2014 to 2015 reflected lower annual and long-term incentive bonus payments made in 2015 as a result of the prior year’s performance, the timing of payments for accounts payable, higher net income and lower retail inventories. Lower retail inventories resulted from improved buying strategies, fewer receipts of holiday merchandise and better general inventory management. The decrease in net cash flow provided by operating activities from 2013 to 2014 reflected the timing of payments for accounts payable and higher retail inventories. Higher retail inventories at the end of 2014 resulted primarily from the early receipt of holiday and other merchandise and lower than anticipated sales in 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70"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90,490</w:t>
        <w:tab/>
        <w:t>$</w:t>
      </w:r>
      <w:r>
        <w:rPr>
          <w:sz w:val="20"/>
          <w:szCs w:val="20"/>
          <w:color w:val="auto"/>
        </w:rPr>
        <w:tab/>
      </w:r>
      <w:r>
        <w:rPr>
          <w:rFonts w:ascii="Arial" w:cs="Arial" w:eastAsia="Arial" w:hAnsi="Arial"/>
          <w:sz w:val="18"/>
          <w:szCs w:val="18"/>
          <w:color w:val="auto"/>
        </w:rPr>
        <w:t>90,564</w:t>
        <w:tab/>
        <w:t>$</w:t>
      </w:r>
      <w:r>
        <w:rPr>
          <w:sz w:val="20"/>
          <w:szCs w:val="20"/>
          <w:color w:val="auto"/>
        </w:rPr>
        <w:tab/>
      </w:r>
      <w:r>
        <w:rPr>
          <w:rFonts w:ascii="Arial" w:cs="Arial" w:eastAsia="Arial" w:hAnsi="Arial"/>
          <w:sz w:val="16"/>
          <w:szCs w:val="16"/>
          <w:color w:val="auto"/>
        </w:rPr>
        <w:t>73,961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capital expenditures consisted primarily of costs of new store locations and capital expenditures for maintenance programs. Capital expenditures were relatively flat in 2015 as compared to 2014. The increase in capital expenditures from 2013 to 2014 resulted primarily from an increase in the number of new store locations acquired and under construction as compared to the prior year and higher maintenance capital expenditures due to our aging store base.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our capital expenditures during 2016 will be between $110,000 and $120,000. This estimate includes the acquisition of sites and construction costs of seven or eight new stores that we plan to open during 2016, as well as acquisition and construction costs for store locations to be opened in 2017. We also expect to increase capital expenditures for technology and operational improvements, which are intended to improve the guest experience and improve margins. We intend to fund our capital expenditures with cash generated by operations and borrowings under our revolving credit facility,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and Debt Covenants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8, 2015, we entered into a five-year $750,000 revolving credit facility (the “Revolving Credit Facility”). The Revolving Credit Facility replaced a term loan totaling $181,250 and a $218,750 revolving credit facility (“Prior Credit Facility”).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Revolving Credit Facility, our standby letters of credit and our borrowing availability under the Revolving Credit Facility as of July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3860" w:type="dxa"/>
            <w:vAlign w:val="bottom"/>
            <w:gridSpan w:val="3"/>
          </w:tcPr>
          <w:p>
            <w:pPr>
              <w:ind w:left="2700"/>
              <w:spacing w:after="0"/>
              <w:rPr>
                <w:sz w:val="20"/>
                <w:szCs w:val="20"/>
                <w:color w:val="auto"/>
              </w:rPr>
            </w:pPr>
            <w:r>
              <w:rPr>
                <w:rFonts w:ascii="Arial" w:cs="Arial" w:eastAsia="Arial" w:hAnsi="Arial"/>
                <w:sz w:val="18"/>
                <w:szCs w:val="18"/>
                <w:color w:val="auto"/>
              </w:rPr>
              <w:t>July 31, 2015</w:t>
            </w:r>
          </w:p>
        </w:tc>
      </w:tr>
      <w:tr>
        <w:trPr>
          <w:trHeight w:val="216"/>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capacity under the Revolving Credit Facility</w:t>
            </w:r>
          </w:p>
        </w:tc>
        <w:tc>
          <w:tcPr>
            <w:tcW w:w="29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Arial" w:cs="Arial" w:eastAsia="Arial" w:hAnsi="Arial"/>
                <w:sz w:val="18"/>
                <w:szCs w:val="18"/>
                <w:color w:val="auto"/>
              </w:rPr>
              <w:t>Less: Outstanding borrowings under the Revolving Credit Facility</w:t>
            </w:r>
          </w:p>
        </w:tc>
        <w:tc>
          <w:tcPr>
            <w:tcW w:w="29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Standby letters of credit*</w:t>
            </w:r>
          </w:p>
        </w:tc>
        <w:tc>
          <w:tcPr>
            <w:tcW w:w="29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2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reduced our borrowings under our Prior Credit Facility by $125,000 in 2013 by making optional payments using excess cash generated from operations. We did not borrow or make any debt payments in 2014. In 2015, we both borrowed and paid down $6,250 under our Prior Credit Facility.</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“Material Commitments” below and Note 5 to our Consolidated Financial Statements for further information on our long-term debt.</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Facility contains customary financial covenants, which include maintenance of a maximum consolidated total leverage ratio and a minimum consolidated interest coverage ratio. We presently are and expect to remain in compliance with the Revolving Credit Facility’s financial covenants for the remaining term of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Share-Based Compensation Awards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Revolving Credit Facility imposes restrictions on the amount of dividends we are permitted to pay and the amount of shares we are permitted to repurchase. Under the Revolving Credit Facility, provided there is no default existing and the total of our availability under the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each of the first three quarters of 2015, we declared a regular quarterly dividend of $1.00 per share of our common stock. Additionally, during the fourth quarter of 2015, we increased our regular quarterly dividend by 10% by declaring a dividend of $1.10 per share and declared a special dividend of $3.00 per share, both payable on August 5, 2015 to shareholders of record on July 17, 2015.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52"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260" w:val="left"/>
          <w:tab w:leader="none" w:pos="8800" w:val="left"/>
          <w:tab w:leader="none" w:pos="9620" w:val="left"/>
          <w:tab w:leader="none" w:pos="10160" w:val="left"/>
          <w:tab w:leader="none" w:pos="109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4.00</w:t>
        <w:tab/>
        <w:t>$</w:t>
      </w:r>
      <w:r>
        <w:rPr>
          <w:sz w:val="20"/>
          <w:szCs w:val="20"/>
          <w:color w:val="auto"/>
        </w:rPr>
        <w:tab/>
      </w:r>
      <w:r>
        <w:rPr>
          <w:rFonts w:ascii="Arial" w:cs="Arial" w:eastAsia="Arial" w:hAnsi="Arial"/>
          <w:sz w:val="18"/>
          <w:szCs w:val="18"/>
          <w:color w:val="auto"/>
        </w:rPr>
        <w:t>3.00</w:t>
        <w:tab/>
        <w:t>$</w:t>
      </w:r>
      <w:r>
        <w:rPr>
          <w:sz w:val="20"/>
          <w:szCs w:val="20"/>
          <w:color w:val="auto"/>
        </w:rPr>
        <w:tab/>
      </w: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current criteria for share repurchases are that they be accretive to expected net income per share and are within the limits imposed by our Revolving Credit Facility. Subject to the limits imposed by the Revolving Credit Facility and Prior Credit Facility, in 2015, 2014 and 2013, we were authorized by our Board of Directors to repurchase shares at the discretion of management up to $25,000, $50,000 and $100,000, respectively. On September 25, 2015, our Board of Directors extended the $25,000 repurchase authorization for an additional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The following table highlights our share repurchases for the last three years:</w:t>
            </w: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44,300</w:t>
            </w:r>
          </w:p>
        </w:tc>
      </w:tr>
      <w:tr>
        <w:trPr>
          <w:trHeight w:val="216"/>
        </w:trPr>
        <w:tc>
          <w:tcPr>
            <w:tcW w:w="20" w:type="dxa"/>
            <w:vAlign w:val="bottom"/>
            <w:tcBorders>
              <w:bottom w:val="single" w:sz="8" w:color="auto"/>
            </w:tcBorders>
          </w:tcPr>
          <w:p>
            <w:pPr>
              <w:spacing w:after="0"/>
              <w:rPr>
                <w:sz w:val="18"/>
                <w:szCs w:val="18"/>
                <w:color w:val="auto"/>
              </w:rPr>
            </w:pPr>
          </w:p>
        </w:tc>
        <w:tc>
          <w:tcPr>
            <w:tcW w:w="6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shares repurchased</w:t>
            </w:r>
          </w:p>
        </w:tc>
        <w:tc>
          <w:tcPr>
            <w:tcW w:w="17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3,570</w:t>
            </w:r>
          </w:p>
        </w:tc>
      </w:tr>
      <w:tr>
        <w:trPr>
          <w:trHeight w:val="21"/>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and 2014, related tax withholding payments on certain share-based compensation awards exceeded proceeds received from the exercise of stock options which resulted in a net use of cash of $4,816 and $8,457, respectively. In 2013, proceeds received from the exercise of share-based compensation awards were $6,454.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The following table highlights our working capital:</w:t>
            </w:r>
          </w:p>
        </w:tc>
        <w:tc>
          <w:tcPr>
            <w:tcW w:w="1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Working capital (deficit)</w:t>
            </w:r>
          </w:p>
        </w:tc>
        <w:tc>
          <w:tcPr>
            <w:tcW w:w="19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11,213</w:t>
            </w:r>
          </w:p>
        </w:tc>
        <w:tc>
          <w:tcPr>
            <w:tcW w:w="3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(14,789)</w:t>
            </w:r>
          </w:p>
        </w:tc>
        <w:tc>
          <w:tcPr>
            <w:tcW w:w="3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(13,873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 in working capital at July 31, 2015 compared to August 1, 2014 primarily reflected an increase in cash from operations partially offset by an increase in our dividend payable, the timing of payments for accounts payable and lower retail inventories. The change in working capital at August 1, 2014 compared to August 2, 2013 primarily reflected our current maturities on our debt, the increase in our dividend payable, an increase in deferred revenue related to the sales of our gift cards and the current portion of our interest rate swaps partially offset by higher retail inventory and the timing of payments for accounts payable and estimated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various operating leases, which are disclosed more fully in “Material Commitments” below and Notes 2 and 9 to our Consolidated Financial Statements, we have no other material off-balance sheet arrangements.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Material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cash obligations and commitments as of July 31, 2015,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Contractual Obligations </w:t>
            </w:r>
            <w:r>
              <w:rPr>
                <w:rFonts w:ascii="Arial" w:cs="Arial" w:eastAsia="Arial" w:hAnsi="Arial"/>
                <w:sz w:val="30"/>
                <w:szCs w:val="30"/>
                <w:color w:val="auto"/>
                <w:vertAlign w:val="superscript"/>
              </w:rPr>
              <w:t>(a)</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3"/>
          </w:tcPr>
          <w:p>
            <w:pPr>
              <w:jc w:val="right"/>
              <w:ind w:right="430"/>
              <w:spacing w:after="0"/>
              <w:rPr>
                <w:sz w:val="20"/>
                <w:szCs w:val="20"/>
                <w:color w:val="auto"/>
              </w:rPr>
            </w:pPr>
            <w:r>
              <w:rPr>
                <w:rFonts w:ascii="Arial" w:cs="Arial" w:eastAsia="Arial" w:hAnsi="Arial"/>
                <w:sz w:val="18"/>
                <w:szCs w:val="18"/>
                <w:color w:val="auto"/>
                <w:w w:val="96"/>
              </w:rPr>
              <w:t>Payments due by Years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2017-2018</w:t>
            </w: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2019-2020</w:t>
            </w:r>
          </w:p>
        </w:tc>
        <w:tc>
          <w:tcPr>
            <w:tcW w:w="26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After 2020</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5"/>
                <w:szCs w:val="25"/>
                <w:color w:val="auto"/>
                <w:vertAlign w:val="superscript"/>
              </w:rPr>
              <w:t>(c)</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743,090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61,405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93,374</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86,028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(d)</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73,068</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44,932</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24,875</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(e)</w:t>
            </w:r>
          </w:p>
        </w:tc>
        <w:tc>
          <w:tcPr>
            <w:tcW w:w="8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38,488</w:t>
            </w:r>
          </w:p>
        </w:tc>
        <w:tc>
          <w:tcPr>
            <w:tcW w:w="2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8,506</w:t>
            </w:r>
          </w:p>
        </w:tc>
        <w:tc>
          <w:tcPr>
            <w:tcW w:w="3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28,203</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1,254,646</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107,531</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126,755</w:t>
            </w:r>
          </w:p>
        </w:tc>
        <w:tc>
          <w:tcPr>
            <w:tcW w:w="3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489,874</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530,486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800" w:type="dxa"/>
            <w:vAlign w:val="bottom"/>
            <w:tcBorders>
              <w:top w:val="single" w:sz="8" w:color="auto"/>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5"/>
              </w:rPr>
              <w:t>Amount of Commitment Expirations by Years</w:t>
            </w: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2017-2018</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2019-2020</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After 2020</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(f)</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11,530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11,530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5"/>
                <w:szCs w:val="25"/>
                <w:color w:val="auto"/>
                <w:vertAlign w:val="superscript"/>
              </w:rPr>
              <w:t>(g)</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commitments</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762,078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750,206</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July 31, 2015,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$35,260 is not included in the contractual cash obligations and commitments table above.</w:t>
      </w:r>
    </w:p>
    <w:p>
      <w:pPr>
        <w:spacing w:after="0" w:line="2"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Revolving Credit Facility expires on January 8, 2020. Even though the Revolving Credit Facility expires in 2020, we have the intent and ability to refinance our debt to maintain a sufficient amount of outstanding borrowings during the terms of our interest rate swaps that expire in 2021 and 2024. Using projected interest rates, we anticipate having interest payments of $11,985, $26,858, $26,681 and $47,329 in 2016, 2017-2018, 2019-2020 and after 2020, respectively. The projected interest rates are our fixed rates under our interest rate swaps (see Note 6 to the Consolidated Financial Statements) plus our current credit spread of 1.25%. Based on our outstanding borrowings under our Revolving Credit Facility, our standby letters of credit at July 31, 2015 and our current unused commitment fee as defined in the Revolving Credit Facility, our unused commitment fees in 2016, 2017-2018, and 2019-2020 would be $684, $1,369 and $982, respectively; however, the actual amount will differ based on actual usage of the Revolving Credit Facility in those years.</w:t>
      </w:r>
    </w:p>
    <w:p>
      <w:pPr>
        <w:spacing w:after="0" w:line="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($26,947, with a corresponding long-term asset to fund the liability; see Note 12 to the Consolidated Financial Statements), Deferred Compensation Plan ($2,451) and our long-term incentive plans ($9,090).</w:t>
      </w:r>
    </w:p>
    <w:p>
      <w:pPr>
        <w:ind w:left="34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ind w:left="340" w:hanging="332"/>
        <w:spacing w:after="0" w:line="261"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one property. We are not aware of any non-performance under this arrangement that would result in us having to perform in accordance with the terms of this guarantee.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2 to the accompanying Consolidated Financial Statements for a discussion of recent accounting guidance not yet adopted. The Company either expects that the accounting guidance will not have a significant impact on the Company’s consolidated financial position or results of operations or is currently evaluating the impact of adopting the accounting guidance.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 and Provision for Asset Dispositions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self-insure a significant portion of our expected workers’ compensation and general liability programs. 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 The majority of our fully-insured health insurance plans for calendar 2013 and 2014 contained a retrospective feature which could increase or decrease premiums based on actual claims experience.</w:t>
      </w:r>
    </w:p>
    <w:p>
      <w:pPr>
        <w:spacing w:after="0" w:line="2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Tax Provision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and the Work Opportunity credit,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share-based compensation primarily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eligibility is achieved, if shorter.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and we update the estimated forfeiture rate to actual at each reporting period.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Beginning in 2014, our share-based compensation awards accrue dividends. Dividends will be forfeited for any share-based compensation awards that do not vest.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Generally, the fair value of each nonvested stock award which does not accrue dividends is equal to the market price of our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providing the requisite service, MSU Grants contain both a market condition, total shareholder return, and a performance condition. Total shareholder return is defined as the change in our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our cumulative total shareholder return over the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340" w:hanging="332"/>
        <w:spacing w:after="0" w:line="25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past three years. We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parties to various legal and regulatory proceedings and claims incidental to our business from time to time. We review outstanding claims and proceedings internally and with external counsel, as necessary and appropriate, to assess probability of loss and for the ability to estimate loss. These assessments are re-evaluated each quarter or as new information becomes available to determine whether a reserve should be established or if any existing reserve should be adjusted. The actual cost of resolving a claim or proceeding ultimately may be substantially different than the amount of the recorded reserve. Although we believe that the judgments and estimates used in establishing our legal reserves are reasonable, an unsuccessful legal proceeding or a settlement could result in material adjustments to our Consolidated Financial Statements and our consolidated financial position (see Note 15 to our Consolidated Financial Statements and “Item 3. Legal Proceedings” of Part I of this Annual Report on Form 10-K for further information).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Interest Rate Risk. We have interest rate risk relative to our outstanding borrowings under our credit facility. At both July 31, 2015 and August 1, 2014, our outstanding borrowings totaled $400,000 (see Note 5 to our Consolidated Financial Statements). Loans under our credit facility bear interest, at our election, either at the prime rate or LIBOR plus a percentage point spread based on certain specified financial ratios. Our policy has been to manage interest cost using a mix of fixed and variable rate debt (see Notes 5, 6 and 9 to our Consolidated Financial Statements). To manage this risk in a cost efficient manner, we have entered into interest rate swaps. A summary of our interest rate swaps at July 31, 2015 is as follows: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90"/>
              </w:rPr>
              <w:t>Term</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Trade Date</w:t>
            </w:r>
          </w:p>
        </w:tc>
        <w:tc>
          <w:tcPr>
            <w:tcW w:w="29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Effective Date</w:t>
            </w:r>
          </w:p>
        </w:tc>
        <w:tc>
          <w:tcPr>
            <w:tcW w:w="12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2"/>
              </w:rPr>
              <w:t>(in Years)</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Notional Amount</w:t>
            </w: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Rate</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December 7, 2011</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2013</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April 8, 2013</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April 22, 2013</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25,000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June 18, 2014</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40,000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July 1, 2014</w:t>
            </w:r>
          </w:p>
        </w:tc>
        <w:tc>
          <w:tcPr>
            <w:tcW w:w="2900" w:type="dxa"/>
            <w:vAlign w:val="bottom"/>
          </w:tcPr>
          <w:p>
            <w:pPr>
              <w:ind w:left="720"/>
              <w:spacing w:after="0"/>
              <w:rPr>
                <w:sz w:val="20"/>
                <w:szCs w:val="20"/>
                <w:color w:val="auto"/>
              </w:rPr>
            </w:pPr>
            <w:r>
              <w:rPr>
                <w:rFonts w:ascii="Arial" w:cs="Arial" w:eastAsia="Arial" w:hAnsi="Arial"/>
                <w:sz w:val="18"/>
                <w:szCs w:val="18"/>
                <w:color w:val="auto"/>
              </w:rPr>
              <w:t>May 5,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30,000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2019</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January 30, 2015</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2019</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60,000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4, 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January 30, 2015</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2019</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60,000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4, 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80,000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July 31, 2015 and August 1, 2014, our outstanding borrowings were swapped at a weighted average interest rate of 2.96% and 3.73%, respectively, which are the weighted average fixed rates of our interest rate swaps plus our current credit spread. See Note 6 to our Consolidated Financial Statements for further discussion of our interest rate swaps.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2015 and 2014:</w:t>
      </w:r>
    </w:p>
    <w:p>
      <w:pPr>
        <w:spacing w:after="0" w:line="252"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Percentage of Food Purchases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400" w:type="dxa"/>
            <w:vAlign w:val="bottom"/>
            <w:tcBorders>
              <w:top w:val="single" w:sz="8" w:color="auto"/>
              <w:bottom w:val="single" w:sz="8" w:color="auto"/>
            </w:tcBorders>
          </w:tcPr>
          <w:p>
            <w:pPr>
              <w:ind w:left="7940"/>
              <w:spacing w:after="0"/>
              <w:rPr>
                <w:sz w:val="20"/>
                <w:szCs w:val="20"/>
                <w:color w:val="auto"/>
              </w:rPr>
            </w:pPr>
            <w:r>
              <w:rPr>
                <w:rFonts w:ascii="Arial" w:cs="Arial" w:eastAsia="Arial" w:hAnsi="Arial"/>
                <w:sz w:val="18"/>
                <w:szCs w:val="18"/>
                <w:color w:val="auto"/>
              </w:rPr>
              <w:t>2015</w:t>
            </w:r>
          </w:p>
        </w:tc>
        <w:tc>
          <w:tcPr>
            <w:tcW w:w="6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Dairy (including eggs)</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Pork</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Poultry</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r>
      <w:tr>
        <w:trPr>
          <w:trHeight w:val="596"/>
        </w:trPr>
        <w:tc>
          <w:tcPr>
            <w:tcW w:w="580" w:type="dxa"/>
            <w:vAlign w:val="bottom"/>
          </w:tcPr>
          <w:p>
            <w:pPr>
              <w:spacing w:after="0"/>
              <w:rPr>
                <w:sz w:val="24"/>
                <w:szCs w:val="24"/>
                <w:color w:val="auto"/>
              </w:rPr>
            </w:pPr>
          </w:p>
        </w:tc>
        <w:tc>
          <w:tcPr>
            <w:tcW w:w="8400" w:type="dxa"/>
            <w:vAlign w:val="bottom"/>
            <w:tcBorders>
              <w:top w:val="single" w:sz="8" w:color="auto"/>
            </w:tcBorders>
          </w:tcPr>
          <w:p>
            <w:pPr>
              <w:ind w:left="5060"/>
              <w:spacing w:after="0"/>
              <w:rPr>
                <w:sz w:val="20"/>
                <w:szCs w:val="20"/>
                <w:color w:val="auto"/>
              </w:rPr>
            </w:pPr>
            <w:r>
              <w:rPr>
                <w:rFonts w:ascii="Arial" w:cs="Arial" w:eastAsia="Arial" w:hAnsi="Arial"/>
                <w:sz w:val="14"/>
                <w:szCs w:val="14"/>
                <w:color w:val="auto"/>
              </w:rPr>
              <w:t>44</w:t>
            </w:r>
          </w:p>
        </w:tc>
        <w:tc>
          <w:tcPr>
            <w:tcW w:w="6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8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categories affected by the commodities markets, such as grains and seafood, may each account for as much as 8%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Cracker Barrel Old Country Store, Inc. and its subsidiaries (the “Company”) as of July 31, 2015 and August 1, 2014, and the related consolidated statements of income, comprehensive income, changes in shareholders’ equity, and cash flows for each of the three fiscal years in the period ended July 31, 2015. These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Cracker Barrel Old Country Store, Inc. and its subsidiaries as of July 31, 2015 and August 1, 2014, and the results of their operations and their cash flows for each of the three fiscal years in the period ended July 31, 2015, in conformity with accounting principles generally accepted in the United States of America.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July 31, 2015,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and our report dated September 28, 2015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6"/>
                <w:szCs w:val="16"/>
                <w:color w:val="auto"/>
              </w:rPr>
            </w:pPr>
          </w:p>
        </w:tc>
        <w:tc>
          <w:tcPr>
            <w:tcW w:w="2480" w:type="dxa"/>
            <w:vAlign w:val="bottom"/>
            <w:gridSpan w:val="4"/>
          </w:tcPr>
          <w:p>
            <w:pPr>
              <w:jc w:val="right"/>
              <w:ind w:right="100"/>
              <w:spacing w:after="0" w:line="189" w:lineRule="exact"/>
              <w:rPr>
                <w:sz w:val="20"/>
                <w:szCs w:val="20"/>
                <w:color w:val="auto"/>
              </w:rPr>
            </w:pPr>
            <w:r>
              <w:rPr>
                <w:rFonts w:ascii="Arial" w:cs="Arial" w:eastAsia="Arial" w:hAnsi="Arial"/>
                <w:sz w:val="18"/>
                <w:szCs w:val="18"/>
                <w:color w:val="auto"/>
                <w:w w:val="89"/>
              </w:rPr>
              <w:t>(In thousands except share data)</w:t>
            </w:r>
          </w:p>
        </w:tc>
        <w:tc>
          <w:tcPr>
            <w:tcW w:w="0" w:type="dxa"/>
            <w:vAlign w:val="bottom"/>
          </w:tcPr>
          <w:p>
            <w:pPr>
              <w:spacing w:after="0"/>
              <w:rPr>
                <w:sz w:val="1"/>
                <w:szCs w:val="1"/>
                <w:color w:val="auto"/>
              </w:rPr>
            </w:pPr>
          </w:p>
        </w:tc>
      </w:tr>
      <w:tr>
        <w:trPr>
          <w:trHeight w:val="237"/>
        </w:trPr>
        <w:tc>
          <w:tcPr>
            <w:tcW w:w="8620" w:type="dxa"/>
            <w:vAlign w:val="bottom"/>
            <w:gridSpan w:val="2"/>
            <w:vMerge w:val="continue"/>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July 31, 2015</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1, 2014</w:t>
            </w:r>
          </w:p>
        </w:tc>
        <w:tc>
          <w:tcPr>
            <w:tcW w:w="0" w:type="dxa"/>
            <w:vAlign w:val="bottom"/>
          </w:tcPr>
          <w:p>
            <w:pPr>
              <w:spacing w:after="0"/>
              <w:rPr>
                <w:sz w:val="1"/>
                <w:szCs w:val="1"/>
                <w:color w:val="auto"/>
              </w:rPr>
            </w:pPr>
          </w:p>
        </w:tc>
      </w:tr>
      <w:tr>
        <w:trPr>
          <w:trHeight w:val="216"/>
        </w:trPr>
        <w:tc>
          <w:tcPr>
            <w:tcW w:w="8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265,455</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18,050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153,058</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14,167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6,094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456,824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303,267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788,641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Restaurant and other equipment</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541,409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286,990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7,464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1,931,060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878,424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1,052,636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1,043,284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66,748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1,576,208</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1,432,248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133,117</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accrued</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39,061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67,421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27,717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revenues</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58,980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98,796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interest rate swap liability</w:t>
            </w:r>
          </w:p>
        </w:tc>
        <w:tc>
          <w:tcPr>
            <w:tcW w:w="3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19,402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445,611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interest rate swap liability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8,704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133,594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50,031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9 and 15)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2015 – 23,975,755 shares issued and outstanding;</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auto"/>
              </w:rPr>
              <w:t>2014 – 23,821,227 shares issued and outstanding</w:t>
            </w:r>
          </w:p>
        </w:tc>
        <w:tc>
          <w:tcPr>
            <w:tcW w:w="32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56,066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485,687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538,268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1,576,208</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1,432,248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gridSpan w:val="5"/>
          </w:tcPr>
          <w:p>
            <w:pPr>
              <w:jc w:val="right"/>
              <w:ind w:right="690"/>
              <w:spacing w:after="0"/>
              <w:rPr>
                <w:sz w:val="20"/>
                <w:szCs w:val="20"/>
                <w:color w:val="auto"/>
              </w:rPr>
            </w:pPr>
            <w:r>
              <w:rPr>
                <w:rFonts w:ascii="Arial" w:cs="Arial" w:eastAsia="Arial" w:hAnsi="Arial"/>
                <w:sz w:val="18"/>
                <w:szCs w:val="18"/>
                <w:color w:val="auto"/>
              </w:rPr>
              <w:t>(In thousands except share data)</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July 31, 2015</w:t>
            </w:r>
          </w:p>
        </w:tc>
        <w:tc>
          <w:tcPr>
            <w:tcW w:w="14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August 1, 2014</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0"/>
              </w:rPr>
              <w:t>August 2, 2013</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2,842,284</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2,683,677</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2,644,630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924,171</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872,758</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854,684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992,382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966,593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store operating expenses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523,307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506,533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482,601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402,424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337,793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147,544</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129,387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254,880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208,406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17,557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35,742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238,201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190,849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58,721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5.51</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23,918,368</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23,817,768</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23,708,875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8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24,048,924</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23,966,015</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23,948,321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w w:val="89"/>
              </w:rPr>
              <w:t>July 31, 2015</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August 1, 2014</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2,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17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w:t>
            </w:r>
          </w:p>
        </w:tc>
        <w:tc>
          <w:tcPr>
            <w:tcW w:w="4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3,058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1,179</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net of tax</w:t>
            </w:r>
          </w:p>
        </w:tc>
        <w:tc>
          <w:tcPr>
            <w:tcW w:w="1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1,879</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164,911</w:t>
            </w: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134,007</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gridSpan w:val="2"/>
          </w:tcPr>
          <w:p>
            <w:pPr>
              <w:jc w:val="right"/>
              <w:ind w:right="35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Shareholders’</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Capital</w:t>
            </w:r>
          </w:p>
        </w:tc>
        <w:tc>
          <w:tcPr>
            <w:tcW w:w="30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2012</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23,473,024</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28,676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374,923</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14,546</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$2.25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(53,515)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(53,515)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17,839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366,603</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6,450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2,332</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(44,300)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(3,570)</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2, 2013</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23,795,327</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237</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51,728</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438,673</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1,879</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$3.25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(77,634)</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(77,634)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145,900</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(8,459)</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(12,472)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(12,473)</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1, 2014</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23,821,227</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238</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39,969</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493,167</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163,903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1,008</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163,903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$7.10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(171,383)</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(171,383)</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16,210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154,528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(4,818)</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(4,816)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4,705</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31, 2015</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23,975,755</w:t>
            </w:r>
          </w:p>
        </w:tc>
        <w:tc>
          <w:tcPr>
            <w:tcW w:w="9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56,066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485,687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Fiscal years ended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w w:val="89"/>
              </w:rPr>
              <w:t>July 31, 2015</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August 1, 2014</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2,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163,903</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68,389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Loss on disposition of property and equipment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6,872</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5,163</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Excess tax benefit from share-based compensation</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(6,762)</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12,368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(18,739)</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(1,701)</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Taxes withheld and accrued</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2,800</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1,185</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compensation</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Accrued employee benefits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1,667</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1,573</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5,727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(1,960)</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obligations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(7,217)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(2,838)</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334,055</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177,625</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insurance recoveries of property and equipment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1,082</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1,749</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(88,614)</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(88,815)</w:t>
            </w: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406,250</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(Taxes withheld) and proceeds from issuance of share-based compensation awards, net</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(406,250)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(3,537)</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on common stock</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(95,699)</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1,248</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(99,347)</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146,094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119,361</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121,718</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265,455</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119,361</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692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15,856</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69,948</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66,444</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5,767</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1,641</w:t>
            </w:r>
          </w:p>
        </w:tc>
        <w:tc>
          <w:tcPr>
            <w:tcW w:w="46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3,058</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Dividends declared but not yet paid</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99,678</w:t>
            </w:r>
          </w:p>
        </w:tc>
        <w:tc>
          <w:tcPr>
            <w:tcW w:w="46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23,997</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920" w:type="dxa"/>
            <w:vAlign w:val="bottom"/>
            <w:gridSpan w:val="2"/>
          </w:tcPr>
          <w:p>
            <w:pPr>
              <w:jc w:val="right"/>
              <w:ind w:right="1050"/>
              <w:spacing w:after="0"/>
              <w:rPr>
                <w:sz w:val="20"/>
                <w:szCs w:val="20"/>
                <w:color w:val="auto"/>
              </w:rPr>
            </w:pPr>
            <w:r>
              <w:rPr>
                <w:rFonts w:ascii="Arial" w:cs="Arial" w:eastAsia="Arial" w:hAnsi="Arial"/>
                <w:sz w:val="14"/>
                <w:szCs w:val="14"/>
                <w:color w:val="auto"/>
              </w:rPr>
              <w:t>51</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Description of the Business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2. Summary of Significant Accounting Policies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U.S. (“GAAP”).</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Fiscal year – The Company’s fiscal year ends on the Friday nearest July 31st and each quarter consists of thirteen weeks unless noted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a year or quarter are to the Company’s fiscal year or quarter unless noted otherwise.</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Accounts receivable – Accounts receivable represent their estimated net realizable value. Accounts receivable are written off when they are deemed uncollectible.</w:t>
      </w:r>
    </w:p>
    <w:p>
      <w:pPr>
        <w:spacing w:after="0" w:line="19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Inventories – Inventories are stated at the lower of cost or market. Cost of restaurant inventory is determined by the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(“FIFO”) method. Retail inventories are valued using the retail inventory method (“RIM”) except at the retail distribution center which uses average cost. Approximately 70% to 75% of retail inventories are valued using RIM and the remaining retail inventories are valued using an average cost method. See Note 4 for additional information regarding the components of inventory.</w:t>
      </w:r>
    </w:p>
    <w:p>
      <w:pPr>
        <w:spacing w:after="0" w:line="2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Valuation provisions are included for retail inventory obsolescence, retail inventory shrinkage, returns and amortization of certain items. Cost of goods sold includes an estimate of retail inventory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98"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16"/>
          <w:szCs w:val="16"/>
          <w:color w:val="auto"/>
        </w:rPr>
        <w:t>‑</w:t>
      </w:r>
      <w:r>
        <w:rPr>
          <w:rFonts w:ascii="Arial" w:cs="Arial" w:eastAsia="Arial" w:hAnsi="Arial"/>
          <w:sz w:val="16"/>
          <w:szCs w:val="16"/>
          <w:color w:val="auto"/>
        </w:rPr>
        <w:t>line and double</w:t>
      </w:r>
      <w:r>
        <w:rPr>
          <w:rFonts w:ascii="MS PGothic" w:cs="MS PGothic" w:eastAsia="MS PGothic" w:hAnsi="MS PGothic"/>
          <w:sz w:val="16"/>
          <w:szCs w:val="16"/>
          <w:color w:val="auto"/>
        </w:rPr>
        <w:t>‑</w:t>
      </w:r>
      <w:r>
        <w:rPr>
          <w:rFonts w:ascii="Arial" w:cs="Arial" w:eastAsia="Arial" w:hAnsi="Arial"/>
          <w:sz w:val="16"/>
          <w:szCs w:val="16"/>
          <w:color w:val="auto"/>
        </w:rPr>
        <w:t>declining balance methods over the estimated useful lives of the respective assets,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ind w:left="412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490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Leasehold improvements</w:t>
            </w:r>
          </w:p>
        </w:tc>
        <w:tc>
          <w:tcPr>
            <w:tcW w:w="4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Accelerated depreciation methods are generally used for income tax purposes.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120" w:type="dxa"/>
            <w:vAlign w:val="bottom"/>
            <w:gridSpan w:val="5"/>
          </w:tcPr>
          <w:p>
            <w:pPr>
              <w:jc w:val="right"/>
              <w:ind w:right="10"/>
              <w:spacing w:after="0"/>
              <w:rPr>
                <w:sz w:val="20"/>
                <w:szCs w:val="20"/>
                <w:color w:val="auto"/>
              </w:rPr>
            </w:pPr>
            <w:r>
              <w:rPr>
                <w:rFonts w:ascii="Arial" w:cs="Arial" w:eastAsia="Arial" w:hAnsi="Arial"/>
                <w:sz w:val="18"/>
                <w:szCs w:val="18"/>
                <w:color w:val="auto"/>
                <w:w w:val="92"/>
              </w:rPr>
              <w:t>Total depreciation expense and depreciation expense related to store operations for each of the three years are as follows:</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72,390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67,620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Depreciation expense related to store operations*</w:t>
            </w:r>
          </w:p>
        </w:tc>
        <w:tc>
          <w:tcPr>
            <w:tcW w:w="21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66,754</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62,746</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 related to store operations is included in other store operating expenses in the Consolidated Statements of Income.</w:t>
      </w: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21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Utilizing these criteria, the Company manages its business on the basis of one reportable operating segment (see Note 8 for additional information regarding segment reporting).</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2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Insurance – The Company self-insures a significant portion of its workers’ compensation and general liability programs. The Company purchases insurance for individual workers’ compensation claims that exceed $250, $500 or $1,000 depending on the state in which the claim originates. The Company purchases insurance for individual general liability claims that exceed $500.</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20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 The fully-insured portion of the Company’s calendar 2013 and 2014 health insurance program contains a retrospective feature which could increase or decrease premiums based on actual claims experience.</w:t>
      </w:r>
    </w:p>
    <w:p>
      <w:pPr>
        <w:spacing w:after="0" w:line="2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68,665</w:t>
        <w:tab/>
        <w:t>$</w:t>
      </w:r>
      <w:r>
        <w:rPr>
          <w:sz w:val="20"/>
          <w:szCs w:val="20"/>
          <w:color w:val="auto"/>
        </w:rPr>
        <w:tab/>
      </w:r>
      <w:r>
        <w:rPr>
          <w:rFonts w:ascii="Arial" w:cs="Arial" w:eastAsia="Arial" w:hAnsi="Arial"/>
          <w:sz w:val="18"/>
          <w:szCs w:val="18"/>
          <w:color w:val="auto"/>
        </w:rPr>
        <w:t>63,707</w:t>
        <w:tab/>
        <w:t>$</w:t>
      </w:r>
      <w:r>
        <w:rPr>
          <w:sz w:val="20"/>
          <w:szCs w:val="20"/>
          <w:color w:val="auto"/>
        </w:rPr>
        <w:tab/>
      </w:r>
      <w:r>
        <w:rPr>
          <w:rFonts w:ascii="Arial" w:cs="Arial" w:eastAsia="Arial" w:hAnsi="Arial"/>
          <w:sz w:val="16"/>
          <w:szCs w:val="16"/>
          <w:color w:val="auto"/>
        </w:rPr>
        <w:t>59,957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performance-based market stock units (“MSU Grants”) and stock options.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nonvested stock awards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shares of common stock to satisfy exercises of share-based compensation awards.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13 for additional information regarding income taxes.</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nonvested stock awards and MSU Grants issued by the Company are calculated using the treasury stock method. Outstanding employee and director stock options, nonvested stock awards and MSU Grants issued by the Company represent the only dilutive effects on diluted consolidated net income per share. See Note 14 for additional information regarding net income per share.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Reporting Discontinued Operations and Disclosures of Disposals of Components of an Entity</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April 2014, the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This accounting guidance is not expected to have a significant impact on the Company’s consolidated financial position or results of operations upon adoption in the first quarter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it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Early application is permitted for fiscal years beginning after December 15, 2016. A company may apply this accounting guidance either retrospectively or using the cumulative effect transition method. The Company is currently evaluating the impact of adopting this accounting guidance in the first quarter of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2015, the FASB issued accounting guidance which requires debt issuance costs to be presented in the balance sheet as a reduction of the related debt liability rather than as an asset. This accounting guidance is effective for fiscal years beginning after December 15, 2015, and interim periods within those years on a retrospective basis. Early application is permitted. Since this accounting guidance does not provide guidance on debt issuance costs related to revolving debt agreements, this accounting guidance is not expected to have a significant impact on the Company’s consolidated financial position or results of operations upon adoption in the first quarter of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2015, the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years on a prospective basis. Early application is permitted. The Company is currently evaluating the impact of adopting this accounting guidance in the first period of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 Fair Value Measurements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18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right="1760" w:hanging="332"/>
        <w:spacing w:after="0" w:line="563"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Significant Unobservable Inputs (“Level 3”) – unobservable and significant to the fair value measurement of the asset or liability. The Company’s assets and liabilities measured at fair value on a recurring basis at July 31, 2015 were as follows: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191,084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3,759</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26,947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218,031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3,759</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9,821</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August 1, 2014 were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25,322</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88,390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12).</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accounts receivable and accounts payable at July 31, 2015 and August 1, 2014, approximate their carrying amounts because of their short duration. The fair value of the Company’s variable rate debt, based on quoted market prices, which are considered Level 1 inputs, approximates its carrying amounts at July 31, 2015 and August 1, 2014.</w:t>
      </w:r>
    </w:p>
    <w:p>
      <w:pPr>
        <w:spacing w:after="0" w:line="208"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52"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Inventories were comprised of the following at: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860" w:type="dxa"/>
            <w:vAlign w:val="bottom"/>
            <w:gridSpan w:val="2"/>
          </w:tcPr>
          <w:p>
            <w:pPr>
              <w:jc w:val="right"/>
              <w:ind w:right="90"/>
              <w:spacing w:after="0"/>
              <w:rPr>
                <w:sz w:val="20"/>
                <w:szCs w:val="20"/>
                <w:color w:val="auto"/>
              </w:rPr>
            </w:pPr>
            <w:r>
              <w:rPr>
                <w:rFonts w:ascii="Arial" w:cs="Arial" w:eastAsia="Arial" w:hAnsi="Arial"/>
                <w:sz w:val="18"/>
                <w:szCs w:val="18"/>
                <w:color w:val="auto"/>
              </w:rPr>
              <w:t>July 31, 2015</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1, 2014</w:t>
            </w: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59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115,777</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Restaurant</w:t>
            </w:r>
          </w:p>
        </w:tc>
        <w:tc>
          <w:tcPr>
            <w:tcW w:w="5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22,212</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22,371</w:t>
            </w:r>
          </w:p>
        </w:tc>
      </w:tr>
      <w:tr>
        <w:trPr>
          <w:trHeight w:val="223"/>
        </w:trPr>
        <w:tc>
          <w:tcPr>
            <w:tcW w:w="20" w:type="dxa"/>
            <w:vAlign w:val="bottom"/>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59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15,069</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59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153,058</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165,426</w:t>
            </w:r>
          </w:p>
        </w:tc>
      </w:tr>
      <w:tr>
        <w:trPr>
          <w:trHeight w:val="21"/>
        </w:trPr>
        <w:tc>
          <w:tcPr>
            <w:tcW w:w="2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940" w:type="dxa"/>
            <w:vAlign w:val="bottom"/>
          </w:tcPr>
          <w:p>
            <w:pPr>
              <w:jc w:val="right"/>
              <w:ind w:right="3274"/>
              <w:spacing w:after="0"/>
              <w:rPr>
                <w:sz w:val="20"/>
                <w:szCs w:val="20"/>
                <w:color w:val="auto"/>
              </w:rPr>
            </w:pPr>
            <w:r>
              <w:rPr>
                <w:rFonts w:ascii="Arial" w:cs="Arial" w:eastAsia="Arial" w:hAnsi="Arial"/>
                <w:sz w:val="14"/>
                <w:szCs w:val="14"/>
                <w:color w:val="auto"/>
              </w:rPr>
              <w:t>57</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5. Debt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8, 2015, the Company entered into a five-year $750,000 revolving credit facility (the “Revolving Credit Facility”). The Revolving Credit Facility replaced a term loan totaling $181,250 and a $218,750 revolving credit facility (the "Prior Credit Facility”). In the second quarter of 2015, loan acquisition costs associated with the Revolving Credit Facility were capitalized in the amount of $3,537 and will be amortized over the five-year term of the Revolving Credit Facility. Loan acquisition costs of $412 associated with the Prior Credit Facility were written off in the second quarter of 2015 and are recorded in interest expense in the Consolidated Statement of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40" w:type="dxa"/>
            <w:vAlign w:val="bottom"/>
          </w:tcPr>
          <w:p>
            <w:pPr>
              <w:ind w:left="3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at:</w:t>
            </w:r>
          </w:p>
        </w:tc>
        <w:tc>
          <w:tcPr>
            <w:tcW w:w="2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700" w:type="dxa"/>
            <w:vAlign w:val="bottom"/>
            <w:gridSpan w:val="2"/>
          </w:tcPr>
          <w:p>
            <w:pPr>
              <w:jc w:val="right"/>
              <w:ind w:right="90"/>
              <w:spacing w:after="0"/>
              <w:rPr>
                <w:sz w:val="20"/>
                <w:szCs w:val="20"/>
                <w:color w:val="auto"/>
              </w:rPr>
            </w:pPr>
            <w:r>
              <w:rPr>
                <w:rFonts w:ascii="Arial" w:cs="Arial" w:eastAsia="Arial" w:hAnsi="Arial"/>
                <w:sz w:val="18"/>
                <w:szCs w:val="18"/>
                <w:color w:val="auto"/>
              </w:rPr>
              <w:t>July 31, 2015</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1, 2014</w:t>
            </w:r>
          </w:p>
        </w:tc>
      </w:tr>
      <w:tr>
        <w:trPr>
          <w:trHeight w:val="216"/>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expiring on January 8, 2020</w:t>
            </w:r>
          </w:p>
        </w:tc>
        <w:tc>
          <w:tcPr>
            <w:tcW w:w="27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Revolving Credit Facility expiring on July 8, 2016</w:t>
            </w:r>
          </w:p>
        </w:tc>
        <w:tc>
          <w:tcPr>
            <w:tcW w:w="27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Term loan payable on or before July 8, 2016</w:t>
            </w:r>
          </w:p>
        </w:tc>
        <w:tc>
          <w:tcPr>
            <w:tcW w:w="27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400,000</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maturities</w:t>
            </w:r>
          </w:p>
        </w:tc>
        <w:tc>
          <w:tcPr>
            <w:tcW w:w="27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2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400,000</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July 31, 2015, the Company had $11,530 of standby letters of credit, which reduce the Company’s borrowing availability under the Revolving Credit Facility (see Note 15). At July 31, 2015, the Company had $338,470 in borrowing availability under the Revolving Credit Facility.</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Revolving Credit Facility, outstanding borrowings bear interest, at the Company’s election, either at LIBOR or prime plus a percentage point spread based on certain specified financial ratios. At July 31, 2015 and August 1, 2014, the Company’s outstanding borrowings were swapped at a weighted average interest rates of 2.96% and 3.73%, respectively (see Note 6 for information on the Company’s interest rate swaps).</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Revolving Credit Facility contains customary financial covenants, which include maintenance of a maximum consolidated total leverage ratio and a minimum consolidated interest coverage ratio. At July 31, 2015 and August 1, 2014, the Company was in compliance with all debt covenants.</w:t>
      </w:r>
    </w:p>
    <w:p>
      <w:pPr>
        <w:spacing w:after="0" w:line="17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Revolving Credit Facility also imposes restrictions on the amount of dividends the Company is permitted to pay and the amount of shares the Company is permitted to repurchase. Under the Revolving Credit Facility, provided there is no default existing and the total of the Company’s availability under the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and Hedging Activities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spreads at July 31, 2015 and August 1, 2014 were 1.25% and 1.50%, respectively. All of the Company’s interest rate swaps are accounted for as cash flow hedges.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interest rate swaps at July 31, 2015 is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jc w:val="center"/>
              <w:ind w:left="310"/>
              <w:spacing w:after="0"/>
              <w:rPr>
                <w:sz w:val="20"/>
                <w:szCs w:val="20"/>
                <w:color w:val="auto"/>
              </w:rPr>
            </w:pPr>
            <w:r>
              <w:rPr>
                <w:rFonts w:ascii="Arial" w:cs="Arial" w:eastAsia="Arial" w:hAnsi="Arial"/>
                <w:sz w:val="18"/>
                <w:szCs w:val="18"/>
                <w:color w:val="auto"/>
                <w:w w:val="90"/>
              </w:rPr>
              <w:t>Term</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Fixed</w:t>
            </w:r>
          </w:p>
        </w:tc>
      </w:tr>
      <w:tr>
        <w:trPr>
          <w:trHeight w:val="237"/>
        </w:trPr>
        <w:tc>
          <w:tcPr>
            <w:tcW w:w="20" w:type="dxa"/>
            <w:vAlign w:val="bottom"/>
          </w:tcPr>
          <w:p>
            <w:pPr>
              <w:spacing w:after="0"/>
              <w:rPr>
                <w:sz w:val="20"/>
                <w:szCs w:val="20"/>
                <w:color w:val="auto"/>
              </w:rPr>
            </w:pPr>
          </w:p>
        </w:tc>
        <w:tc>
          <w:tcPr>
            <w:tcW w:w="28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Trade Date</w:t>
            </w:r>
          </w:p>
        </w:tc>
        <w:tc>
          <w:tcPr>
            <w:tcW w:w="29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Effective Date</w:t>
            </w:r>
          </w:p>
        </w:tc>
        <w:tc>
          <w:tcPr>
            <w:tcW w:w="12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2"/>
              </w:rPr>
              <w:t>(in Years)</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Notional Amount</w:t>
            </w: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Rate</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December 7, 2011</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2013</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April 8, 2013</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April 22, 2013</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25,000</w:t>
            </w: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June 18, 2014</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40,000</w:t>
            </w:r>
          </w:p>
        </w:tc>
        <w:tc>
          <w:tcPr>
            <w:tcW w:w="126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July 1, 2014</w:t>
            </w:r>
          </w:p>
        </w:tc>
        <w:tc>
          <w:tcPr>
            <w:tcW w:w="2900" w:type="dxa"/>
            <w:vAlign w:val="bottom"/>
          </w:tcPr>
          <w:p>
            <w:pPr>
              <w:ind w:left="720"/>
              <w:spacing w:after="0"/>
              <w:rPr>
                <w:sz w:val="20"/>
                <w:szCs w:val="20"/>
                <w:color w:val="auto"/>
              </w:rPr>
            </w:pPr>
            <w:r>
              <w:rPr>
                <w:rFonts w:ascii="Arial" w:cs="Arial" w:eastAsia="Arial" w:hAnsi="Arial"/>
                <w:sz w:val="18"/>
                <w:szCs w:val="18"/>
                <w:color w:val="auto"/>
              </w:rPr>
              <w:t>May 5, 2015</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30,000</w:t>
            </w:r>
          </w:p>
        </w:tc>
        <w:tc>
          <w:tcPr>
            <w:tcW w:w="12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2019</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January 30, 2015</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2019</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60,000</w:t>
            </w: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4, 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January 30, 2015</w:t>
            </w:r>
          </w:p>
        </w:tc>
        <w:tc>
          <w:tcPr>
            <w:tcW w:w="2900" w:type="dxa"/>
            <w:vAlign w:val="bottom"/>
          </w:tcPr>
          <w:p>
            <w:pPr>
              <w:ind w:left="720"/>
              <w:spacing w:after="0"/>
              <w:rPr>
                <w:sz w:val="20"/>
                <w:szCs w:val="20"/>
                <w:color w:val="auto"/>
              </w:rPr>
            </w:pPr>
            <w:r>
              <w:rPr>
                <w:rFonts w:ascii="Arial" w:cs="Arial" w:eastAsia="Arial" w:hAnsi="Arial"/>
                <w:sz w:val="18"/>
                <w:szCs w:val="18"/>
                <w:color w:val="auto"/>
              </w:rPr>
              <w:t>May 3, 2019</w:t>
            </w:r>
          </w:p>
        </w:tc>
        <w:tc>
          <w:tcPr>
            <w:tcW w:w="126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60,000</w:t>
            </w: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January 30, 2015</w:t>
            </w:r>
          </w:p>
        </w:tc>
        <w:tc>
          <w:tcPr>
            <w:tcW w:w="2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4, 2021</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values of the Company’s derivative instruments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(See Note 3)</w:t>
            </w:r>
          </w:p>
        </w:tc>
        <w:tc>
          <w:tcPr>
            <w:tcW w:w="522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Balance Sheet Location</w:t>
            </w:r>
          </w:p>
        </w:tc>
        <w:tc>
          <w:tcPr>
            <w:tcW w:w="19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July 31, 2015</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August 1, 2014</w:t>
            </w: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3,759</w:t>
            </w:r>
          </w:p>
        </w:tc>
        <w:tc>
          <w:tcPr>
            <w:tcW w:w="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Pr>
          <w:p>
            <w:pPr>
              <w:ind w:left="1500"/>
              <w:spacing w:after="0"/>
              <w:rPr>
                <w:sz w:val="20"/>
                <w:szCs w:val="20"/>
                <w:color w:val="auto"/>
              </w:rPr>
            </w:pPr>
            <w:r>
              <w:rPr>
                <w:rFonts w:ascii="Arial" w:cs="Arial" w:eastAsia="Arial" w:hAnsi="Arial"/>
                <w:sz w:val="18"/>
                <w:szCs w:val="18"/>
                <w:color w:val="auto"/>
              </w:rPr>
              <w:t>Current interest rate swap liability</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1,117</w:t>
            </w:r>
          </w:p>
        </w:tc>
        <w:tc>
          <w:tcPr>
            <w:tcW w:w="5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4,704</w:t>
            </w: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Long-term interest rate swap liability</w:t>
            </w: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8,704</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216"/>
        </w:trPr>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5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9,821</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7,943</w:t>
            </w:r>
          </w:p>
        </w:tc>
      </w:tr>
      <w:tr>
        <w:trPr>
          <w:trHeight w:val="21"/>
        </w:trPr>
        <w:tc>
          <w:tcPr>
            <w:tcW w:w="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Consolidated Balance Sheets at July 31, 2015 and August 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Net Asset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ind w:left="300"/>
              <w:spacing w:after="0"/>
              <w:rPr>
                <w:sz w:val="20"/>
                <w:szCs w:val="20"/>
                <w:color w:val="auto"/>
              </w:rPr>
            </w:pPr>
            <w:r>
              <w:rPr>
                <w:rFonts w:ascii="Arial" w:cs="Arial" w:eastAsia="Arial" w:hAnsi="Arial"/>
                <w:sz w:val="18"/>
                <w:szCs w:val="18"/>
                <w:color w:val="auto"/>
              </w:rPr>
              <w:t>Gross Asset Amounts</w:t>
            </w:r>
          </w:p>
        </w:tc>
        <w:tc>
          <w:tcPr>
            <w:tcW w:w="200" w:type="dxa"/>
            <w:vAlign w:val="bottom"/>
          </w:tcPr>
          <w:p>
            <w:pPr>
              <w:spacing w:after="0"/>
              <w:rPr>
                <w:sz w:val="20"/>
                <w:szCs w:val="20"/>
                <w:color w:val="auto"/>
              </w:rPr>
            </w:pPr>
          </w:p>
        </w:tc>
        <w:tc>
          <w:tcPr>
            <w:tcW w:w="2120" w:type="dxa"/>
            <w:vAlign w:val="bottom"/>
            <w:gridSpan w:val="4"/>
          </w:tcPr>
          <w:p>
            <w:pPr>
              <w:ind w:left="180"/>
              <w:spacing w:after="0"/>
              <w:rPr>
                <w:sz w:val="20"/>
                <w:szCs w:val="20"/>
                <w:color w:val="auto"/>
              </w:rPr>
            </w:pPr>
            <w:r>
              <w:rPr>
                <w:rFonts w:ascii="Arial" w:cs="Arial" w:eastAsia="Arial" w:hAnsi="Arial"/>
                <w:sz w:val="18"/>
                <w:szCs w:val="18"/>
                <w:color w:val="auto"/>
              </w:rPr>
              <w:t>Liability Amount Offset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jc w:val="center"/>
              <w:ind w:right="26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440"/>
              <w:spacing w:after="0" w:line="201" w:lineRule="exact"/>
              <w:rPr>
                <w:sz w:val="20"/>
                <w:szCs w:val="20"/>
                <w:color w:val="auto"/>
              </w:rPr>
            </w:pPr>
            <w:r>
              <w:rPr>
                <w:rFonts w:ascii="Arial" w:cs="Arial" w:eastAsia="Arial" w:hAnsi="Arial"/>
                <w:sz w:val="18"/>
                <w:szCs w:val="18"/>
                <w:color w:val="auto"/>
                <w:w w:val="93"/>
              </w:rPr>
              <w:t>July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1"/>
              </w:rPr>
              <w:t>August 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July 31,</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left="97"/>
              <w:spacing w:after="0" w:line="201" w:lineRule="exact"/>
              <w:rPr>
                <w:sz w:val="20"/>
                <w:szCs w:val="20"/>
                <w:color w:val="auto"/>
              </w:rPr>
            </w:pPr>
            <w:r>
              <w:rPr>
                <w:rFonts w:ascii="Arial" w:cs="Arial" w:eastAsia="Arial" w:hAnsi="Arial"/>
                <w:sz w:val="18"/>
                <w:szCs w:val="18"/>
                <w:color w:val="auto"/>
                <w:w w:val="91"/>
              </w:rPr>
              <w:t>August 1,</w:t>
            </w:r>
          </w:p>
        </w:tc>
        <w:tc>
          <w:tcPr>
            <w:tcW w:w="1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80"/>
              <w:spacing w:after="0" w:line="201" w:lineRule="exact"/>
              <w:rPr>
                <w:sz w:val="20"/>
                <w:szCs w:val="20"/>
                <w:color w:val="auto"/>
              </w:rPr>
            </w:pPr>
            <w:r>
              <w:rPr>
                <w:rFonts w:ascii="Arial" w:cs="Arial" w:eastAsia="Arial" w:hAnsi="Arial"/>
                <w:sz w:val="18"/>
                <w:szCs w:val="18"/>
                <w:color w:val="auto"/>
                <w:w w:val="93"/>
              </w:rPr>
              <w:t>July 31,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3)</w:t>
            </w: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20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1040" w:type="dxa"/>
            <w:vAlign w:val="bottom"/>
            <w:gridSpan w:val="2"/>
          </w:tcPr>
          <w:p>
            <w:pPr>
              <w:jc w:val="right"/>
              <w:ind w:right="137"/>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Consolidated Balance Sheets at July 31, 2015 and August 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5"/>
          </w:tcPr>
          <w:p>
            <w:pPr>
              <w:ind w:left="200"/>
              <w:spacing w:after="0"/>
              <w:rPr>
                <w:sz w:val="20"/>
                <w:szCs w:val="20"/>
                <w:color w:val="auto"/>
              </w:rPr>
            </w:pPr>
            <w:r>
              <w:rPr>
                <w:rFonts w:ascii="Arial" w:cs="Arial" w:eastAsia="Arial" w:hAnsi="Arial"/>
                <w:sz w:val="18"/>
                <w:szCs w:val="18"/>
                <w:color w:val="auto"/>
              </w:rPr>
              <w:t>Gross Liability Amounts</w:t>
            </w:r>
          </w:p>
        </w:tc>
        <w:tc>
          <w:tcPr>
            <w:tcW w:w="200" w:type="dxa"/>
            <w:vAlign w:val="bottom"/>
          </w:tcPr>
          <w:p>
            <w:pPr>
              <w:spacing w:after="0"/>
              <w:rPr>
                <w:sz w:val="20"/>
                <w:szCs w:val="20"/>
                <w:color w:val="auto"/>
              </w:rPr>
            </w:pPr>
          </w:p>
        </w:tc>
        <w:tc>
          <w:tcPr>
            <w:tcW w:w="2500" w:type="dxa"/>
            <w:vAlign w:val="bottom"/>
            <w:gridSpan w:val="5"/>
          </w:tcPr>
          <w:p>
            <w:pPr>
              <w:ind w:left="280"/>
              <w:spacing w:after="0"/>
              <w:rPr>
                <w:sz w:val="20"/>
                <w:szCs w:val="20"/>
                <w:color w:val="auto"/>
              </w:rPr>
            </w:pPr>
            <w:r>
              <w:rPr>
                <w:rFonts w:ascii="Arial" w:cs="Arial" w:eastAsia="Arial" w:hAnsi="Arial"/>
                <w:sz w:val="18"/>
                <w:szCs w:val="18"/>
                <w:color w:val="auto"/>
              </w:rPr>
              <w:t>Asset Amount Offset</w:t>
            </w:r>
          </w:p>
        </w:tc>
        <w:tc>
          <w:tcPr>
            <w:tcW w:w="100" w:type="dxa"/>
            <w:vAlign w:val="bottom"/>
          </w:tcPr>
          <w:p>
            <w:pPr>
              <w:spacing w:after="0"/>
              <w:rPr>
                <w:sz w:val="20"/>
                <w:szCs w:val="20"/>
                <w:color w:val="auto"/>
              </w:rPr>
            </w:pPr>
          </w:p>
        </w:tc>
        <w:tc>
          <w:tcPr>
            <w:tcW w:w="2500" w:type="dxa"/>
            <w:vAlign w:val="bottom"/>
            <w:gridSpan w:val="5"/>
          </w:tcPr>
          <w:p>
            <w:pPr>
              <w:jc w:val="center"/>
              <w:ind w:right="160"/>
              <w:spacing w:after="0"/>
              <w:rPr>
                <w:sz w:val="20"/>
                <w:szCs w:val="20"/>
                <w:color w:val="auto"/>
              </w:rPr>
            </w:pPr>
            <w:r>
              <w:rPr>
                <w:rFonts w:ascii="Arial" w:cs="Arial" w:eastAsia="Arial" w:hAnsi="Arial"/>
                <w:sz w:val="18"/>
                <w:szCs w:val="18"/>
                <w:color w:val="auto"/>
                <w:w w:val="87"/>
              </w:rPr>
              <w:t>in the Balance Sheets</w:t>
            </w:r>
          </w:p>
        </w:tc>
      </w:tr>
      <w:tr>
        <w:trPr>
          <w:trHeight w:val="202"/>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100"/>
              <w:spacing w:after="0" w:line="201" w:lineRule="exact"/>
              <w:rPr>
                <w:sz w:val="20"/>
                <w:szCs w:val="20"/>
                <w:color w:val="auto"/>
              </w:rPr>
            </w:pPr>
            <w:r>
              <w:rPr>
                <w:rFonts w:ascii="Arial" w:cs="Arial" w:eastAsia="Arial" w:hAnsi="Arial"/>
                <w:sz w:val="18"/>
                <w:szCs w:val="18"/>
                <w:color w:val="auto"/>
              </w:rPr>
              <w:t>July 31,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1"/>
              </w:rPr>
              <w:t>August 1,</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3"/>
          </w:tcPr>
          <w:p>
            <w:pPr>
              <w:jc w:val="center"/>
              <w:ind w:right="505"/>
              <w:spacing w:after="0" w:line="201" w:lineRule="exact"/>
              <w:rPr>
                <w:sz w:val="20"/>
                <w:szCs w:val="20"/>
                <w:color w:val="auto"/>
              </w:rPr>
            </w:pPr>
            <w:r>
              <w:rPr>
                <w:rFonts w:ascii="Arial" w:cs="Arial" w:eastAsia="Arial" w:hAnsi="Arial"/>
                <w:sz w:val="18"/>
                <w:szCs w:val="18"/>
                <w:color w:val="auto"/>
                <w:w w:val="93"/>
              </w:rPr>
              <w:t>July 31,</w:t>
            </w:r>
          </w:p>
        </w:tc>
        <w:tc>
          <w:tcPr>
            <w:tcW w:w="98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1"/>
              </w:rPr>
              <w:t>August 1,</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3"/>
              </w:rPr>
              <w:t>July 31,</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August 1,</w:t>
            </w:r>
          </w:p>
        </w:tc>
        <w:tc>
          <w:tcPr>
            <w:tcW w:w="100" w:type="dxa"/>
            <w:vAlign w:val="bottom"/>
          </w:tcPr>
          <w:p>
            <w:pPr>
              <w:spacing w:after="0"/>
              <w:rPr>
                <w:sz w:val="17"/>
                <w:szCs w:val="17"/>
                <w:color w:val="auto"/>
              </w:rPr>
            </w:pPr>
          </w:p>
        </w:tc>
      </w:tr>
      <w:tr>
        <w:trPr>
          <w:trHeight w:val="237"/>
        </w:trPr>
        <w:tc>
          <w:tcPr>
            <w:tcW w:w="3340" w:type="dxa"/>
            <w:vAlign w:val="bottom"/>
            <w:gridSpan w:val="2"/>
          </w:tcPr>
          <w:p>
            <w:pPr>
              <w:spacing w:after="0"/>
              <w:rPr>
                <w:sz w:val="20"/>
                <w:szCs w:val="20"/>
                <w:color w:val="auto"/>
              </w:rPr>
            </w:pPr>
            <w:r>
              <w:rPr>
                <w:rFonts w:ascii="Arial" w:cs="Arial" w:eastAsia="Arial" w:hAnsi="Arial"/>
                <w:sz w:val="18"/>
                <w:szCs w:val="18"/>
                <w:color w:val="auto"/>
              </w:rPr>
              <w:t>(See Note 3)</w:t>
            </w:r>
          </w:p>
        </w:tc>
        <w:tc>
          <w:tcPr>
            <w:tcW w:w="18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estimated fair values of the Company’s interest rate swap assets and liabilities incorporate the Company’s non-performance risk. The adjustment related to the Company’s non-performance risk at July 31, 2015 and August 1, 2014 resulted in reductions of $209 and $62, respectively, in the total fair value of the interest rate swap asset and liabilities. The offset to the interest rate swap asset and liabilities is recorded in accumulated other comprehensive loss (“AOCL”), net of the deferred tax assets, and will be reclassified into earnings over the term of the underlying debt. As of July 31, 2015, the estimated pre-tax portion of AOCL that is expected to be reclassified into earnings over the next twelve months is $3,866. Cash flows related to the interest rate swaps are included in interest expense and in operating activities.</w:t>
      </w:r>
    </w:p>
    <w:p>
      <w:pPr>
        <w:sectPr>
          <w:pgSz w:w="11900" w:h="16838" w:orient="portrait"/>
          <w:cols w:equalWidth="0" w:num="1">
            <w:col w:w="11420"/>
          </w:cols>
          <w:pgMar w:left="240" w:top="122"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AOCL for each of the three years:</w:t>
      </w:r>
    </w:p>
    <w:p>
      <w:pPr>
        <w:spacing w:after="0" w:line="252"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Amount of Income Recognized in AOCL on</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1,641</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changes in AOCL, net of tax, related to the Company’s interest rate swaps for the years ended July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1, 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July 31,</w:t>
            </w:r>
          </w:p>
        </w:tc>
        <w:tc>
          <w:tcPr>
            <w:tcW w:w="2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August 1,</w:t>
            </w:r>
          </w:p>
        </w:tc>
      </w:tr>
      <w:tr>
        <w:trPr>
          <w:trHeight w:val="237"/>
        </w:trPr>
        <w:tc>
          <w:tcPr>
            <w:tcW w:w="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AOCL balance</w:t>
            </w:r>
          </w:p>
        </w:tc>
        <w:tc>
          <w:tcPr>
            <w:tcW w:w="3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3"/>
              </w:rPr>
              <w:t>Other comprehensive income before reclassifications</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5,955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AOCL into earnings</w:t>
            </w:r>
          </w:p>
        </w:tc>
        <w:tc>
          <w:tcPr>
            <w:tcW w:w="3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(4,957)</w:t>
            </w:r>
          </w:p>
        </w:tc>
      </w:tr>
      <w:tr>
        <w:trPr>
          <w:trHeight w:val="223"/>
        </w:trPr>
        <w:tc>
          <w:tcPr>
            <w:tcW w:w="20" w:type="dxa"/>
            <w:vAlign w:val="bottom"/>
            <w:tcBorders>
              <w:bottom w:val="single" w:sz="8" w:color="auto"/>
            </w:tcBorders>
          </w:tcPr>
          <w:p>
            <w:pPr>
              <w:spacing w:after="0"/>
              <w:rPr>
                <w:sz w:val="19"/>
                <w:szCs w:val="19"/>
                <w:color w:val="auto"/>
              </w:rPr>
            </w:pPr>
          </w:p>
        </w:tc>
        <w:tc>
          <w:tcPr>
            <w:tcW w:w="3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Other comprehensive income, net of tax</w:t>
            </w:r>
          </w:p>
        </w:tc>
        <w:tc>
          <w:tcPr>
            <w:tcW w:w="33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1,008</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AOCL balance</w:t>
            </w:r>
          </w:p>
        </w:tc>
        <w:tc>
          <w:tcPr>
            <w:tcW w:w="33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20" w:type="dxa"/>
            <w:vAlign w:val="bottom"/>
          </w:tcPr>
          <w:p>
            <w:pPr>
              <w:spacing w:after="0"/>
              <w:rPr>
                <w:sz w:val="24"/>
                <w:szCs w:val="24"/>
                <w:color w:val="auto"/>
              </w:rPr>
            </w:pPr>
          </w:p>
        </w:tc>
        <w:tc>
          <w:tcPr>
            <w:tcW w:w="10080" w:type="dxa"/>
            <w:vAlign w:val="bottom"/>
            <w:gridSpan w:val="6"/>
          </w:tcPr>
          <w:p>
            <w:pPr>
              <w:jc w:val="right"/>
              <w:ind w:right="270"/>
              <w:spacing w:after="0"/>
              <w:rPr>
                <w:sz w:val="20"/>
                <w:szCs w:val="20"/>
                <w:color w:val="auto"/>
              </w:rPr>
            </w:pPr>
            <w:r>
              <w:rPr>
                <w:rFonts w:ascii="Arial" w:cs="Arial" w:eastAsia="Arial" w:hAnsi="Arial"/>
                <w:sz w:val="18"/>
                <w:szCs w:val="18"/>
                <w:color w:val="auto"/>
                <w:w w:val="93"/>
              </w:rPr>
              <w:t>The following table summarizes the pre-tax effects of the Company’s derivative instruments on income for each of the three years: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Location of Loss Reclassified from</w:t>
            </w:r>
          </w:p>
        </w:tc>
        <w:tc>
          <w:tcPr>
            <w:tcW w:w="280" w:type="dxa"/>
            <w:vAlign w:val="bottom"/>
          </w:tcPr>
          <w:p>
            <w:pPr>
              <w:spacing w:after="0"/>
              <w:rPr>
                <w:sz w:val="24"/>
                <w:szCs w:val="24"/>
                <w:color w:val="auto"/>
              </w:rPr>
            </w:pPr>
          </w:p>
        </w:tc>
        <w:tc>
          <w:tcPr>
            <w:tcW w:w="3820" w:type="dxa"/>
            <w:vAlign w:val="bottom"/>
            <w:gridSpan w:val="6"/>
          </w:tcPr>
          <w:p>
            <w:pPr>
              <w:jc w:val="right"/>
              <w:ind w:right="420"/>
              <w:spacing w:after="0"/>
              <w:rPr>
                <w:sz w:val="20"/>
                <w:szCs w:val="20"/>
                <w:color w:val="auto"/>
              </w:rPr>
            </w:pPr>
            <w:r>
              <w:rPr>
                <w:rFonts w:ascii="Arial" w:cs="Arial" w:eastAsia="Arial" w:hAnsi="Arial"/>
                <w:sz w:val="18"/>
                <w:szCs w:val="18"/>
                <w:color w:val="auto"/>
                <w:w w:val="94"/>
              </w:rPr>
              <w:t>Amount of Loss Reclassified from AOCL into</w:t>
            </w:r>
          </w:p>
        </w:tc>
      </w:tr>
      <w:tr>
        <w:trPr>
          <w:trHeight w:val="237"/>
        </w:trPr>
        <w:tc>
          <w:tcPr>
            <w:tcW w:w="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4"/>
              </w:rPr>
              <w:t>AOCL into Income (Effective Portion)</w:t>
            </w: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Income (Effective Portion)</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87"/>
              </w:rPr>
              <w:t>Interest expense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8,068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amounts reclassified out of AOCL related to the Company’s interest rate swaps for the years ended July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1, 2014:</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6"/>
              </w:rPr>
              <w:t>Affected Line Item in</w:t>
            </w:r>
          </w:p>
        </w:tc>
      </w:tr>
      <w:tr>
        <w:trPr>
          <w:trHeight w:val="216"/>
        </w:trPr>
        <w:tc>
          <w:tcPr>
            <w:tcW w:w="3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the Consolidated</w:t>
            </w:r>
          </w:p>
        </w:tc>
      </w:tr>
      <w:tr>
        <w:trPr>
          <w:trHeight w:val="237"/>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Details about AOCL</w:t>
            </w:r>
          </w:p>
        </w:tc>
        <w:tc>
          <w:tcPr>
            <w:tcW w:w="1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5"/>
              </w:rPr>
              <w:t>July 31, 2015</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August 1, 2014</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6"/>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r>
      <w:tr>
        <w:trPr>
          <w:trHeight w:val="223"/>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1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3,105</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r>
      <w:tr>
        <w:trPr>
          <w:trHeight w:val="257"/>
        </w:trPr>
        <w:tc>
          <w:tcPr>
            <w:tcW w:w="3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2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of tax</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interest rate swaps determined to be ineffective will be recognized currently in earnings. No ineffectiveness has been recorded in 2015, 2014 and 2013.</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7. Share Repurchases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2015, 2014 and 2013, subject to a maximum amount as specified in the table below and the limits imposed by the Revolving Credit Facility and Prior Credit Facility, the Company was authorized to repurchase shares at management’s discretion. On September 25, 2015, the Company’s Board of Directors extended the $25,000 repurchase authorization for an additional year from its original expiration date of October 3, 2015.</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share repurchases for the last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Maximum aggregate purchase price</w:t>
            </w:r>
          </w:p>
        </w:tc>
        <w:tc>
          <w:tcPr>
            <w:tcW w:w="35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35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3,570</w:t>
            </w:r>
          </w:p>
        </w:tc>
      </w:tr>
      <w:tr>
        <w:trPr>
          <w:trHeight w:val="257"/>
        </w:trPr>
        <w:tc>
          <w:tcPr>
            <w:tcW w:w="20" w:type="dxa"/>
            <w:vAlign w:val="bottom"/>
          </w:tcPr>
          <w:p>
            <w:pPr>
              <w:spacing w:after="0"/>
              <w:rPr>
                <w:sz w:val="22"/>
                <w:szCs w:val="2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3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3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44,300</w:t>
            </w:r>
          </w:p>
        </w:tc>
      </w:tr>
      <w:tr>
        <w:trPr>
          <w:trHeight w:val="589"/>
        </w:trPr>
        <w:tc>
          <w:tcPr>
            <w:tcW w:w="20" w:type="dxa"/>
            <w:vAlign w:val="bottom"/>
          </w:tcPr>
          <w:p>
            <w:pPr>
              <w:spacing w:after="0"/>
              <w:rPr>
                <w:sz w:val="24"/>
                <w:szCs w:val="24"/>
                <w:color w:val="auto"/>
              </w:rPr>
            </w:pPr>
          </w:p>
        </w:tc>
        <w:tc>
          <w:tcPr>
            <w:tcW w:w="414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jc w:val="right"/>
              <w:ind w:right="1796"/>
              <w:spacing w:after="0"/>
              <w:rPr>
                <w:sz w:val="20"/>
                <w:szCs w:val="20"/>
                <w:color w:val="auto"/>
              </w:rPr>
            </w:pPr>
            <w:r>
              <w:rPr>
                <w:rFonts w:ascii="Arial" w:cs="Arial" w:eastAsia="Arial" w:hAnsi="Arial"/>
                <w:sz w:val="14"/>
                <w:szCs w:val="14"/>
                <w:color w:val="auto"/>
              </w:rPr>
              <w:t>60</w:t>
            </w:r>
          </w:p>
        </w:tc>
        <w:tc>
          <w:tcPr>
            <w:tcW w:w="10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Total revenue was comprised of the following at:</w:t>
            </w: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2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2,269,610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2,137,405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Retail</w:t>
            </w:r>
          </w:p>
        </w:tc>
        <w:tc>
          <w:tcPr>
            <w:tcW w:w="2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572,674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546,272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539,862</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2,842,284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2,683,677</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2,644,630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2015, the Company operated 220 stores in leased facilities and also leased certain land, a retail distribution center and advertising billboards.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including the sale-leaseback transactions discussed below, for each of the three years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Year</w:t>
            </w:r>
          </w:p>
        </w:tc>
        <w:tc>
          <w:tcPr>
            <w:tcW w:w="36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72,877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73,129</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2014</w:t>
            </w:r>
          </w:p>
        </w:tc>
        <w:tc>
          <w:tcPr>
            <w:tcW w:w="36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71,123</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71,365</w:t>
            </w:r>
          </w:p>
        </w:tc>
      </w:tr>
      <w:tr>
        <w:trPr>
          <w:trHeight w:val="22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3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70,095</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by year of the future minimum rental payments required under the Company’s operating leases as of July 31, 2015: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Year</w:t>
            </w:r>
          </w:p>
        </w:tc>
        <w:tc>
          <w:tcPr>
            <w:tcW w:w="49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4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61,405</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2017</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48,885</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44,489</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2019</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42,853</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43,175</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4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502,283</w:t>
            </w:r>
          </w:p>
        </w:tc>
        <w:tc>
          <w:tcPr>
            <w:tcW w:w="100" w:type="dxa"/>
            <w:vAlign w:val="bottom"/>
          </w:tcPr>
          <w:p>
            <w:pPr>
              <w:spacing w:after="0"/>
              <w:rPr>
                <w:sz w:val="19"/>
                <w:szCs w:val="19"/>
                <w:color w:val="auto"/>
              </w:rPr>
            </w:pP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743,090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July 31, 2015 and August 1, 2014, the Company was in compliance with these covenants.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9100" w:firstLine="8"/>
        <w:spacing w:after="0" w:line="638" w:lineRule="auto"/>
        <w:tabs>
          <w:tab w:leader="none" w:pos="315" w:val="left"/>
        </w:tabs>
        <w:numPr>
          <w:ilvl w:val="0"/>
          <w:numId w:val="22"/>
        </w:numPr>
        <w:rPr>
          <w:rFonts w:ascii="Arial" w:cs="Arial" w:eastAsia="Arial" w:hAnsi="Arial"/>
          <w:sz w:val="15"/>
          <w:szCs w:val="15"/>
          <w:color w:val="auto"/>
        </w:rPr>
      </w:pPr>
      <w:r>
        <w:rPr>
          <w:rFonts w:ascii="Arial" w:cs="Arial" w:eastAsia="Arial" w:hAnsi="Arial"/>
          <w:sz w:val="15"/>
          <w:szCs w:val="15"/>
          <w:color w:val="auto"/>
        </w:rPr>
        <w:t>Share-Based Compensation Stock Compensation Plans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one active compensation plan, the 2010 Omnibus Incentive Compensation Plan (the “2010 Omnibus Plan”), for employees and non-employee directors which authorizes the granting of nonvested stock awards, performance-based MSU Grants, stock options and other types of share-based awards. The Company also has stock options and nonvested stock outstanding under two other compensation plans (“Prior Plans”) in which no future grants may be made.</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July 31, 2015, the number of shares authorized for future issuance under the Company’s active plan is 1,119,722.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number of outstanding awards under each plan at July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2010</w:t>
            </w:r>
          </w:p>
        </w:tc>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Omnibus Plan</w:t>
            </w:r>
          </w:p>
        </w:tc>
        <w:tc>
          <w:tcPr>
            <w:tcW w:w="4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217,131</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Amended and Restated Stock Option Plan</w:t>
            </w:r>
          </w:p>
        </w:tc>
        <w:tc>
          <w:tcPr>
            <w:tcW w:w="4340" w:type="dxa"/>
            <w:vAlign w:val="bottom"/>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2002</w:t>
            </w:r>
          </w:p>
        </w:tc>
        <w:tc>
          <w:tcPr>
            <w:tcW w:w="6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Omnibus Incentive Compensation Plan</w:t>
            </w:r>
          </w:p>
        </w:tc>
        <w:tc>
          <w:tcPr>
            <w:tcW w:w="4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Total</w:t>
            </w:r>
          </w:p>
        </w:tc>
        <w:tc>
          <w:tcPr>
            <w:tcW w:w="65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Nonvested Stock</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Nonvested stock awards consist of the Company’s common stock and generally vest over 1–3 years. Generally, the fair value of each nonvested stock award is equal to the market price of the Company’s stock at the date of grant reduced by the present value of expected dividends to be paid prior to the vesting period, discounted using an appropriate risk-free interest rate. Other nonvested stock awards accrue dividends and their fair value is equal to the market price of the Company’s stock at the date of the grant. Dividends are forfeited for any nonvested stock awards that do not vest.</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performance periods and vesting periods for the Company’s nonvested stock awards under its long-term performance plans at July 31, 2015: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6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Vesting Period</w:t>
            </w:r>
          </w:p>
        </w:tc>
        <w:tc>
          <w:tcPr>
            <w:tcW w:w="2280" w:type="dxa"/>
            <w:vAlign w:val="bottom"/>
          </w:tcPr>
          <w:p>
            <w:pPr>
              <w:spacing w:after="0"/>
              <w:rPr>
                <w:sz w:val="19"/>
                <w:szCs w:val="19"/>
                <w:color w:val="auto"/>
              </w:rPr>
            </w:pP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Long-Term Performance Plan (“LTPP”)</w:t>
            </w:r>
          </w:p>
        </w:tc>
        <w:tc>
          <w:tcPr>
            <w:tcW w:w="3580" w:type="dxa"/>
            <w:vAlign w:val="bottom"/>
          </w:tcPr>
          <w:p>
            <w:pPr>
              <w:ind w:left="1980"/>
              <w:spacing w:after="0"/>
              <w:rPr>
                <w:sz w:val="20"/>
                <w:szCs w:val="20"/>
                <w:color w:val="auto"/>
              </w:rPr>
            </w:pPr>
            <w:r>
              <w:rPr>
                <w:rFonts w:ascii="Arial" w:cs="Arial" w:eastAsia="Arial" w:hAnsi="Arial"/>
                <w:sz w:val="18"/>
                <w:szCs w:val="18"/>
                <w:color w:val="auto"/>
                <w:w w:val="98"/>
              </w:rPr>
              <w:t>Performance Period</w:t>
            </w:r>
          </w:p>
        </w:tc>
        <w:tc>
          <w:tcPr>
            <w:tcW w:w="3580" w:type="dxa"/>
            <w:vAlign w:val="bottom"/>
            <w:gridSpan w:val="2"/>
          </w:tcPr>
          <w:p>
            <w:pPr>
              <w:jc w:val="center"/>
              <w:ind w:right="2320"/>
              <w:spacing w:after="0"/>
              <w:rPr>
                <w:sz w:val="20"/>
                <w:szCs w:val="20"/>
                <w:color w:val="auto"/>
              </w:rPr>
            </w:pPr>
            <w:r>
              <w:rPr>
                <w:rFonts w:ascii="Arial" w:cs="Arial" w:eastAsia="Arial" w:hAnsi="Arial"/>
                <w:sz w:val="18"/>
                <w:szCs w:val="18"/>
                <w:color w:val="auto"/>
                <w:w w:val="89"/>
              </w:rPr>
              <w:t>(in Years)</w:t>
            </w:r>
          </w:p>
        </w:tc>
      </w:tr>
      <w:tr>
        <w:trPr>
          <w:trHeight w:val="216"/>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LTPP</w:t>
            </w:r>
          </w:p>
        </w:tc>
        <w:tc>
          <w:tcPr>
            <w:tcW w:w="3580" w:type="dxa"/>
            <w:vAlign w:val="bottom"/>
            <w:tcBorders>
              <w:top w:val="single" w:sz="8" w:color="auto"/>
            </w:tcBorders>
            <w:shd w:val="clear" w:color="auto" w:fill="CCEEFF"/>
          </w:tcPr>
          <w:p>
            <w:pPr>
              <w:ind w:left="2600"/>
              <w:spacing w:after="0"/>
              <w:rPr>
                <w:sz w:val="20"/>
                <w:szCs w:val="20"/>
                <w:color w:val="auto"/>
              </w:rPr>
            </w:pPr>
            <w:r>
              <w:rPr>
                <w:rFonts w:ascii="Arial" w:cs="Arial" w:eastAsia="Arial" w:hAnsi="Arial"/>
                <w:sz w:val="18"/>
                <w:szCs w:val="18"/>
                <w:color w:val="auto"/>
                <w:w w:val="95"/>
              </w:rPr>
              <w:t>2015 – 2016</w:t>
            </w:r>
          </w:p>
        </w:tc>
        <w:tc>
          <w:tcPr>
            <w:tcW w:w="13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2 or 3</w:t>
            </w:r>
          </w:p>
        </w:tc>
        <w:tc>
          <w:tcPr>
            <w:tcW w:w="2280" w:type="dxa"/>
            <w:vAlign w:val="bottom"/>
          </w:tcPr>
          <w:p>
            <w:pPr>
              <w:spacing w:after="0"/>
              <w:rPr>
                <w:sz w:val="18"/>
                <w:szCs w:val="18"/>
                <w:color w:val="auto"/>
              </w:rPr>
            </w:pPr>
          </w:p>
        </w:tc>
      </w:tr>
      <w:tr>
        <w:trPr>
          <w:trHeight w:val="223"/>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2014 LTPP</w:t>
            </w:r>
          </w:p>
        </w:tc>
        <w:tc>
          <w:tcPr>
            <w:tcW w:w="358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w w:val="95"/>
              </w:rPr>
              <w:t>2014 – 2015</w:t>
            </w: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2 or 3</w:t>
            </w:r>
          </w:p>
        </w:tc>
        <w:tc>
          <w:tcPr>
            <w:tcW w:w="2280" w:type="dxa"/>
            <w:vAlign w:val="bottom"/>
          </w:tcPr>
          <w:p>
            <w:pPr>
              <w:spacing w:after="0"/>
              <w:rPr>
                <w:sz w:val="19"/>
                <w:szCs w:val="19"/>
                <w:color w:val="auto"/>
              </w:rPr>
            </w:pPr>
          </w:p>
        </w:tc>
      </w:tr>
      <w:tr>
        <w:trPr>
          <w:trHeight w:val="596"/>
        </w:trPr>
        <w:tc>
          <w:tcPr>
            <w:tcW w:w="4260" w:type="dxa"/>
            <w:vAlign w:val="bottom"/>
          </w:tcPr>
          <w:p>
            <w:pPr>
              <w:spacing w:after="0"/>
              <w:rPr>
                <w:sz w:val="24"/>
                <w:szCs w:val="24"/>
                <w:color w:val="auto"/>
              </w:rPr>
            </w:pPr>
          </w:p>
        </w:tc>
        <w:tc>
          <w:tcPr>
            <w:tcW w:w="3580" w:type="dxa"/>
            <w:vAlign w:val="bottom"/>
          </w:tcPr>
          <w:p>
            <w:pPr>
              <w:jc w:val="right"/>
              <w:ind w:right="1974"/>
              <w:spacing w:after="0"/>
              <w:rPr>
                <w:sz w:val="20"/>
                <w:szCs w:val="20"/>
                <w:color w:val="auto"/>
              </w:rPr>
            </w:pPr>
            <w:r>
              <w:rPr>
                <w:rFonts w:ascii="Arial" w:cs="Arial" w:eastAsia="Arial" w:hAnsi="Arial"/>
                <w:sz w:val="14"/>
                <w:szCs w:val="14"/>
                <w:color w:val="auto"/>
              </w:rPr>
              <w:t>62</w:t>
            </w: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
        </w:trPr>
        <w:tc>
          <w:tcPr>
            <w:tcW w:w="426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2015 LTPP and 2014 LTPP at July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 LTPP</w:t>
            </w:r>
          </w:p>
        </w:tc>
        <w:tc>
          <w:tcPr>
            <w:tcW w:w="296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3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49,072</w:t>
            </w:r>
          </w:p>
        </w:tc>
        <w:tc>
          <w:tcPr>
            <w:tcW w:w="100" w:type="dxa"/>
            <w:vAlign w:val="bottom"/>
            <w:tcBorders>
              <w:top w:val="single" w:sz="8" w:color="CCEEFF"/>
            </w:tcBorders>
            <w:shd w:val="clear" w:color="auto" w:fill="CCEEFF"/>
          </w:tcPr>
          <w:p>
            <w:pPr>
              <w:spacing w:after="0"/>
              <w:rPr>
                <w:sz w:val="21"/>
                <w:szCs w:val="21"/>
                <w:color w:val="auto"/>
              </w:rPr>
            </w:pP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2014 LTPP</w:t>
            </w:r>
          </w:p>
        </w:tc>
        <w:tc>
          <w:tcPr>
            <w:tcW w:w="29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37,126</w:t>
            </w:r>
          </w:p>
        </w:tc>
        <w:tc>
          <w:tcPr>
            <w:tcW w:w="100" w:type="dxa"/>
            <w:vAlign w:val="bottom"/>
          </w:tcPr>
          <w:p>
            <w:pPr>
              <w:spacing w:after="0"/>
              <w:rPr>
                <w:sz w:val="19"/>
                <w:szCs w:val="19"/>
                <w:color w:val="auto"/>
              </w:rPr>
            </w:pPr>
          </w:p>
        </w:tc>
      </w:tr>
      <w:tr>
        <w:trPr>
          <w:trHeight w:val="459"/>
        </w:trPr>
        <w:tc>
          <w:tcPr>
            <w:tcW w:w="11420" w:type="dxa"/>
            <w:vAlign w:val="bottom"/>
            <w:gridSpan w:val="7"/>
          </w:tcPr>
          <w:p>
            <w:pPr>
              <w:ind w:left="340"/>
              <w:spacing w:after="0"/>
              <w:rPr>
                <w:sz w:val="20"/>
                <w:szCs w:val="20"/>
                <w:color w:val="auto"/>
              </w:rPr>
            </w:pPr>
            <w:r>
              <w:rPr>
                <w:rFonts w:ascii="Arial" w:cs="Arial" w:eastAsia="Arial" w:hAnsi="Arial"/>
                <w:sz w:val="18"/>
                <w:szCs w:val="18"/>
                <w:color w:val="auto"/>
              </w:rPr>
              <w:t>A summary of the Company’s nonvested stock activity as of July 31, 2015, and changes during 2015 are presented in the following table:</w:t>
            </w:r>
          </w:p>
        </w:tc>
      </w:tr>
      <w:tr>
        <w:trPr>
          <w:trHeight w:val="223"/>
        </w:trPr>
        <w:tc>
          <w:tcPr>
            <w:tcW w:w="40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100" w:type="dxa"/>
            <w:vAlign w:val="bottom"/>
            <w:gridSpan w:val="3"/>
          </w:tcPr>
          <w:p>
            <w:pPr>
              <w:spacing w:after="0"/>
              <w:rPr>
                <w:sz w:val="19"/>
                <w:szCs w:val="19"/>
                <w:color w:val="auto"/>
              </w:rPr>
            </w:pPr>
          </w:p>
        </w:tc>
        <w:tc>
          <w:tcPr>
            <w:tcW w:w="2280" w:type="dxa"/>
            <w:vAlign w:val="bottom"/>
            <w:gridSpan w:val="2"/>
          </w:tcPr>
          <w:p>
            <w:pPr>
              <w:spacing w:after="0"/>
              <w:rPr>
                <w:sz w:val="19"/>
                <w:szCs w:val="19"/>
                <w:color w:val="auto"/>
              </w:rPr>
            </w:pPr>
          </w:p>
        </w:tc>
      </w:tr>
      <w:tr>
        <w:trPr>
          <w:trHeight w:val="202"/>
        </w:trPr>
        <w:tc>
          <w:tcPr>
            <w:tcW w:w="408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6"/>
              </w:rPr>
              <w:t>Weighted-Average Grant</w:t>
            </w:r>
          </w:p>
        </w:tc>
        <w:tc>
          <w:tcPr>
            <w:tcW w:w="100" w:type="dxa"/>
            <w:vAlign w:val="bottom"/>
          </w:tcPr>
          <w:p>
            <w:pPr>
              <w:spacing w:after="0"/>
              <w:rPr>
                <w:sz w:val="17"/>
                <w:szCs w:val="17"/>
                <w:color w:val="auto"/>
              </w:rPr>
            </w:pPr>
          </w:p>
        </w:tc>
        <w:tc>
          <w:tcPr>
            <w:tcW w:w="2280" w:type="dxa"/>
            <w:vAlign w:val="bottom"/>
            <w:gridSpan w:val="2"/>
          </w:tcPr>
          <w:p>
            <w:pPr>
              <w:spacing w:after="0"/>
              <w:rPr>
                <w:sz w:val="17"/>
                <w:szCs w:val="17"/>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Nonvested Stock</w:t>
            </w:r>
          </w:p>
        </w:tc>
        <w:tc>
          <w:tcPr>
            <w:tcW w:w="296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0"/>
                <w:szCs w:val="20"/>
                <w:color w:val="auto"/>
              </w:rPr>
            </w:pPr>
          </w:p>
        </w:tc>
        <w:tc>
          <w:tcPr>
            <w:tcW w:w="4080" w:type="dxa"/>
            <w:vAlign w:val="bottom"/>
            <w:gridSpan w:val="4"/>
          </w:tcPr>
          <w:p>
            <w:pPr>
              <w:ind w:left="140"/>
              <w:spacing w:after="0"/>
              <w:rPr>
                <w:sz w:val="20"/>
                <w:szCs w:val="20"/>
                <w:color w:val="auto"/>
              </w:rPr>
            </w:pPr>
            <w:r>
              <w:rPr>
                <w:rFonts w:ascii="Arial" w:cs="Arial" w:eastAsia="Arial" w:hAnsi="Arial"/>
                <w:sz w:val="18"/>
                <w:szCs w:val="18"/>
                <w:color w:val="auto"/>
              </w:rPr>
              <w:t>Date Fair Value</w:t>
            </w:r>
          </w:p>
        </w:tc>
      </w:tr>
      <w:tr>
        <w:trPr>
          <w:trHeight w:val="216"/>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1, 2014</w:t>
            </w:r>
          </w:p>
        </w:tc>
        <w:tc>
          <w:tcPr>
            <w:tcW w:w="2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64,065</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0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2960" w:type="dxa"/>
            <w:vAlign w:val="bottom"/>
          </w:tcPr>
          <w:p>
            <w:pPr>
              <w:jc w:val="right"/>
              <w:ind w:right="30"/>
              <w:spacing w:after="0"/>
              <w:rPr>
                <w:sz w:val="20"/>
                <w:szCs w:val="20"/>
                <w:color w:val="auto"/>
              </w:rPr>
            </w:pPr>
            <w:r>
              <w:rPr>
                <w:rFonts w:ascii="Arial" w:cs="Arial" w:eastAsia="Arial" w:hAnsi="Arial"/>
                <w:sz w:val="18"/>
                <w:szCs w:val="18"/>
                <w:color w:val="auto"/>
              </w:rPr>
              <w:t>74,089</w:t>
            </w:r>
          </w:p>
        </w:tc>
        <w:tc>
          <w:tcPr>
            <w:tcW w:w="30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101.58</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(98,991)</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82.35</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2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July 31, 2015</w:t>
            </w:r>
          </w:p>
        </w:tc>
        <w:tc>
          <w:tcPr>
            <w:tcW w:w="2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39,163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w:t>
            </w: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fair value of nonvested stock that vested for each of the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440" w:val="left"/>
          <w:tab w:leader="none" w:pos="10160" w:val="left"/>
          <w:tab w:leader="none" w:pos="10880" w:val="left"/>
        </w:tabs>
        <w:rPr>
          <w:sz w:val="20"/>
          <w:szCs w:val="20"/>
          <w:color w:val="auto"/>
        </w:rPr>
      </w:pPr>
      <w:r>
        <w:rPr>
          <w:rFonts w:ascii="Arial" w:cs="Arial" w:eastAsia="Arial" w:hAnsi="Arial"/>
          <w:sz w:val="18"/>
          <w:szCs w:val="18"/>
          <w:color w:val="auto"/>
        </w:rPr>
        <w:t>Total fair value of nonvested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8,152</w:t>
        <w:tab/>
        <w:t>$</w:t>
      </w:r>
      <w:r>
        <w:rPr>
          <w:sz w:val="20"/>
          <w:szCs w:val="20"/>
          <w:color w:val="auto"/>
        </w:rPr>
        <w:tab/>
      </w:r>
      <w:r>
        <w:rPr>
          <w:rFonts w:ascii="Arial" w:cs="Arial" w:eastAsia="Arial" w:hAnsi="Arial"/>
          <w:sz w:val="18"/>
          <w:szCs w:val="18"/>
          <w:color w:val="auto"/>
        </w:rPr>
        <w:t>17,417</w:t>
        <w:tab/>
        <w:t>$</w:t>
      </w:r>
      <w:r>
        <w:rPr>
          <w:sz w:val="20"/>
          <w:szCs w:val="20"/>
          <w:color w:val="auto"/>
        </w:rPr>
        <w:tab/>
      </w:r>
      <w:r>
        <w:rPr>
          <w:rFonts w:ascii="Arial" w:cs="Arial" w:eastAsia="Arial" w:hAnsi="Arial"/>
          <w:sz w:val="16"/>
          <w:szCs w:val="16"/>
          <w:color w:val="auto"/>
        </w:rPr>
        <w:t>7,445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Market Stock Units</w:t>
      </w:r>
    </w:p>
    <w:p>
      <w:pPr>
        <w:spacing w:after="0" w:line="252"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number of MSU Grants that will ultimately be awarded and will vest at the end of the applicable three-year performance period for each annual plan is based on total shareholder return, which is defined as the change in the Company’s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the Company’s cumulative total shareholder return over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19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fair value of the MSU Grants is determined using the Monte-Carlo simulation model, which simulates a range of possible future stock prices and estimates the probabilities of the potential payouts. This model uses the average prices for the 60-consecutive calendar days beginning 30 days prior to and ending 30 days after the first business day of the performance period. This model also incorporates the following ranges of assumptions:</w:t>
      </w:r>
    </w:p>
    <w:p>
      <w:pPr>
        <w:spacing w:after="0" w:line="193" w:lineRule="exact"/>
        <w:rPr>
          <w:sz w:val="20"/>
          <w:szCs w:val="20"/>
          <w:color w:val="auto"/>
        </w:rPr>
      </w:pPr>
    </w:p>
    <w:p>
      <w:pPr>
        <w:ind w:left="340" w:hanging="332"/>
        <w:spacing w:after="0" w:line="25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fair value for the Company’s MSU Grants: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 Ended</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3"/>
              </w:rPr>
              <w:t>July 31, 2015</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August 1, 2014</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0"/>
              </w:rPr>
              <w:t>August 2, 2013</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- 0.8%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ind w:left="420"/>
        <w:spacing w:after="0"/>
        <w:rPr>
          <w:sz w:val="20"/>
          <w:szCs w:val="20"/>
          <w:color w:val="auto"/>
        </w:rPr>
      </w:pPr>
      <w:r>
        <w:rPr>
          <w:rFonts w:ascii="Arial" w:cs="Arial" w:eastAsia="Arial" w:hAnsi="Arial"/>
          <w:sz w:val="18"/>
          <w:szCs w:val="18"/>
          <w:color w:val="auto"/>
        </w:rPr>
        <w:t>***Dividends accrue on the 2014 and 2015 MSU Grants. Dividends will be forfeited for any 2014 and 2015 MSU Grants that do not vest.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the shares that have been accrued under the 2013 MSU Grants, the 2014 MSU Grants and 2015 MSU Grants at July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5500" w:type="dxa"/>
            <w:vAlign w:val="bottom"/>
            <w:gridSpan w:val="2"/>
          </w:tcPr>
          <w:p>
            <w:pPr>
              <w:ind w:left="458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 MSU Grants</w:t>
            </w:r>
          </w:p>
        </w:tc>
        <w:tc>
          <w:tcPr>
            <w:tcW w:w="5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2014 MSU Grants</w:t>
            </w:r>
          </w:p>
        </w:tc>
        <w:tc>
          <w:tcPr>
            <w:tcW w:w="5500" w:type="dxa"/>
            <w:vAlign w:val="bottom"/>
            <w:gridSpan w:val="2"/>
          </w:tcPr>
          <w:p>
            <w:pPr>
              <w:jc w:val="right"/>
              <w:ind w:right="100"/>
              <w:spacing w:after="0"/>
              <w:rPr>
                <w:sz w:val="20"/>
                <w:szCs w:val="20"/>
                <w:color w:val="auto"/>
              </w:rPr>
            </w:pPr>
            <w:r>
              <w:rPr>
                <w:rFonts w:ascii="Arial" w:cs="Arial" w:eastAsia="Arial" w:hAnsi="Arial"/>
                <w:sz w:val="18"/>
                <w:szCs w:val="18"/>
                <w:color w:val="auto"/>
              </w:rPr>
              <w:t>25,829</w:t>
            </w: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2015 MSU Grants</w:t>
            </w:r>
          </w:p>
        </w:tc>
        <w:tc>
          <w:tcPr>
            <w:tcW w:w="5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2013, 2014 or 2015.</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as of July 31, 2015, and changes during 2015 are presented in the following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2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Weighted-</w:t>
            </w:r>
          </w:p>
        </w:tc>
        <w:tc>
          <w:tcPr>
            <w:tcW w:w="162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6"/>
              </w:rPr>
              <w:t>Weighted-Average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Aggregate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20" w:type="dxa"/>
            <w:vAlign w:val="bottom"/>
            <w:gridSpan w:val="2"/>
          </w:tcPr>
          <w:p>
            <w:pPr>
              <w:jc w:val="right"/>
              <w:ind w:right="31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18"/>
                <w:szCs w:val="18"/>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w w:val="90"/>
              </w:rPr>
              <w:t>Remaining</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7"/>
        </w:trPr>
        <w:tc>
          <w:tcPr>
            <w:tcW w:w="4640" w:type="dxa"/>
            <w:vAlign w:val="bottom"/>
            <w:gridSpan w:val="2"/>
          </w:tcPr>
          <w:p>
            <w:pPr>
              <w:spacing w:after="0"/>
              <w:rPr>
                <w:sz w:val="20"/>
                <w:szCs w:val="20"/>
                <w:color w:val="auto"/>
              </w:rPr>
            </w:pPr>
            <w:r>
              <w:rPr>
                <w:rFonts w:ascii="Arial" w:cs="Arial" w:eastAsia="Arial" w:hAnsi="Arial"/>
                <w:sz w:val="18"/>
                <w:szCs w:val="18"/>
                <w:color w:val="auto"/>
              </w:rPr>
              <w:t>Fixed Options</w:t>
            </w:r>
          </w:p>
        </w:tc>
        <w:tc>
          <w:tcPr>
            <w:tcW w:w="248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w w:val="92"/>
              </w:rPr>
              <w:t>Price</w:t>
            </w:r>
          </w:p>
        </w:tc>
        <w:tc>
          <w:tcPr>
            <w:tcW w:w="180" w:type="dxa"/>
            <w:vAlign w:val="bottom"/>
          </w:tcPr>
          <w:p>
            <w:pPr>
              <w:spacing w:after="0"/>
              <w:rPr>
                <w:sz w:val="20"/>
                <w:szCs w:val="20"/>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Contractual Term</w:t>
            </w:r>
          </w:p>
        </w:tc>
        <w:tc>
          <w:tcPr>
            <w:tcW w:w="26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August 1, 2014</w:t>
            </w:r>
          </w:p>
        </w:tc>
        <w:tc>
          <w:tcPr>
            <w:tcW w:w="2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87,132</w:t>
            </w:r>
          </w:p>
        </w:tc>
        <w:tc>
          <w:tcPr>
            <w:tcW w:w="4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(44,753)</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2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Canceled</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(21,921)</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36.95</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July 31, 2015</w:t>
            </w:r>
          </w:p>
        </w:tc>
        <w:tc>
          <w:tcPr>
            <w:tcW w:w="2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20,458</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33.88</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5"/>
              </w:rPr>
              <w:t>2.08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w:t>
            </w:r>
          </w:p>
        </w:tc>
        <w:tc>
          <w:tcPr>
            <w:tcW w:w="2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20,458</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2.08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420" w:type="dxa"/>
            <w:vAlign w:val="bottom"/>
            <w:gridSpan w:val="4"/>
          </w:tcPr>
          <w:p>
            <w:pPr>
              <w:jc w:val="right"/>
              <w:ind w:right="210"/>
              <w:spacing w:after="0"/>
              <w:rPr>
                <w:sz w:val="20"/>
                <w:szCs w:val="20"/>
                <w:color w:val="auto"/>
              </w:rPr>
            </w:pPr>
            <w:r>
              <w:rPr>
                <w:rFonts w:ascii="Arial" w:cs="Arial" w:eastAsia="Arial" w:hAnsi="Arial"/>
                <w:sz w:val="18"/>
                <w:szCs w:val="18"/>
                <w:color w:val="auto"/>
                <w:w w:val="94"/>
              </w:rPr>
              <w:t>The following table summarizes the total intrinsic values of options exercised during each of the three years: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intrinsic values of options exercised*</w:t>
            </w:r>
          </w:p>
        </w:tc>
        <w:tc>
          <w:tcPr>
            <w:tcW w:w="24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gridSpan w:val="5"/>
          </w:tcPr>
          <w:p>
            <w:pPr>
              <w:spacing w:after="0"/>
              <w:rPr>
                <w:sz w:val="20"/>
                <w:szCs w:val="20"/>
                <w:color w:val="auto"/>
              </w:rPr>
            </w:pPr>
            <w:r>
              <w:rPr>
                <w:rFonts w:ascii="Arial" w:cs="Arial" w:eastAsia="Arial" w:hAnsi="Arial"/>
                <w:sz w:val="18"/>
                <w:szCs w:val="18"/>
                <w:color w:val="auto"/>
                <w:w w:val="91"/>
              </w:rPr>
              <w:t>*The intrinsic value for stock options is defined as the difference between the current market value and the grant price.</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2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13,243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MSU Grants</w:t>
            </w:r>
          </w:p>
        </w:tc>
        <w:tc>
          <w:tcPr>
            <w:tcW w:w="28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2,967</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8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compensation expense</w:t>
            </w:r>
          </w:p>
        </w:tc>
        <w:tc>
          <w:tcPr>
            <w:tcW w:w="2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16,210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7,924</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nonvested stock and MSU Grants and the weighted-average periods over which the expense is expected to be recognized as of July 31, 2015: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w w:val="92"/>
              </w:rPr>
              <w:t>Nonvested</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MSU Grants</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4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Weighted-average period in years</w:t>
            </w:r>
          </w:p>
        </w:tc>
        <w:tc>
          <w:tcPr>
            <w:tcW w:w="49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812"/>
        </w:trPr>
        <w:tc>
          <w:tcPr>
            <w:tcW w:w="20" w:type="dxa"/>
            <w:vAlign w:val="bottom"/>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4920" w:type="dxa"/>
            <w:vAlign w:val="bottom"/>
            <w:tcBorders>
              <w:top w:val="single" w:sz="8" w:color="auto"/>
            </w:tcBorders>
          </w:tcPr>
          <w:p>
            <w:pPr>
              <w:jc w:val="right"/>
              <w:ind w:right="3099"/>
              <w:spacing w:after="0"/>
              <w:rPr>
                <w:sz w:val="20"/>
                <w:szCs w:val="20"/>
                <w:color w:val="auto"/>
              </w:rPr>
            </w:pPr>
            <w:r>
              <w:rPr>
                <w:rFonts w:ascii="Arial" w:cs="Arial" w:eastAsia="Arial" w:hAnsi="Arial"/>
                <w:sz w:val="14"/>
                <w:szCs w:val="14"/>
                <w:color w:val="auto"/>
              </w:rPr>
              <w:t>64</w:t>
            </w: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324"/>
        <w:spacing w:after="0" w:line="251" w:lineRule="auto"/>
        <w:rPr>
          <w:sz w:val="20"/>
          <w:szCs w:val="20"/>
          <w:color w:val="auto"/>
        </w:rPr>
      </w:pPr>
      <w:r>
        <w:rPr>
          <w:rFonts w:ascii="Arial" w:cs="Arial" w:eastAsia="Arial" w:hAnsi="Arial"/>
          <w:sz w:val="22"/>
          <w:szCs w:val="22"/>
          <w:color w:val="auto"/>
        </w:rPr>
        <w:t>The following table highlights the total income tax benefit recognized in the Consolidated Statements of Income for each of the three years:</w:t>
      </w:r>
    </w:p>
    <w:p>
      <w:pPr>
        <w:spacing w:after="0" w:line="207"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540" w:val="left"/>
          <w:tab w:leader="none" w:pos="10160" w:val="left"/>
          <w:tab w:leader="none" w:pos="10880" w:val="left"/>
        </w:tabs>
        <w:rPr>
          <w:sz w:val="20"/>
          <w:szCs w:val="20"/>
          <w:color w:val="auto"/>
        </w:rPr>
      </w:pPr>
      <w:r>
        <w:rPr>
          <w:rFonts w:ascii="Arial" w:cs="Arial" w:eastAsia="Arial" w:hAnsi="Arial"/>
          <w:sz w:val="18"/>
          <w:szCs w:val="18"/>
          <w:color w:val="auto"/>
        </w:rPr>
        <w:t>Total income tax benefit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5,056</w:t>
        <w:tab/>
        <w:t>$</w:t>
      </w:r>
      <w:r>
        <w:rPr>
          <w:sz w:val="20"/>
          <w:szCs w:val="20"/>
          <w:color w:val="auto"/>
        </w:rPr>
        <w:tab/>
      </w:r>
      <w:r>
        <w:rPr>
          <w:rFonts w:ascii="Arial" w:cs="Arial" w:eastAsia="Arial" w:hAnsi="Arial"/>
          <w:sz w:val="18"/>
          <w:szCs w:val="18"/>
          <w:color w:val="auto"/>
        </w:rPr>
        <w:t>2,438</w:t>
        <w:tab/>
        <w:t>$</w:t>
      </w:r>
      <w:r>
        <w:rPr>
          <w:sz w:val="20"/>
          <w:szCs w:val="20"/>
          <w:color w:val="auto"/>
        </w:rPr>
        <w:tab/>
      </w:r>
      <w:r>
        <w:rPr>
          <w:rFonts w:ascii="Arial" w:cs="Arial" w:eastAsia="Arial" w:hAnsi="Arial"/>
          <w:sz w:val="16"/>
          <w:szCs w:val="16"/>
          <w:color w:val="auto"/>
        </w:rPr>
        <w:t>5,221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2015, the Company issued 154,528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$4,816. The excess tax benefit realized upon exercise of share-based compensation awards was $4,705.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11. Shareholder Rights Plan</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April 9, 2015, the Company’s Board of Directors declared a dividend of one preferred share purchase right (a “Right”) for each outstanding share of common stock, par value $0.01 per share, and adopted a shareholder rights plan, as set forth in the Rights Agreement dated as of April 9, 2015 (the “Rights Agreement”), by and between the Company and American Stock Transfer &amp; Trust Company, LLC, as rights agent. The dividend was payable on April 20, 2015 to the shareholders of record as of the close of business on April 20, 2015. The Rights Agreement replaced the Company’s previous shareholder rights plan adopted in 2012 (the “2012 Plan”), and it became effective immediately following the expiration of the 2012 Plan at the close of business on April 9, 2015. The 2012 Plan and the preferred share purchase rights issued thereunder expired by their own terms and shareholders of the Company were not entitled to any payment as a result of the expiration of the 2012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Rights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the certificates that represent such shares of common stock. New Rights will accompany any new shares of common stock the Company issues after April 20, 2015 until the earlier of the Distribution Date, redemption of the Rights by the Board of Directors or the final expiration date of the Rights Agreement, each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Each Right will allow its holder to purchase from the Company one one-hundredth of a share of Series A Junior Participating Preferred Stock (“Preferred Share”) for $600.00,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Exercisability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will not be exercisable until 10 days after the public announcement that a person or group has become an “Acquiring Person” by obtaining beneficial ownership of 20% or more of the Company’s outstanding common stock.</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date when the Rights become exercisable is the “Distribution Date.” Until the Distribution Date, the common stock certificates will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July 31, 2015, none of the Rights were exercisable.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Consequences of a Person or Group Becoming an Acquiring Person</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Qualifying Offer Provision</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Exchange</w:t>
      </w:r>
    </w:p>
    <w:p>
      <w:pPr>
        <w:spacing w:after="0" w:line="24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Anti-Dilution Provisions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Expiration</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Rights Agreement is approved by the Company’s shareholders at the 2015 annual shareholders’ meeting, the Rights will expire on April 9, 2018. If shareholders do not approve the Rights Agreement, the Rights will expire immediately following certification of the vote at the 2015 annual shareholders’ meeting.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12. Employee Savings Plans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2015, 2014 and 2013,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$26,947 is included in other assets and the related liability to the participants of $26,947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contributions for each plan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434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2,364</w:t>
            </w:r>
          </w:p>
        </w:tc>
        <w:tc>
          <w:tcPr>
            <w:tcW w:w="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2,167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Non-Qualified Savings Plan</w:t>
            </w:r>
          </w:p>
        </w:tc>
        <w:tc>
          <w:tcPr>
            <w:tcW w:w="43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82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596"/>
        </w:trPr>
        <w:tc>
          <w:tcPr>
            <w:tcW w:w="2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4340" w:type="dxa"/>
            <w:vAlign w:val="bottom"/>
            <w:tcBorders>
              <w:top w:val="single" w:sz="8" w:color="auto"/>
            </w:tcBorders>
          </w:tcPr>
          <w:p>
            <w:pPr>
              <w:jc w:val="right"/>
              <w:ind w:right="2316"/>
              <w:spacing w:after="0"/>
              <w:rPr>
                <w:sz w:val="20"/>
                <w:szCs w:val="20"/>
                <w:color w:val="auto"/>
              </w:rPr>
            </w:pPr>
            <w:r>
              <w:rPr>
                <w:rFonts w:ascii="Arial" w:cs="Arial" w:eastAsia="Arial" w:hAnsi="Arial"/>
                <w:sz w:val="14"/>
                <w:szCs w:val="14"/>
                <w:color w:val="auto"/>
              </w:rPr>
              <w:t>67</w:t>
            </w:r>
          </w:p>
        </w:tc>
        <w:tc>
          <w:tcPr>
            <w:tcW w:w="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8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13. Income Taxes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w w:val="92"/>
              </w:rPr>
              <w:t>The components of the provision for income taxes for each of the three years were as follows: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71,386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53,713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44,853</w:t>
            </w: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6,050</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4,597</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4,375</w:t>
            </w: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Federal</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(4,365)</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3,040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3,274</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3,654</w:t>
            </w: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74,298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58,721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48,517</w:t>
            </w:r>
          </w:p>
        </w:tc>
      </w:tr>
      <w:tr>
        <w:trPr>
          <w:trHeight w:val="21"/>
        </w:trPr>
        <w:tc>
          <w:tcPr>
            <w:tcW w:w="20" w:type="dxa"/>
            <w:vAlign w:val="bottom"/>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Company’s provision for income taxes and income taxes based on the statutory U.S. federal rate of 35%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83,370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66,797</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3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6,378</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5,029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638</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74,298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58,721</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48,517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40" w:type="dxa"/>
            <w:vAlign w:val="bottom"/>
          </w:tcPr>
          <w:p>
            <w:pPr>
              <w:ind w:left="320"/>
              <w:spacing w:after="0"/>
              <w:rPr>
                <w:sz w:val="20"/>
                <w:szCs w:val="20"/>
                <w:color w:val="auto"/>
              </w:rPr>
            </w:pPr>
            <w:r>
              <w:rPr>
                <w:rFonts w:ascii="Arial" w:cs="Arial" w:eastAsia="Arial" w:hAnsi="Arial"/>
                <w:sz w:val="18"/>
                <w:szCs w:val="18"/>
                <w:color w:val="auto"/>
                <w:w w:val="93"/>
              </w:rPr>
              <w:t>Significant components of the Company’s net deferred tax liability consisted of the following at: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31, 2015</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August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13,721</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16,022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16,869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Insurance reserves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12,074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4,525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65,817</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88,651</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11,568</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9,534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109,753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43,936</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360" w:type="dxa"/>
            <w:vAlign w:val="bottom"/>
            <w:gridSpan w:val="2"/>
          </w:tcPr>
          <w:p>
            <w:pPr>
              <w:jc w:val="right"/>
              <w:ind w:right="1490"/>
              <w:spacing w:after="0"/>
              <w:rPr>
                <w:sz w:val="20"/>
                <w:szCs w:val="20"/>
                <w:color w:val="auto"/>
              </w:rPr>
            </w:pPr>
            <w:r>
              <w:rPr>
                <w:rFonts w:ascii="Arial" w:cs="Arial" w:eastAsia="Arial" w:hAnsi="Arial"/>
                <w:sz w:val="14"/>
                <w:szCs w:val="14"/>
                <w:color w:val="auto"/>
              </w:rPr>
              <w:t>68</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believes that adequate amounts of tax, interest and penalties have been provided for potential tax uncertainties; these amounts are included in other long-term liabilities in the Consolidated Balance Sheets. As of July 31, 2015 and August 1, 2014, the Company’s gross liability for uncertain tax positions, exclusive of interest and penalties, was $25,507 and $22,832, respectively. Summarized below is a tabular reconciliation of the beginning and ending balance of the Company’s total gross liability for uncertain tax positions exclusive of interest and penalties: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9"/>
              </w:rPr>
              <w:t>July 31, 2015</w:t>
            </w: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August 1, 2014</w:t>
            </w: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August 2, 2013</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22,832</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20,972</w:t>
            </w: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18,098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positions related to the current year:</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3,994</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Reductions</w:t>
            </w:r>
          </w:p>
        </w:tc>
        <w:tc>
          <w:tcPr>
            <w:tcW w:w="23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3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1,400</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w:t>
            </w:r>
          </w:p>
        </w:tc>
        <w:tc>
          <w:tcPr>
            <w:tcW w:w="2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Settlements</w:t>
            </w:r>
          </w:p>
        </w:tc>
        <w:tc>
          <w:tcPr>
            <w:tcW w:w="2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25,507</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22,832</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20,972</w:t>
            </w: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181"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2014</w:t>
      </w:r>
      <w:r>
        <w:rPr>
          <w:sz w:val="20"/>
          <w:szCs w:val="20"/>
          <w:color w:val="auto"/>
        </w:rPr>
        <w:tab/>
      </w:r>
      <w:r>
        <w:rPr>
          <w:rFonts w:ascii="Arial" w:cs="Arial" w:eastAsia="Arial" w:hAnsi="Arial"/>
          <w:sz w:val="16"/>
          <w:szCs w:val="16"/>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16,579</w:t>
        <w:tab/>
        <w:t>$</w:t>
      </w:r>
      <w:r>
        <w:rPr>
          <w:sz w:val="20"/>
          <w:szCs w:val="20"/>
          <w:color w:val="auto"/>
        </w:rPr>
        <w:tab/>
      </w:r>
      <w:r>
        <w:rPr>
          <w:rFonts w:ascii="Arial" w:cs="Arial" w:eastAsia="Arial" w:hAnsi="Arial"/>
          <w:sz w:val="18"/>
          <w:szCs w:val="18"/>
          <w:color w:val="auto"/>
        </w:rPr>
        <w:t>14,840</w:t>
        <w:tab/>
        <w:t>$</w:t>
      </w:r>
      <w:r>
        <w:rPr>
          <w:sz w:val="20"/>
          <w:szCs w:val="20"/>
          <w:color w:val="auto"/>
        </w:rPr>
        <w:tab/>
      </w:r>
      <w:r>
        <w:rPr>
          <w:rFonts w:ascii="Arial" w:cs="Arial" w:eastAsia="Arial" w:hAnsi="Arial"/>
          <w:sz w:val="16"/>
          <w:szCs w:val="16"/>
          <w:color w:val="auto"/>
        </w:rPr>
        <w:t>13,631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$9,754, $8,559 and $7,869 in interest and penalties accrued as of July 31, 2015, August 1, 2014, and August 2, 2013, respectively.</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recognized accrued interest and penalties related to unrecognized tax benefits of $1,194, $691 and $1,264 in its provision for income taxes on July 31, 2015, August 1, 2014 and August 2, 2013, respectively.</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July 31, 2015 by approximately $3,000 to $4,000 within the next twelve months. At July 31, 2015, the Company was subject to income tax examinations for its U.S. federal income taxes after 2011 and for state and local income taxes generally after 2011.</w:t>
      </w:r>
    </w:p>
    <w:p>
      <w:pPr>
        <w:spacing w:after="0" w:line="15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Income Per Share and Weighted Average Shares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2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163,903</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132,128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6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23,918,368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23,817,768</w:t>
            </w:r>
          </w:p>
        </w:tc>
        <w:tc>
          <w:tcPr>
            <w:tcW w:w="3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23,708,875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2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2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130,556</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148,247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2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24,048,924</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23,966,015</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23,948,321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40" w:type="dxa"/>
            <w:vAlign w:val="bottom"/>
          </w:tcPr>
          <w:p>
            <w:pPr>
              <w:jc w:val="right"/>
              <w:ind w:right="1799"/>
              <w:spacing w:after="0"/>
              <w:rPr>
                <w:sz w:val="20"/>
                <w:szCs w:val="20"/>
                <w:color w:val="auto"/>
              </w:rPr>
            </w:pPr>
            <w:r>
              <w:rPr>
                <w:rFonts w:ascii="Arial" w:cs="Arial" w:eastAsia="Arial" w:hAnsi="Arial"/>
                <w:sz w:val="14"/>
                <w:szCs w:val="14"/>
                <w:color w:val="auto"/>
              </w:rPr>
              <w:t>69</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2014 and through September 25, 2014, the Company was served with several claims filed as a putative collective action alleging violations of the Fair Labor Standards Act (“FLSA”). The Company has recorded a total provision of approximately $3,500 at July 31, 2015 to reflect the liability related to these lawsuits. Although we continue to believe that the Company’s associate managers are and have been properly classified as exempt employees under FLSA and have therefore aggressively challenged the plaintiffs’ claims in these lawsuits, in light of the potential cost and uncertainty involved in these lawsuits, in March 2015, we entered into a memorandum of understanding (the “MOU”) with respect to a settlement with plaintiffs’ counsel to resolve the series of lawsuits. Per the MOU, all three of these federal lawsuits were dismissed and a consolidated lawsuit was filed in Broward County, Florida Circuit Court with respect to the underlying claims. In May 2015, the parties executed the settlement agreement based on the MOU, and the settlement agreement was approved by the Florida court on July 31, 2015. Consistent with the terms of the MOU and the court-approved agreement, the parties will distribute notice to potential claimants and process submitted claims through a settlement administrator. See “Item 3. Legal Proceedings” of Part I of this Annual Report on Form 10-K for further information related to these claims.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matters described above, 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Related to its insurance coverage, the Company is contingently liable pursuant to standby letters of credit as credit guarantees to certain insurers. As of July 31, 2015, the Company had $11,530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31, 2015, the Company is secondarily liable for lease payments associated with one property. The Company is not aware of any non-performance under this lease arrangement that would result in the Company having to perform in accordance with the terms of this guarantee, and therefore, no provision has been recorded in the Consolidated Balance Sheets for amounts to be paid in case of non-performance by the third party by the primary obligor under such lease agreement.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At August 1, 2014 and July 31, 2015, the Company recorded a liability related to legal costs. The Company believes that the amount recorded is immaterial to the Company’s consolidated results of operations and financial position and that the probability of incurring an actual liability under other indemnification agreements is sufficiently remote so that no additional liability has been recorded in the Consolidated Balance Sheets.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5760" w:type="dxa"/>
            <w:vAlign w:val="bottom"/>
            <w:gridSpan w:val="2"/>
          </w:tcPr>
          <w:p>
            <w:pPr>
              <w:spacing w:after="0"/>
              <w:rPr>
                <w:sz w:val="20"/>
                <w:szCs w:val="20"/>
                <w:color w:val="auto"/>
              </w:rPr>
            </w:pPr>
            <w:r>
              <w:rPr>
                <w:rFonts w:ascii="Arial" w:cs="Arial" w:eastAsia="Arial" w:hAnsi="Arial"/>
                <w:sz w:val="18"/>
                <w:szCs w:val="18"/>
                <w:color w:val="auto"/>
              </w:rPr>
              <w:t>16. Quarterly Financial Data (Unaudited)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5760" w:type="dxa"/>
            <w:vAlign w:val="bottom"/>
            <w:gridSpan w:val="2"/>
          </w:tcPr>
          <w:p>
            <w:pPr>
              <w:ind w:left="340"/>
              <w:spacing w:after="0"/>
              <w:rPr>
                <w:sz w:val="20"/>
                <w:szCs w:val="20"/>
                <w:color w:val="auto"/>
              </w:rPr>
            </w:pPr>
            <w:r>
              <w:rPr>
                <w:rFonts w:ascii="Arial" w:cs="Arial" w:eastAsia="Arial" w:hAnsi="Arial"/>
                <w:sz w:val="18"/>
                <w:szCs w:val="18"/>
                <w:color w:val="auto"/>
                <w:w w:val="96"/>
              </w:rPr>
              <w:t>Quarterly financial data for 2015 and 2014 are summarized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w:t>
            </w:r>
            <w:r>
              <w:rPr>
                <w:rFonts w:ascii="Arial" w:cs="Arial" w:eastAsia="Arial" w:hAnsi="Arial"/>
                <w:sz w:val="30"/>
                <w:szCs w:val="30"/>
                <w:color w:val="auto"/>
                <w:w w:val="87"/>
                <w:vertAlign w:val="superscript"/>
              </w:rPr>
              <w:t>rd</w:t>
            </w:r>
            <w:r>
              <w:rPr>
                <w:rFonts w:ascii="Arial" w:cs="Arial" w:eastAsia="Arial" w:hAnsi="Arial"/>
                <w:sz w:val="18"/>
                <w:szCs w:val="18"/>
                <w:color w:val="auto"/>
                <w:w w:val="87"/>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2015</w:t>
            </w:r>
          </w:p>
        </w:tc>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683,428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755,966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683,705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719,185</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108,411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94,047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111,332</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66,537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69,199</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47,163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47,399</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23"/>
        </w:trPr>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income per share – diluted</w:t>
            </w: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1.42</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649,141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698,491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643,298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692,747</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88,634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39,830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54,235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55,898</w:t>
            </w: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37,055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39,185</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23"/>
        </w:trPr>
        <w:tc>
          <w:tcPr>
            <w:tcW w:w="5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July 31, 2015, our disclosure controls and procedures were effective.</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July 31, 2015 in our internal control over financial reporting (as defined in Exchange Act Rule 13a-15(f))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 xml:space="preserve">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This evaluation included review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documentation of controls, evaluation of the design effectiveness of controls, testing of the operating effectiveness of controls and a conclusion on this evaluation. We have concluded that our internal control over financial reporting was effective as of July 31, 2015, based on these criteria.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E. Hyatt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its subsidiaries (the “Company”) as of July 31, 2015,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July 31, 2015,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the Company as of and for the year ended July 31, 2015, and our report dated September 28, 2015,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25, 2015, the Company entered into a Retirement Agreement (the “Retirement Agreement”) with Lawrence E. Hyatt, the Company’s Executive Vice President and Chief Financial Officer, in connection with Mr. Hyatt’s previously announced retirement. Pursuant to the terms of the Retirement Agreement, Mr. Hyatt will continue in his role as the Company’s chief financial officer until the appointment of his successor and will retire following a brief transition period thereafter, during which he will serve as a Vice President of the Company, as follows:</w:t>
      </w:r>
    </w:p>
    <w:p>
      <w:pPr>
        <w:spacing w:after="0" w:line="21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Mr. Hyatt’s successor is appointed on or before December 11, 2015, Mr. Hyatt will retire from the Company on January 8, 2016;</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Mr. Hyatt’s successor is appointed after December 11, 2015 and on or before April 29, 2016, Mr. Hyatt will retire from the Company on the date that is four weeks after his successor is appointed;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Mr. Hyatt’s successor is appointed after April 29, 2016, Mr. Hyatt will retire from the Company on August 5, 2016.</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Retirement Agreement does not provide any additional compensation to Mr. Hyatt, but does specify how Mr. Hyatt’s existing salary and awards are to be treated based on his eventual date of retirement as follows:</w:t>
      </w:r>
    </w:p>
    <w:p>
      <w:pPr>
        <w:spacing w:after="0" w:line="197" w:lineRule="exact"/>
        <w:rPr>
          <w:sz w:val="20"/>
          <w:szCs w:val="20"/>
          <w:color w:val="auto"/>
        </w:rPr>
      </w:pPr>
    </w:p>
    <w:p>
      <w:pPr>
        <w:jc w:val="both"/>
        <w:ind w:left="660" w:hanging="328"/>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Mr. Hyatt will continue to receive his current base salary through the later to occur of January 8, 2016 or the date that is four weeks after the appointment of his successor as the Company’s chief financial officer. In the event that Mr. Hyatt’s successor is hired after April 29, 2016, Mr. Hyatt will receive his current base salary through the date that is four weeks after the appointment of his successor, and thereafter will receive base salary at an annualized rate of $52,000 during the transition period until his retirement on August 5, 2016.</w:t>
      </w:r>
    </w:p>
    <w:p>
      <w:pPr>
        <w:spacing w:after="0" w:line="198"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2016 Annual Bonus Plan</w:t>
      </w:r>
      <w:r>
        <w:rPr>
          <w:rFonts w:ascii="Arial" w:cs="Arial" w:eastAsia="Arial" w:hAnsi="Arial"/>
          <w:sz w:val="17"/>
          <w:szCs w:val="17"/>
          <w:color w:val="auto"/>
        </w:rPr>
        <w:t>. If Mr. Hyatt’s successor is appointed on or before February 19, 2016, Mr. Hyatt will receive no award in respect of the Company’s 2016 Annual Bonus Plan. If, however, Mr. Hyatt’s successor is appointed after February 19, 2016, then Mr. Hyatt will be eligible to receive his bonus under the 2016 Annual Bonus Plan, payable following the conclusion of the 2016 fiscal year only to the extent that the Company’s performance meets applicable performance targets and prorated for Mr. Hyatt’s service in the 2016 fiscal year, based on the portion of the fiscal year concluding with the date that is four weeks after the appointment of Mr. Hyatt’s successor.</w:t>
      </w:r>
    </w:p>
    <w:p>
      <w:pPr>
        <w:spacing w:after="0" w:line="199"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Outstanding Equity Awards</w:t>
      </w:r>
      <w:r>
        <w:rPr>
          <w:rFonts w:ascii="Arial" w:cs="Arial" w:eastAsia="Arial" w:hAnsi="Arial"/>
          <w:sz w:val="18"/>
          <w:szCs w:val="18"/>
          <w:color w:val="auto"/>
        </w:rPr>
        <w:t>. The Retirement Agreement confirms that Mr. Hyatt’s outstanding equity awards from the Company will be treated in accordance with the terms of the applicable award agreements therefore, and that Mr. Hyatt’s service with the Company through the date of his retirement from the Company as outlined above will apply to any vesting requirements thereunder.</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copy of the Amendment is attached hereto as Exhibit 10(z) to this Annual Report on Form 10-K and incorporated herein by reference. The foregoing description is qualified in its entirety by reference to such exhibit.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2015 Proxy Statement: “Board of Directors and Committees,” “Proposal 1: Election of Directors,” “Section 16(a) Beneficial Ownership Reporting Compliance” and “Certain Relationships and Related Transactions—Code of Ethics.” The information required by this Item with respect to executive officers of the Company is set forth in Part I of this Annual Report on Form 10-K under the heading “Executive Officers of the Registrant.”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ITEM 11. EXECUTIVE COMPENSATION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required by this Item is incorporated herein by this reference to the following sections of the 2015 Proxy Statement: “Executive Compensation” and “Board of Directors and Committees</w:t>
      </w:r>
      <w:r>
        <w:rPr>
          <w:rFonts w:ascii="Arial" w:cs="Arial" w:eastAsia="Arial" w:hAnsi="Arial"/>
          <w:sz w:val="17"/>
          <w:szCs w:val="17"/>
          <w:i w:val="1"/>
          <w:iCs w:val="1"/>
          <w:color w:val="auto"/>
        </w:rPr>
        <w:t>—</w:t>
      </w:r>
      <w:r>
        <w:rPr>
          <w:rFonts w:ascii="Arial" w:cs="Arial" w:eastAsia="Arial" w:hAnsi="Arial"/>
          <w:sz w:val="17"/>
          <w:szCs w:val="17"/>
          <w:color w:val="auto"/>
        </w:rPr>
        <w:t>Compensation of Directors.” The “Compensation Committee Report” set forth in “Executive Compensation” is deemed to be “furnished” and is not, and shall not be deemed to be, “filed” for purposes of Section 18 of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Compensation Plan Information” in the 2015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2015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“Fees Paid to Auditors” and “Audit Committee Report” in the 2015 Proxy Statement. No other portion of the section of the 2015 Proxy Statement entitled “Audit Committee Report” is, nor shall it be deemed to be, incorporated by reference into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52" w:lineRule="exact"/>
        <w:rPr>
          <w:sz w:val="20"/>
          <w:szCs w:val="20"/>
          <w:color w:val="auto"/>
        </w:rPr>
      </w:pPr>
    </w:p>
    <w:p>
      <w:pPr>
        <w:ind w:left="1140" w:hanging="48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2520" w:hanging="1134"/>
        <w:spacing w:after="0"/>
        <w:tabs>
          <w:tab w:leader="none" w:pos="2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25" w:lineRule="exact"/>
        <w:rPr>
          <w:rFonts w:ascii="Arial" w:cs="Arial" w:eastAsia="Arial" w:hAnsi="Arial"/>
          <w:sz w:val="18"/>
          <w:szCs w:val="18"/>
          <w:color w:val="auto"/>
        </w:rPr>
      </w:pPr>
    </w:p>
    <w:p>
      <w:pPr>
        <w:ind w:left="2520" w:right="20" w:hanging="1134"/>
        <w:spacing w:after="0" w:line="277" w:lineRule="auto"/>
        <w:tabs>
          <w:tab w:leader="none" w:pos="2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schedules have been omitted since they are either not required or not applicable, or the required information is included.</w:t>
      </w:r>
    </w:p>
    <w:p>
      <w:pPr>
        <w:spacing w:after="0" w:line="170" w:lineRule="exact"/>
        <w:rPr>
          <w:rFonts w:ascii="Arial" w:cs="Arial" w:eastAsia="Arial" w:hAnsi="Arial"/>
          <w:sz w:val="18"/>
          <w:szCs w:val="18"/>
          <w:color w:val="auto"/>
        </w:rPr>
      </w:pPr>
    </w:p>
    <w:p>
      <w:pPr>
        <w:ind w:left="2520" w:hanging="1134"/>
        <w:spacing w:after="0" w:line="277" w:lineRule="auto"/>
        <w:tabs>
          <w:tab w:leader="none" w:pos="2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following the signature page to this Annual Report on Form 10-K.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2015.</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u w:val="single" w:color="auto"/>
          <w:color w:val="auto"/>
        </w:rPr>
        <w:t>/s/Sandra B. Cochran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11"/>
          </w:tcPr>
          <w:p>
            <w:pPr>
              <w:spacing w:after="0"/>
              <w:rPr>
                <w:sz w:val="20"/>
                <w:szCs w:val="20"/>
                <w:color w:val="auto"/>
              </w:rPr>
            </w:pPr>
            <w:r>
              <w:rPr>
                <w:rFonts w:ascii="Arial" w:cs="Arial" w:eastAsia="Arial" w:hAnsi="Arial"/>
                <w:sz w:val="18"/>
                <w:szCs w:val="18"/>
                <w:b w:val="1"/>
                <w:bCs w:val="1"/>
                <w:color w:val="auto"/>
              </w:rPr>
              <w:t>Name</w:t>
            </w:r>
          </w:p>
        </w:tc>
        <w:tc>
          <w:tcPr>
            <w:tcW w:w="8820" w:type="dxa"/>
            <w:vAlign w:val="bottom"/>
          </w:tcPr>
          <w:p>
            <w:pPr>
              <w:ind w:left="840"/>
              <w:spacing w:after="0"/>
              <w:rPr>
                <w:sz w:val="20"/>
                <w:szCs w:val="20"/>
                <w:color w:val="auto"/>
              </w:rPr>
            </w:pPr>
            <w:r>
              <w:rPr>
                <w:rFonts w:ascii="Arial" w:cs="Arial" w:eastAsia="Arial" w:hAnsi="Arial"/>
                <w:sz w:val="18"/>
                <w:szCs w:val="18"/>
                <w:b w:val="1"/>
                <w:bCs w:val="1"/>
                <w:color w:val="auto"/>
              </w:rPr>
              <w:t>Title</w:t>
            </w:r>
          </w:p>
        </w:tc>
      </w:tr>
      <w:tr>
        <w:trPr>
          <w:trHeight w:val="392"/>
        </w:trPr>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9"/>
              </w:rPr>
              <w:t>/s/Sandra B. Cochran</w:t>
            </w:r>
          </w:p>
        </w:tc>
        <w:tc>
          <w:tcPr>
            <w:tcW w:w="1040" w:type="dxa"/>
            <w:vAlign w:val="bottom"/>
            <w:gridSpan w:val="5"/>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1"/>
          </w:tcPr>
          <w:p>
            <w:pPr>
              <w:spacing w:after="0"/>
              <w:rPr>
                <w:sz w:val="20"/>
                <w:szCs w:val="20"/>
                <w:color w:val="auto"/>
              </w:rPr>
            </w:pPr>
            <w:r>
              <w:rPr>
                <w:rFonts w:ascii="Arial" w:cs="Arial" w:eastAsia="Arial" w:hAnsi="Arial"/>
                <w:sz w:val="18"/>
                <w:szCs w:val="18"/>
                <w:color w:val="auto"/>
              </w:rPr>
              <w:t>Sandra B. Cochran</w:t>
            </w:r>
          </w:p>
        </w:tc>
        <w:tc>
          <w:tcPr>
            <w:tcW w:w="8820" w:type="dxa"/>
            <w:vAlign w:val="bottom"/>
          </w:tcPr>
          <w:p>
            <w:pPr>
              <w:ind w:left="84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/s/Lawrence E. Hyatt</w:t>
            </w:r>
          </w:p>
        </w:tc>
        <w:tc>
          <w:tcPr>
            <w:tcW w:w="1060" w:type="dxa"/>
            <w:vAlign w:val="bottom"/>
            <w:gridSpan w:val="6"/>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1"/>
          </w:tcPr>
          <w:p>
            <w:pPr>
              <w:spacing w:after="0"/>
              <w:rPr>
                <w:sz w:val="20"/>
                <w:szCs w:val="20"/>
                <w:color w:val="auto"/>
              </w:rPr>
            </w:pPr>
            <w:r>
              <w:rPr>
                <w:rFonts w:ascii="Arial" w:cs="Arial" w:eastAsia="Arial" w:hAnsi="Arial"/>
                <w:sz w:val="18"/>
                <w:szCs w:val="18"/>
                <w:color w:val="auto"/>
              </w:rPr>
              <w:t>Lawrence E. Hyatt</w:t>
            </w:r>
          </w:p>
        </w:tc>
        <w:tc>
          <w:tcPr>
            <w:tcW w:w="8820" w:type="dxa"/>
            <w:vAlign w:val="bottom"/>
          </w:tcPr>
          <w:p>
            <w:pPr>
              <w:ind w:left="840"/>
              <w:spacing w:after="0"/>
              <w:rPr>
                <w:sz w:val="20"/>
                <w:szCs w:val="20"/>
                <w:color w:val="auto"/>
              </w:rPr>
            </w:pPr>
            <w:r>
              <w:rPr>
                <w:rFonts w:ascii="Arial" w:cs="Arial" w:eastAsia="Arial" w:hAnsi="Arial"/>
                <w:sz w:val="18"/>
                <w:szCs w:val="18"/>
                <w:color w:val="auto"/>
              </w:rPr>
              <w:t>Senior Vice President and Chief Financial Officer (Principal Financial Officer)</w:t>
            </w:r>
          </w:p>
        </w:tc>
      </w:tr>
      <w:tr>
        <w:trPr>
          <w:trHeight w:val="392"/>
        </w:trPr>
        <w:tc>
          <w:tcPr>
            <w:tcW w:w="2600" w:type="dxa"/>
            <w:vAlign w:val="bottom"/>
            <w:gridSpan w:val="11"/>
          </w:tcPr>
          <w:p>
            <w:pPr>
              <w:spacing w:after="0"/>
              <w:rPr>
                <w:sz w:val="20"/>
                <w:szCs w:val="20"/>
                <w:color w:val="auto"/>
              </w:rPr>
            </w:pPr>
            <w:r>
              <w:rPr>
                <w:rFonts w:ascii="Arial" w:cs="Arial" w:eastAsia="Arial" w:hAnsi="Arial"/>
                <w:sz w:val="18"/>
                <w:szCs w:val="18"/>
                <w:color w:val="auto"/>
              </w:rPr>
              <w:t>/s/Jeffrey M. Wilson</w:t>
            </w:r>
          </w:p>
        </w:tc>
        <w:tc>
          <w:tcPr>
            <w:tcW w:w="8820" w:type="dxa"/>
            <w:vAlign w:val="bottom"/>
          </w:tcPr>
          <w:p>
            <w:pPr>
              <w:spacing w:after="0"/>
              <w:rPr>
                <w:sz w:val="24"/>
                <w:szCs w:val="24"/>
                <w:color w:val="auto"/>
              </w:rPr>
            </w:pPr>
          </w:p>
        </w:tc>
      </w:tr>
      <w:tr>
        <w:trPr>
          <w:trHeight w:val="237"/>
        </w:trPr>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Jeffrey M. Wilson</w:t>
            </w:r>
          </w:p>
        </w:tc>
        <w:tc>
          <w:tcPr>
            <w:tcW w:w="1120" w:type="dxa"/>
            <w:vAlign w:val="bottom"/>
            <w:gridSpan w:val="8"/>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2600" w:type="dxa"/>
            <w:vAlign w:val="bottom"/>
            <w:gridSpan w:val="11"/>
          </w:tcPr>
          <w:p>
            <w:pPr>
              <w:spacing w:after="0"/>
              <w:rPr>
                <w:sz w:val="20"/>
                <w:szCs w:val="20"/>
                <w:color w:val="auto"/>
              </w:rPr>
            </w:pPr>
            <w:r>
              <w:rPr>
                <w:rFonts w:ascii="Arial" w:cs="Arial" w:eastAsia="Arial" w:hAnsi="Arial"/>
                <w:sz w:val="18"/>
                <w:szCs w:val="18"/>
                <w:color w:val="auto"/>
              </w:rPr>
              <w:t>/s/Thomas H. Barr</w:t>
            </w:r>
          </w:p>
        </w:tc>
        <w:tc>
          <w:tcPr>
            <w:tcW w:w="8820" w:type="dxa"/>
            <w:vAlign w:val="bottom"/>
          </w:tcPr>
          <w:p>
            <w:pPr>
              <w:spacing w:after="0"/>
              <w:rPr>
                <w:sz w:val="24"/>
                <w:szCs w:val="24"/>
                <w:color w:val="auto"/>
              </w:rPr>
            </w:pPr>
          </w:p>
        </w:tc>
      </w:tr>
      <w:tr>
        <w:trPr>
          <w:trHeight w:val="237"/>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H. Barr</w:t>
            </w:r>
          </w:p>
        </w:tc>
        <w:tc>
          <w:tcPr>
            <w:tcW w:w="1260" w:type="dxa"/>
            <w:vAlign w:val="bottom"/>
            <w:gridSpan w:val="10"/>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/s/James W. Bradford</w:t>
            </w:r>
          </w:p>
        </w:tc>
        <w:tc>
          <w:tcPr>
            <w:tcW w:w="1040" w:type="dxa"/>
            <w:vAlign w:val="bottom"/>
            <w:gridSpan w:val="5"/>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1"/>
          </w:tcPr>
          <w:p>
            <w:pPr>
              <w:spacing w:after="0"/>
              <w:rPr>
                <w:sz w:val="20"/>
                <w:szCs w:val="20"/>
                <w:color w:val="auto"/>
              </w:rPr>
            </w:pPr>
            <w:r>
              <w:rPr>
                <w:rFonts w:ascii="Arial" w:cs="Arial" w:eastAsia="Arial" w:hAnsi="Arial"/>
                <w:sz w:val="18"/>
                <w:szCs w:val="18"/>
                <w:color w:val="auto"/>
              </w:rPr>
              <w:t>James W. Bradford</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 and Chairman of the Board</w:t>
            </w:r>
          </w:p>
        </w:tc>
      </w:tr>
      <w:tr>
        <w:trPr>
          <w:trHeight w:val="392"/>
        </w:trPr>
        <w:tc>
          <w:tcPr>
            <w:tcW w:w="2600" w:type="dxa"/>
            <w:vAlign w:val="bottom"/>
            <w:gridSpan w:val="11"/>
          </w:tcPr>
          <w:p>
            <w:pPr>
              <w:spacing w:after="0"/>
              <w:rPr>
                <w:sz w:val="20"/>
                <w:szCs w:val="20"/>
                <w:color w:val="auto"/>
              </w:rPr>
            </w:pPr>
            <w:r>
              <w:rPr>
                <w:rFonts w:ascii="Arial" w:cs="Arial" w:eastAsia="Arial" w:hAnsi="Arial"/>
                <w:sz w:val="18"/>
                <w:szCs w:val="18"/>
                <w:color w:val="auto"/>
              </w:rPr>
              <w:t>/s/Glenn A. Davenport</w:t>
            </w:r>
          </w:p>
        </w:tc>
        <w:tc>
          <w:tcPr>
            <w:tcW w:w="8820" w:type="dxa"/>
            <w:vAlign w:val="bottom"/>
          </w:tcPr>
          <w:p>
            <w:pPr>
              <w:spacing w:after="0"/>
              <w:rPr>
                <w:sz w:val="24"/>
                <w:szCs w:val="24"/>
                <w:color w:val="auto"/>
              </w:rPr>
            </w:pPr>
          </w:p>
        </w:tc>
      </w:tr>
      <w:tr>
        <w:trPr>
          <w:trHeight w:val="237"/>
        </w:trPr>
        <w:tc>
          <w:tcPr>
            <w:tcW w:w="16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Glenn A. Davenport</w:t>
            </w:r>
          </w:p>
        </w:tc>
        <w:tc>
          <w:tcPr>
            <w:tcW w:w="960" w:type="dxa"/>
            <w:vAlign w:val="bottom"/>
            <w:gridSpan w:val="3"/>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/s/Richard J. Dobkin</w:t>
            </w:r>
          </w:p>
        </w:tc>
        <w:tc>
          <w:tcPr>
            <w:tcW w:w="1100" w:type="dxa"/>
            <w:vAlign w:val="bottom"/>
            <w:gridSpan w:val="7"/>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1"/>
          </w:tcPr>
          <w:p>
            <w:pPr>
              <w:spacing w:after="0"/>
              <w:rPr>
                <w:sz w:val="20"/>
                <w:szCs w:val="20"/>
                <w:color w:val="auto"/>
              </w:rPr>
            </w:pPr>
            <w:r>
              <w:rPr>
                <w:rFonts w:ascii="Arial" w:cs="Arial" w:eastAsia="Arial" w:hAnsi="Arial"/>
                <w:sz w:val="18"/>
                <w:szCs w:val="18"/>
                <w:color w:val="auto"/>
              </w:rPr>
              <w:t>Richard J. Dobkin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1"/>
          </w:tcPr>
          <w:p>
            <w:pPr>
              <w:spacing w:after="0"/>
              <w:rPr>
                <w:sz w:val="20"/>
                <w:szCs w:val="20"/>
                <w:color w:val="auto"/>
              </w:rPr>
            </w:pPr>
            <w:r>
              <w:rPr>
                <w:rFonts w:ascii="Arial" w:cs="Arial" w:eastAsia="Arial" w:hAnsi="Arial"/>
                <w:sz w:val="18"/>
                <w:szCs w:val="18"/>
                <w:color w:val="auto"/>
              </w:rPr>
              <w:t>/s/Norman E. Johnson</w:t>
            </w:r>
          </w:p>
        </w:tc>
        <w:tc>
          <w:tcPr>
            <w:tcW w:w="8820" w:type="dxa"/>
            <w:vAlign w:val="bottom"/>
          </w:tcPr>
          <w:p>
            <w:pPr>
              <w:spacing w:after="0"/>
              <w:rPr>
                <w:sz w:val="24"/>
                <w:szCs w:val="24"/>
                <w:color w:val="auto"/>
              </w:rPr>
            </w:pPr>
          </w:p>
        </w:tc>
      </w:tr>
      <w:tr>
        <w:trPr>
          <w:trHeight w:val="237"/>
        </w:trPr>
        <w:tc>
          <w:tcPr>
            <w:tcW w:w="16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9"/>
              </w:rPr>
              <w:t>Norman E. Johnson</w:t>
            </w:r>
          </w:p>
        </w:tc>
        <w:tc>
          <w:tcPr>
            <w:tcW w:w="1000" w:type="dxa"/>
            <w:vAlign w:val="bottom"/>
            <w:gridSpan w:val="4"/>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1"/>
          </w:tcPr>
          <w:p>
            <w:pPr>
              <w:spacing w:after="0"/>
              <w:rPr>
                <w:sz w:val="20"/>
                <w:szCs w:val="20"/>
                <w:color w:val="auto"/>
              </w:rPr>
            </w:pPr>
            <w:r>
              <w:rPr>
                <w:rFonts w:ascii="Arial" w:cs="Arial" w:eastAsia="Arial" w:hAnsi="Arial"/>
                <w:sz w:val="18"/>
                <w:szCs w:val="18"/>
                <w:color w:val="auto"/>
              </w:rPr>
              <w:t>/s/William W. McCarten</w:t>
            </w:r>
          </w:p>
        </w:tc>
        <w:tc>
          <w:tcPr>
            <w:tcW w:w="882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William W. McCarten</w:t>
            </w:r>
          </w:p>
        </w:tc>
        <w:tc>
          <w:tcPr>
            <w:tcW w:w="840" w:type="dxa"/>
            <w:vAlign w:val="bottom"/>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8"/>
              </w:rPr>
              <w:t>/s/Coleman H. Peterson</w:t>
            </w:r>
          </w:p>
        </w:tc>
        <w:tc>
          <w:tcPr>
            <w:tcW w:w="880" w:type="dxa"/>
            <w:vAlign w:val="bottom"/>
            <w:gridSpan w:val="2"/>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1"/>
          </w:tcPr>
          <w:p>
            <w:pPr>
              <w:spacing w:after="0"/>
              <w:rPr>
                <w:sz w:val="20"/>
                <w:szCs w:val="20"/>
                <w:color w:val="auto"/>
              </w:rPr>
            </w:pPr>
            <w:r>
              <w:rPr>
                <w:rFonts w:ascii="Arial" w:cs="Arial" w:eastAsia="Arial" w:hAnsi="Arial"/>
                <w:sz w:val="18"/>
                <w:szCs w:val="18"/>
                <w:color w:val="auto"/>
              </w:rPr>
              <w:t>Coleman H. Peterson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1"/>
          </w:tcPr>
          <w:p>
            <w:pPr>
              <w:spacing w:after="0"/>
              <w:rPr>
                <w:sz w:val="20"/>
                <w:szCs w:val="20"/>
                <w:color w:val="auto"/>
              </w:rPr>
            </w:pPr>
            <w:r>
              <w:rPr>
                <w:rFonts w:ascii="Arial" w:cs="Arial" w:eastAsia="Arial" w:hAnsi="Arial"/>
                <w:sz w:val="18"/>
                <w:szCs w:val="18"/>
                <w:color w:val="auto"/>
              </w:rPr>
              <w:t>/s/Andrea M. Weiss</w:t>
            </w:r>
          </w:p>
        </w:tc>
        <w:tc>
          <w:tcPr>
            <w:tcW w:w="882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Andrea M. Weiss</w:t>
            </w:r>
          </w:p>
        </w:tc>
        <w:tc>
          <w:tcPr>
            <w:tcW w:w="1180" w:type="dxa"/>
            <w:vAlign w:val="bottom"/>
            <w:gridSpan w:val="9"/>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569"/>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ind w:left="3040"/>
              <w:spacing w:after="0"/>
              <w:rPr>
                <w:sz w:val="20"/>
                <w:szCs w:val="20"/>
                <w:color w:val="auto"/>
              </w:rPr>
            </w:pPr>
            <w:r>
              <w:rPr>
                <w:rFonts w:ascii="Arial" w:cs="Arial" w:eastAsia="Arial" w:hAnsi="Arial"/>
                <w:sz w:val="14"/>
                <w:szCs w:val="14"/>
                <w:color w:val="auto"/>
              </w:rPr>
              <w:t>76</w:t>
            </w:r>
          </w:p>
        </w:tc>
      </w:tr>
      <w:tr>
        <w:trPr>
          <w:trHeight w:val="46"/>
        </w:trPr>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8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0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3(I), 4(a)</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Amended and Restated Charter of Cracker Barrel Old Country Store,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3(II), 4(b)</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Amended and Restated Bylaws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4(c), 10(a)</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Credit Agreement, dated as of January 8, 2015, among Cracker Barrel Old Country Store, Inc., the Subsidiary Guarantors named therein,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Lenders party thereto, and Wells Fargo Bank, National Association as Administrative Agent and Collateral Agent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4(d)</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Rights Agreement, dated as of April 9, 2015, between Cracker Barrel Old Country Store, Inc. and American Stock Transfer &amp; Trust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LLC, as rights agent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10(b)</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Form of Stock Option Award under the CBRL Group, Inc. 2002 Omnibus Incentive Compensation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10(c)</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lease of 21 Cracker Barrel Old Country Store® sites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10(d)</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lease of nine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10(e)</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Master Lease, dated July 31, 2000, between Country Stores Property 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Lessee, for lease of 23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10(f)</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Lessee, for lease of 12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10(g)</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Amended and Restated Stock Option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10(h)</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Corporate Policy—Severance Benefits Policy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10(i)</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2002 Omnibus Incentive Compensation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10(j)</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2010 Omnibus Stock and Incentive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10(k)</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Form of Performance-Based Stock Unit Award</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10(l)</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Non-Qualified Savings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10(m)</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Deferred Compensation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10(n)</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Amendment to Deferred Compensation Plan</w:t>
            </w:r>
            <w:r>
              <w:rPr>
                <w:rFonts w:ascii="Arial" w:cs="Arial" w:eastAsia="Arial" w:hAnsi="Arial"/>
                <w:sz w:val="25"/>
                <w:szCs w:val="25"/>
                <w:color w:val="auto"/>
                <w:vertAlign w:val="superscript"/>
              </w:rPr>
              <w:t>†</w:t>
            </w: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10(o)</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Executive Employment Agreement with Sandra B. Cochran, dated as of September 26, 2013</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10(p)</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Form of Restricted Stock Award Notice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(16)</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4"/>
          </w:tcPr>
          <w:p>
            <w:pPr>
              <w:spacing w:after="0"/>
              <w:rPr>
                <w:rFonts w:ascii="Arial" w:cs="Arial" w:eastAsia="Arial" w:hAnsi="Arial"/>
                <w:sz w:val="14"/>
                <w:szCs w:val="14"/>
                <w:i w:val="1"/>
                <w:iCs w:val="1"/>
                <w:color w:val="0000EE"/>
                <w:w w:val="95"/>
              </w:rPr>
            </w:pPr>
            <w:hyperlink w:anchor="page3">
              <w:r>
                <w:rPr>
                  <w:rFonts w:ascii="Arial" w:cs="Arial" w:eastAsia="Arial" w:hAnsi="Arial"/>
                  <w:sz w:val="14"/>
                  <w:szCs w:val="14"/>
                  <w:i w:val="1"/>
                  <w:iCs w:val="1"/>
                  <w:color w:val="0000EE"/>
                  <w:w w:val="95"/>
                </w:rPr>
                <w:t>Table of Contents</w:t>
              </w:r>
            </w:hyperlink>
          </w:p>
        </w:tc>
        <w:tc>
          <w:tcPr>
            <w:tcW w:w="48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10(q)</w:t>
            </w: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Cracker Barrel Old Country Store, Inc. and Subsidiaries FY 2013</w:t>
            </w:r>
          </w:p>
        </w:tc>
        <w:tc>
          <w:tcPr>
            <w:tcW w:w="5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Long-Term Incentive Program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10(r)</w:t>
            </w: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Cracker Barrel Old Country Store, Inc. and Subsidiaries FY 2014</w:t>
            </w:r>
          </w:p>
        </w:tc>
        <w:tc>
          <w:tcPr>
            <w:tcW w:w="5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Long-Term Incentive Program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10(s)</w:t>
            </w: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Cracker Barrel Old Country Store, Inc. and Subsidiaries FY 2015</w:t>
            </w:r>
          </w:p>
        </w:tc>
        <w:tc>
          <w:tcPr>
            <w:tcW w:w="5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Annual Bonus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10(t)</w:t>
            </w: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Cracker Barrel Old Country Store, Inc. and Subsidiaries FY 2015</w:t>
            </w:r>
          </w:p>
        </w:tc>
        <w:tc>
          <w:tcPr>
            <w:tcW w:w="55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Long-Term Incentive Program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10(u)</w:t>
            </w:r>
          </w:p>
        </w:tc>
        <w:tc>
          <w:tcPr>
            <w:tcW w:w="103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Form of Change in Control and Severance Agreement between Cracker Barrel Old Country Store, Inc. and certain of its named officers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10(v)</w:t>
            </w:r>
          </w:p>
        </w:tc>
        <w:tc>
          <w:tcPr>
            <w:tcW w:w="103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Change in Control and Severance Agreement with Edward A. Greene, dated May 22, 2015</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10(w)</w:t>
            </w:r>
          </w:p>
        </w:tc>
        <w:tc>
          <w:tcPr>
            <w:tcW w:w="103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Change in Control and Severance Agreement with Christopher A. Ciavarra, dated May 22, 2015</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10(x)</w:t>
            </w:r>
          </w:p>
        </w:tc>
        <w:tc>
          <w:tcPr>
            <w:tcW w:w="103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Change in Control and Severance Agreement with Lawrence E. Hyatt, dated May 22, 2015</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10(y)</w:t>
            </w:r>
          </w:p>
        </w:tc>
        <w:tc>
          <w:tcPr>
            <w:tcW w:w="1034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Change in Control and Severance Agreement with Nicholas V. Flanagan, dated May 22, 2015</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3"/>
            <w:shd w:val="clear" w:color="auto" w:fill="CCEEFF"/>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10(z)</w:t>
              </w:r>
            </w:hyperlink>
          </w:p>
        </w:tc>
        <w:tc>
          <w:tcPr>
            <w:tcW w:w="1034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3"/>
                <w:szCs w:val="13"/>
                <w:color w:val="auto"/>
              </w:rPr>
              <w:t>Retirement Agreement with Lawrence E. Hyatt, dated as of September 25, 2015</w:t>
            </w:r>
            <w:r>
              <w:rPr>
                <w:rFonts w:ascii="Arial" w:cs="Arial" w:eastAsia="Arial" w:hAnsi="Arial"/>
                <w:sz w:val="20"/>
                <w:szCs w:val="20"/>
                <w:color w:val="auto"/>
                <w:vertAlign w:val="superscript"/>
              </w:rPr>
              <w:t>†</w:t>
            </w:r>
            <w:r>
              <w:rPr>
                <w:rFonts w:ascii="Arial" w:cs="Arial" w:eastAsia="Arial" w:hAnsi="Arial"/>
                <w:sz w:val="13"/>
                <w:szCs w:val="13"/>
                <w:color w:val="auto"/>
              </w:rPr>
              <w:t xml:space="preserve"> (filed herewith)</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29"/>
        </w:numPr>
        <w:rPr>
          <w:rFonts w:ascii="Arial" w:cs="Arial" w:eastAsia="Arial" w:hAnsi="Arial"/>
          <w:sz w:val="18"/>
          <w:szCs w:val="18"/>
          <w:u w:val="single" w:color="auto"/>
          <w:color w:val="0000EE"/>
        </w:rPr>
      </w:pPr>
      <w:r>
        <w:rPr>
          <w:rFonts w:ascii="Arial" w:cs="Arial" w:eastAsia="Arial" w:hAnsi="Arial"/>
          <w:sz w:val="18"/>
          <w:szCs w:val="18"/>
          <w:color w:val="auto"/>
        </w:rPr>
        <w:t>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30"/>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 Deloitte &amp; Touche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gridSpan w:val="2"/>
            <w:shd w:val="clear" w:color="auto" w:fill="CCEEFF"/>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filed under the Exchange Act on 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January 9, 2015.</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under the Exchange Act on April 9, 2015.</w:t>
      </w:r>
    </w:p>
    <w:p>
      <w:pPr>
        <w:spacing w:after="0" w:line="225"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filed under the Exchange Act for the fiscal year ended July 29, 2005.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filed under the Exchange Act for the fiscal year ended July 28, 2000.</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January 30, 2009.</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January 29, 2010.</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December 7, 2010.</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December 7, 2010.</w:t>
      </w:r>
    </w:p>
    <w:p>
      <w:pPr>
        <w:spacing w:after="0" w:line="236" w:lineRule="exact"/>
        <w:rPr>
          <w:rFonts w:ascii="Arial" w:cs="Arial" w:eastAsia="Arial" w:hAnsi="Arial"/>
          <w:sz w:val="17"/>
          <w:szCs w:val="17"/>
          <w:color w:val="auto"/>
        </w:rPr>
      </w:pPr>
    </w:p>
    <w:p>
      <w:pPr>
        <w:ind w:left="700" w:right="2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right="2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10(dd) to the Company’s Annual Report on Form 10-K filed under the Exchange Act for the fiscal year ended August 2, 2013.</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10.3 to the Company’s Current Report on Form 8-K filed under the Exchange Act on July 31, 2013.</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3, 2012.</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July 31, 2013.</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October 7, 2014.</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7, 2014.</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May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-6289040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-6014720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-5740400</wp:posOffset>
            </wp:positionV>
            <wp:extent cx="72466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-5328285</wp:posOffset>
            </wp:positionV>
            <wp:extent cx="72466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-4916805</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-4505325</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-4093845</wp:posOffset>
            </wp:positionV>
            <wp:extent cx="7246620"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-3681730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-3407410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-3133090</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-2721610</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-2309495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-1898015</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-1486535</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-1212215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-937895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jc w:val="both"/>
        <w:ind w:right="4640" w:firstLine="8"/>
        <w:spacing w:after="0" w:line="283" w:lineRule="auto"/>
        <w:tabs>
          <w:tab w:leader="none" w:pos="3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Document not filed because essentially identical in terms and conditions to Exhibit 10(c). ** Document not filed because essentially identical in terms and conditions to Exhibit 10(u).</w:t>
      </w:r>
    </w:p>
    <w:p>
      <w:pPr>
        <w:ind w:left="340" w:hanging="332"/>
        <w:spacing w:after="0" w:line="183" w:lineRule="auto"/>
        <w:tabs>
          <w:tab w:leader="none" w:pos="340" w:val="left"/>
        </w:tabs>
        <w:numPr>
          <w:ilvl w:val="0"/>
          <w:numId w:val="34"/>
        </w:numPr>
        <w:rPr>
          <w:rFonts w:ascii="Arial" w:cs="Arial" w:eastAsia="Arial" w:hAnsi="Arial"/>
          <w:sz w:val="26"/>
          <w:szCs w:val="26"/>
          <w:color w:val="auto"/>
          <w:vertAlign w:val="superscript"/>
        </w:rPr>
      </w:pPr>
      <w:r>
        <w:rPr>
          <w:rFonts w:ascii="Arial" w:cs="Arial" w:eastAsia="Arial" w:hAnsi="Arial"/>
          <w:sz w:val="16"/>
          <w:szCs w:val="16"/>
          <w:color w:val="auto"/>
        </w:rPr>
        <w:t>Denotes management contract or compensatory plan, contract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10(z)</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RETIREMENT AGREEMENT</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this 25 day of September, 2015 by and between Lawrence E. Hyatt (the “</w:t>
      </w:r>
      <w:r>
        <w:rPr>
          <w:rFonts w:ascii="Arial" w:cs="Arial" w:eastAsia="Arial" w:hAnsi="Arial"/>
          <w:sz w:val="18"/>
          <w:szCs w:val="18"/>
          <w:u w:val="single" w:color="auto"/>
          <w:color w:val="auto"/>
        </w:rPr>
        <w:t>Executive</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Cracker Barrel Old Country Store, Inc., (together with its subsidiaries and affiliates hereinafter referred to as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as the Senior Vice President and Chief Financial Officer of the Company; and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effective January 3, 2016, the Executive will be eligible to retire and receive benefits under certain compensation programs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under the Cracker Barrel Old Country Store, Inc. 2010 Omnibus Stock and Incentive Plan (the “</w:t>
      </w:r>
      <w:r>
        <w:rPr>
          <w:rFonts w:ascii="Arial" w:cs="Arial" w:eastAsia="Arial" w:hAnsi="Arial"/>
          <w:sz w:val="17"/>
          <w:szCs w:val="17"/>
          <w:u w:val="single" w:color="auto"/>
          <w:color w:val="auto"/>
        </w:rPr>
        <w:t>Omnibus Plan</w:t>
      </w:r>
      <w:r>
        <w:rPr>
          <w:rFonts w:ascii="Arial" w:cs="Arial" w:eastAsia="Arial" w:hAnsi="Arial"/>
          <w:sz w:val="17"/>
          <w:szCs w:val="17"/>
          <w:color w:val="auto"/>
        </w:rPr>
        <w:t>”), including the FY 2014, FY 2015 and FY 2016 market stock unit awards and FY 2015 and FY 2016 long-term performance plans (collectively, the “</w:t>
      </w:r>
      <w:r>
        <w:rPr>
          <w:rFonts w:ascii="Arial" w:cs="Arial" w:eastAsia="Arial" w:hAnsi="Arial"/>
          <w:sz w:val="17"/>
          <w:szCs w:val="17"/>
          <w:u w:val="single" w:color="auto"/>
          <w:color w:val="auto"/>
        </w:rPr>
        <w:t>LTI Awards</w:t>
      </w:r>
      <w:r>
        <w:rPr>
          <w:rFonts w:ascii="Arial" w:cs="Arial" w:eastAsia="Arial" w:hAnsi="Arial"/>
          <w:sz w:val="17"/>
          <w:szCs w:val="17"/>
          <w:color w:val="auto"/>
        </w:rPr>
        <w: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has previously received a bonus opportunity award under the Cracker Barrel Old Country Store, Inc. and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FY 2016 Annual Bonus Plan (the “</w:t>
      </w:r>
      <w:r>
        <w:rPr>
          <w:rFonts w:ascii="Arial" w:cs="Arial" w:eastAsia="Arial" w:hAnsi="Arial"/>
          <w:sz w:val="18"/>
          <w:szCs w:val="18"/>
          <w:u w:val="single" w:color="auto"/>
          <w:color w:val="auto"/>
        </w:rPr>
        <w:t>2016 ABP</w:t>
      </w:r>
      <w:r>
        <w:rPr>
          <w:rFonts w:ascii="Arial" w:cs="Arial" w:eastAsia="Arial" w:hAnsi="Arial"/>
          <w:sz w:val="18"/>
          <w:szCs w:val="18"/>
          <w:color w:val="auto"/>
        </w:rPr>
        <w:t>”) and an award (the “</w:t>
      </w:r>
      <w:r>
        <w:rPr>
          <w:rFonts w:ascii="Arial" w:cs="Arial" w:eastAsia="Arial" w:hAnsi="Arial"/>
          <w:sz w:val="18"/>
          <w:szCs w:val="18"/>
          <w:u w:val="single" w:color="auto"/>
          <w:color w:val="auto"/>
        </w:rPr>
        <w:t>2013 Restricted Stock Award</w:t>
      </w:r>
      <w:r>
        <w:rPr>
          <w:rFonts w:ascii="Arial" w:cs="Arial" w:eastAsia="Arial" w:hAnsi="Arial"/>
          <w:sz w:val="18"/>
          <w:szCs w:val="18"/>
          <w:color w:val="auto"/>
        </w:rPr>
        <w:t>”) of 3,000 restricted shares of the Company’s $0.01 par value common stock granted pursuant to an award notice dated July 31, 2013; and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has indicated his desire to retire and to leave all positions with the Company, effective not earlier than January 8, 2016 or</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August 5, 2016,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secure Executive's continuing services for a period of time beginning on January 8, 2016 and not to extend</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August 5, 2016 and to provide certain other benefits to Executive in view of his valuable service to the Company; and</w:t>
      </w:r>
    </w:p>
    <w:p>
      <w:pPr>
        <w:spacing w:after="0" w:line="162"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it is the desire of the Company and the Executive to set forth herein their mutual agreement with respect to all matters relating to (i)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Executive's retirement and resignation as an officer of the Company, (ii) the terms under which Executive will continue to serve as an employee of the Company through the date of his retirement and (iii) clarify the treatment of the Executive’s compensatory awards, including his potential award under the 2016 ABP and the 2013 Restricted Stock Award, in light of the Executive’s pending retirement, all upon the terms set forth herein;</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mutual covenants and promises contained herein, the parties hereby agree as follows:</w:t>
      </w:r>
    </w:p>
    <w:p>
      <w:pPr>
        <w:spacing w:after="0" w:line="229" w:lineRule="exact"/>
        <w:rPr>
          <w:sz w:val="20"/>
          <w:szCs w:val="20"/>
          <w:color w:val="auto"/>
        </w:rPr>
      </w:pPr>
    </w:p>
    <w:p>
      <w:pPr>
        <w:jc w:val="both"/>
        <w:ind w:firstLine="656"/>
        <w:spacing w:after="0" w:line="259" w:lineRule="auto"/>
        <w:tabs>
          <w:tab w:leader="none" w:pos="129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Company Notice; Retirement Date</w:t>
      </w:r>
      <w:r>
        <w:rPr>
          <w:rFonts w:ascii="Arial" w:cs="Arial" w:eastAsia="Arial" w:hAnsi="Arial"/>
          <w:sz w:val="18"/>
          <w:szCs w:val="18"/>
          <w:color w:val="auto"/>
        </w:rPr>
        <w:t>. The Company shall provide the Executive with written notice promptly following its employment of a new chief financial officer to serve as the Executive’s successor (the “</w:t>
      </w:r>
      <w:r>
        <w:rPr>
          <w:rFonts w:ascii="Arial" w:cs="Arial" w:eastAsia="Arial" w:hAnsi="Arial"/>
          <w:sz w:val="18"/>
          <w:szCs w:val="18"/>
          <w:u w:val="single" w:color="auto"/>
          <w:color w:val="auto"/>
        </w:rPr>
        <w:t>Successor Notice</w:t>
      </w:r>
      <w:r>
        <w:rPr>
          <w:rFonts w:ascii="Arial" w:cs="Arial" w:eastAsia="Arial" w:hAnsi="Arial"/>
          <w:sz w:val="18"/>
          <w:szCs w:val="18"/>
          <w:color w:val="auto"/>
        </w:rPr>
        <w:t>”), which notice shall specify the date on which such successor will assume the duties of the Company’s chief financial officer (the “</w:t>
      </w:r>
      <w:r>
        <w:rPr>
          <w:rFonts w:ascii="Arial" w:cs="Arial" w:eastAsia="Arial" w:hAnsi="Arial"/>
          <w:sz w:val="18"/>
          <w:szCs w:val="18"/>
          <w:u w:val="single" w:color="auto"/>
          <w:color w:val="auto"/>
        </w:rPr>
        <w:t>Successor Effective Date</w:t>
      </w:r>
      <w:r>
        <w:rPr>
          <w:rFonts w:ascii="Arial" w:cs="Arial" w:eastAsia="Arial" w:hAnsi="Arial"/>
          <w:sz w:val="18"/>
          <w:szCs w:val="18"/>
          <w:color w:val="auto"/>
        </w:rPr>
        <w:t>”). If the Successor Effective Date set forth in the Successor Notice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0" w:name="page81"/>
    <w:bookmarkEnd w:id="80"/>
    <w:p>
      <w:pPr>
        <w:jc w:val="both"/>
        <w:ind w:left="4" w:firstLine="645"/>
        <w:spacing w:after="0" w:line="279" w:lineRule="auto"/>
        <w:tabs>
          <w:tab w:leader="none" w:pos="1291" w:val="left"/>
        </w:tabs>
        <w:numPr>
          <w:ilvl w:val="1"/>
          <w:numId w:val="36"/>
        </w:numPr>
        <w:rPr>
          <w:rFonts w:ascii="Arial" w:cs="Arial" w:eastAsia="Arial" w:hAnsi="Arial"/>
          <w:sz w:val="17"/>
          <w:szCs w:val="17"/>
          <w:color w:val="auto"/>
        </w:rPr>
      </w:pPr>
      <w:r>
        <w:rPr>
          <w:rFonts w:ascii="Arial" w:cs="Arial" w:eastAsia="Arial" w:hAnsi="Arial"/>
          <w:sz w:val="17"/>
          <w:szCs w:val="17"/>
          <w:color w:val="auto"/>
        </w:rPr>
        <w:t>on or before December 11, 2015, then the Executive shall resign as the Senior Vice President and Chief Financial Officer of the Company and all other positions with the Company (including, for the avoidance of doubt, its subsidiaries) as of the Successor Effective Date but shall remain a Vice President of the Company, reporting to and having such duties as may be assigned to him from time to time by the Chief Executive Officer of the Company, until his retirement from the Company, which shall take place on January 3, 2016;</w:t>
      </w:r>
    </w:p>
    <w:p>
      <w:pPr>
        <w:spacing w:after="0" w:line="171" w:lineRule="exact"/>
        <w:rPr>
          <w:rFonts w:ascii="Arial" w:cs="Arial" w:eastAsia="Arial" w:hAnsi="Arial"/>
          <w:sz w:val="17"/>
          <w:szCs w:val="17"/>
          <w:color w:val="auto"/>
        </w:rPr>
      </w:pPr>
    </w:p>
    <w:p>
      <w:pPr>
        <w:jc w:val="both"/>
        <w:ind w:left="4" w:firstLine="645"/>
        <w:spacing w:after="0" w:line="257" w:lineRule="auto"/>
        <w:tabs>
          <w:tab w:leader="none" w:pos="12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after December 11, 2015 but on or before April 29, 2016, then the Executive shall resign as the Senior Vice President and Chief Financial Officer of the Company and all other positions with the Company (including, for the avoidance of doubt, its subsidiaries) as of the Successor Effective Date but shall remain a Vice President of the Company, reporting to and having such duties as may be assigned to him from time to time by the Chief Executive Officer of the Company, until his retirement from the Company, which shall take place on the date that is four (4) weeks after the Successor Effective Date; or</w:t>
      </w:r>
    </w:p>
    <w:p>
      <w:pPr>
        <w:spacing w:after="0" w:line="188" w:lineRule="exact"/>
        <w:rPr>
          <w:rFonts w:ascii="Arial" w:cs="Arial" w:eastAsia="Arial" w:hAnsi="Arial"/>
          <w:sz w:val="18"/>
          <w:szCs w:val="18"/>
          <w:color w:val="auto"/>
        </w:rPr>
      </w:pPr>
    </w:p>
    <w:p>
      <w:pPr>
        <w:jc w:val="both"/>
        <w:ind w:left="4" w:firstLine="645"/>
        <w:spacing w:after="0" w:line="279" w:lineRule="auto"/>
        <w:tabs>
          <w:tab w:leader="none" w:pos="1156" w:val="left"/>
        </w:tabs>
        <w:numPr>
          <w:ilvl w:val="1"/>
          <w:numId w:val="36"/>
        </w:numPr>
        <w:rPr>
          <w:rFonts w:ascii="Arial" w:cs="Arial" w:eastAsia="Arial" w:hAnsi="Arial"/>
          <w:sz w:val="17"/>
          <w:szCs w:val="17"/>
          <w:color w:val="auto"/>
        </w:rPr>
      </w:pPr>
      <w:r>
        <w:rPr>
          <w:rFonts w:ascii="Arial" w:cs="Arial" w:eastAsia="Arial" w:hAnsi="Arial"/>
          <w:sz w:val="17"/>
          <w:szCs w:val="17"/>
          <w:color w:val="auto"/>
        </w:rPr>
        <w:t>after April 29, 2016, then the Executive shall resign as the Senior Vice President and Chief Financial Officer of the Company and all other positions with the Company (including, for the avoidance of doubt, its subsidiaries) as of the Successor Effective Date but shall remain a Vice President of the Company, reporting to and having such duties as may be assigned to him from time to time by the Chief Executive Officer of the Company, until his retirement from the Company, which shall take place on August 5, 2016.</w:t>
      </w:r>
    </w:p>
    <w:p>
      <w:pPr>
        <w:spacing w:after="0" w:line="171" w:lineRule="exact"/>
        <w:rPr>
          <w:rFonts w:ascii="Arial" w:cs="Arial" w:eastAsia="Arial" w:hAnsi="Arial"/>
          <w:sz w:val="17"/>
          <w:szCs w:val="17"/>
          <w:color w:val="auto"/>
        </w:rPr>
      </w:pPr>
    </w:p>
    <w:p>
      <w:pPr>
        <w:ind w:left="604" w:hanging="604"/>
        <w:spacing w:after="0"/>
        <w:tabs>
          <w:tab w:leader="none" w:pos="60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Payments and Compensation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64" w:lineRule="auto"/>
        <w:tabs>
          <w:tab w:leader="none" w:pos="1197"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 shall continue to be paid his applicable base salary through the later to occur of January 8, 2016 or the date that is four (4) weeks after the Successor Effective Date. If he continues thereafter to remain employed by the Company pursuant to Section 1(c) hereof, he shall receive base salary at an annual rate of $52,000 until his retirement.</w:t>
      </w:r>
    </w:p>
    <w:p>
      <w:pPr>
        <w:spacing w:after="0" w:line="181" w:lineRule="exact"/>
        <w:rPr>
          <w:rFonts w:ascii="Arial" w:cs="Arial" w:eastAsia="Arial" w:hAnsi="Arial"/>
          <w:sz w:val="18"/>
          <w:szCs w:val="18"/>
          <w:color w:val="auto"/>
        </w:rPr>
      </w:pPr>
    </w:p>
    <w:p>
      <w:pPr>
        <w:jc w:val="both"/>
        <w:ind w:left="4" w:firstLine="645"/>
        <w:spacing w:after="0" w:line="270" w:lineRule="auto"/>
        <w:tabs>
          <w:tab w:leader="none" w:pos="1409"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2016 ABP</w:t>
      </w:r>
      <w:r>
        <w:rPr>
          <w:rFonts w:ascii="Arial" w:cs="Arial" w:eastAsia="Arial" w:hAnsi="Arial"/>
          <w:sz w:val="17"/>
          <w:szCs w:val="17"/>
          <w:color w:val="auto"/>
        </w:rPr>
        <w:t>. If the Executive’s retirement pursuant to Section 1 hereof occurs on or prior to March 18, 2016, then all of the Executive’s rights to an Annual Bonus (as defined in the 2016 ABP) with respect to fiscal 2016 shall be forfeited. If, however, the Executive’s retirement occurs after March 18, 2016, then pursuant to Section 9.5(a) of the 2010 Omnibus Plan the Executive’s Eligible Bonus (as defined in the 2016 ABP), prorated based on the number of days from the beginning of the 2016 fiscal year through the date that is four (4) weeks after the Successor Effective Date, shall be paid to the Executive after the close of the Performance Period (as defined in the 2016 ABP) and the certification of the Performance Goal (as defined in the 2016 ABP) by the Compensation Committee of the Board of Directors of the Company at the same time all other bonus awards are paid to other senior executives of the Company under the 2016 ABP. Executive's continued employment by the Company following the date that is four (4) weeks after the Successor Effective Date pursuant to Section 1(c) shall not count toward the proration of any Eligible Bonus to be paid to him under the 2016 ABP pursuant to this Section 2(b).</w:t>
      </w:r>
    </w:p>
    <w:p>
      <w:pPr>
        <w:spacing w:after="0" w:line="380"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81" w:name="page82"/>
    <w:bookmarkEnd w:id="81"/>
    <w:p>
      <w:pPr>
        <w:jc w:val="both"/>
        <w:ind w:left="660" w:firstLine="645"/>
        <w:spacing w:after="0" w:line="257" w:lineRule="auto"/>
        <w:tabs>
          <w:tab w:leader="none" w:pos="1799"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2013 Restricted Stock Award</w:t>
      </w:r>
      <w:r>
        <w:rPr>
          <w:rFonts w:ascii="Arial" w:cs="Arial" w:eastAsia="Arial" w:hAnsi="Arial"/>
          <w:sz w:val="18"/>
          <w:szCs w:val="18"/>
          <w:color w:val="auto"/>
        </w:rPr>
        <w:t>. If the Executive’s retirement pursuant to Section 1 hereof occurs on or prior to May 27, 2016, then all of the Executive’s rights to the 2013 Restricted Stock Award shall be forfeited. If, however, the Executive’s retirement occurs after May 27, 2016, then, for the avoidance of doubt, the Executive’s continued service as a Vice President of the Company pursuant to Section 1(c) hereof shall constitute continued employment with the Company for purposes of vesting of the 2013 Restricted Stock Award pursuant to Section 3 of the applicable award notice therefore.</w:t>
      </w:r>
    </w:p>
    <w:p>
      <w:pPr>
        <w:spacing w:after="0" w:line="188" w:lineRule="exact"/>
        <w:rPr>
          <w:rFonts w:ascii="Arial" w:cs="Arial" w:eastAsia="Arial" w:hAnsi="Arial"/>
          <w:sz w:val="18"/>
          <w:szCs w:val="18"/>
          <w:color w:val="auto"/>
        </w:rPr>
      </w:pPr>
    </w:p>
    <w:p>
      <w:pPr>
        <w:jc w:val="both"/>
        <w:ind w:left="660" w:firstLine="645"/>
        <w:spacing w:after="0" w:line="286" w:lineRule="auto"/>
        <w:tabs>
          <w:tab w:leader="none" w:pos="1849"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Other Compensatory Awards; the LTI Awards; Benefits</w:t>
      </w:r>
      <w:r>
        <w:rPr>
          <w:rFonts w:ascii="Arial" w:cs="Arial" w:eastAsia="Arial" w:hAnsi="Arial"/>
          <w:sz w:val="16"/>
          <w:szCs w:val="16"/>
          <w:color w:val="auto"/>
        </w:rPr>
        <w:t>. Except as specifically provided herein, the vesting and/or exercisability of all equity incentive awards granted to the Executive shall be governed by the terms of the award notices or similar agreements applicable to such awards. Without limiting the foregoing, it is acknowledged and agreed by the Executive and the Company that the LTI Awards shall be prorated based on the number of days from the beginning of the applicable performance period for each LTI Award through the later of (i) January 8, 2016 or</w:t>
      </w:r>
    </w:p>
    <w:p>
      <w:pPr>
        <w:spacing w:after="0" w:line="1" w:lineRule="exact"/>
        <w:rPr>
          <w:rFonts w:ascii="Arial" w:cs="Arial" w:eastAsia="Arial" w:hAnsi="Arial"/>
          <w:sz w:val="16"/>
          <w:szCs w:val="16"/>
          <w:color w:val="auto"/>
        </w:rPr>
      </w:pPr>
    </w:p>
    <w:p>
      <w:pPr>
        <w:jc w:val="both"/>
        <w:ind w:left="660" w:hanging="4"/>
        <w:spacing w:after="0" w:line="252" w:lineRule="auto"/>
        <w:tabs>
          <w:tab w:leader="none" w:pos="9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that is four (4) weeks after the Successor Effective Date. Conversely, Executive's continued employment by the Company following the date that is four (4) weeks after the Successor Effective Date pursuant to Section 1(c) shall not count toward the proration of any LTI Award. In addition, through the date of his retirement from the Company pursuant to Section 1, in addition to the benefits specifically provided for herein, the Executive shall remain entitled to participate in those benefit plans that are maintained by the Company for senior executive officers, including provision of all group health and life insurance benefits for the Executive and his dependents at the same level as for other the Company senior level executives.</w:t>
      </w:r>
    </w:p>
    <w:p>
      <w:pPr>
        <w:spacing w:after="0" w:line="194" w:lineRule="exact"/>
        <w:rPr>
          <w:sz w:val="20"/>
          <w:szCs w:val="20"/>
          <w:color w:val="auto"/>
        </w:rPr>
      </w:pPr>
    </w:p>
    <w:p>
      <w:pPr>
        <w:jc w:val="both"/>
        <w:ind w:firstLine="656"/>
        <w:spacing w:after="0" w:line="287" w:lineRule="auto"/>
        <w:tabs>
          <w:tab w:leader="none" w:pos="1307"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Application of Code Section 409A</w:t>
      </w:r>
      <w:r>
        <w:rPr>
          <w:rFonts w:ascii="Arial" w:cs="Arial" w:eastAsia="Arial" w:hAnsi="Arial"/>
          <w:sz w:val="16"/>
          <w:szCs w:val="16"/>
          <w:color w:val="auto"/>
        </w:rPr>
        <w:t>. The Company shall report all payments and other benefits paid or provided pursuant to Section 2 3 of this Agreement to the extent required by, and in accordance with, Section 409A (“</w:t>
      </w:r>
      <w:r>
        <w:rPr>
          <w:rFonts w:ascii="Arial" w:cs="Arial" w:eastAsia="Arial" w:hAnsi="Arial"/>
          <w:sz w:val="16"/>
          <w:szCs w:val="16"/>
          <w:u w:val="single" w:color="auto"/>
          <w:color w:val="auto"/>
        </w:rPr>
        <w:t>Section 409A</w:t>
      </w:r>
      <w:r>
        <w:rPr>
          <w:rFonts w:ascii="Arial" w:cs="Arial" w:eastAsia="Arial" w:hAnsi="Arial"/>
          <w:sz w:val="16"/>
          <w:szCs w:val="16"/>
          <w:color w:val="auto"/>
        </w:rPr>
        <w:t>”)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In the event that the Company or the Executive reasonably and in good faith determines that any payment to be made or benefit to be provided to the Executive hereunder would result in the application of Section 409A, the Company shall, in consultation with the Executive, modify the Agreement to the extent possible and in the least restrictive manner reasonably available in order to exclude such compensation from the definition of “deferred compensation” within the meaning of such Section 409A or in order to comply with the provisions of Section 409A and/or any rules, regulations or other regulatory guidance issued under such statutory provision and without any diminution in the value of the payments to the Executive. Notwithstanding the foregoing, under no circumstance shall the Company be responsible for any taxes, penalties, interest or other losses or expenses incurred by the Executive due to any failure to comply with Section 409A, or for any interest on account of any delay in payment deemed necessary to comply with Section 409A. To the extent any reimbursements or in- kind benefits due to the Executive constitute "deferred compensation" under Section 409A of the Code, any such reimbursements or in-kind benefits shall be paid to you in a manner consistent with Treas. Reg. Section 1.409A-3(i)(1)(iv).</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both"/>
        <w:ind w:firstLine="656"/>
        <w:spacing w:after="0" w:line="293" w:lineRule="auto"/>
        <w:tabs>
          <w:tab w:leader="none" w:pos="146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shall inure to the benefit of and be enforceable by the Executive and by the Executive's personal or legal representatives, executors and administrators and by the Company and its successors and assigns. In the event of the death or disability of the Executive while any amounts are payable to the Executive hereunder, all such amounts, unless otherwise provided herein, shall be paid in accordance with the terms of this Agreement to such person or persons designated in writing by the Executive to receive such amounts or, if no person is so designated, to the Executive's estate or personal representative, as the case may be. The effect of the death or disability of the Executive on the Potential Options and the Restricted Shares shall be determined by reference to the terms of the applicable plans and agreements for those matters including, without limitation, the Omnibus Plan.</w:t>
      </w:r>
    </w:p>
    <w:p>
      <w:pPr>
        <w:spacing w:after="0" w:line="164" w:lineRule="exact"/>
        <w:rPr>
          <w:rFonts w:ascii="Arial" w:cs="Arial" w:eastAsia="Arial" w:hAnsi="Arial"/>
          <w:sz w:val="16"/>
          <w:szCs w:val="16"/>
          <w:color w:val="auto"/>
        </w:rPr>
      </w:pPr>
    </w:p>
    <w:p>
      <w:pPr>
        <w:ind w:right="20" w:firstLine="656"/>
        <w:spacing w:after="0" w:line="277" w:lineRule="auto"/>
        <w:tabs>
          <w:tab w:leader="none" w:pos="149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of the parties with respect to the subject matter hereof, and shall be binding upon their respective heirs, executors, administrators, successors and assigns.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shall be held to be invalid or unenforceable for any reason, then such term or provision shall be ineffective to the extent of such invalidity or unenforceability without invalidating the remaining terms or provisions hereof, and such term or provision shall be deemed modified to the extent necessary to make it enforceable.</w:t>
      </w:r>
    </w:p>
    <w:p>
      <w:pPr>
        <w:spacing w:after="0" w:line="181" w:lineRule="exact"/>
        <w:rPr>
          <w:rFonts w:ascii="Arial" w:cs="Arial" w:eastAsia="Arial" w:hAnsi="Arial"/>
          <w:sz w:val="18"/>
          <w:szCs w:val="18"/>
          <w:color w:val="auto"/>
        </w:rPr>
      </w:pPr>
    </w:p>
    <w:p>
      <w:pPr>
        <w:ind w:firstLine="656"/>
        <w:spacing w:after="0" w:line="277" w:lineRule="auto"/>
        <w:tabs>
          <w:tab w:leader="none" w:pos="127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Neither this Agreement nor any term hereof may be orally changed, waived, discharged, or terminated, and may be amended only by a written agreement signed by both of the parties hereto.</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laws of the State of Tennessee without regard to the conflict of law principles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jurisdiction.</w:t>
      </w:r>
    </w:p>
    <w:p>
      <w:pPr>
        <w:spacing w:after="0" w:line="210" w:lineRule="exact"/>
        <w:rPr>
          <w:rFonts w:ascii="Arial" w:cs="Arial" w:eastAsia="Arial" w:hAnsi="Arial"/>
          <w:sz w:val="16"/>
          <w:szCs w:val="16"/>
          <w:color w:val="auto"/>
        </w:rPr>
      </w:pPr>
    </w:p>
    <w:p>
      <w:pPr>
        <w:ind w:left="1260" w:hanging="604"/>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Legally Binding</w:t>
      </w:r>
      <w:r>
        <w:rPr>
          <w:rFonts w:ascii="Arial" w:cs="Arial" w:eastAsia="Arial" w:hAnsi="Arial"/>
          <w:sz w:val="18"/>
          <w:szCs w:val="18"/>
          <w:color w:val="auto"/>
        </w:rPr>
        <w:t>. The terms of this Agreement contained herein are contractual and not mere recitals.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ind w:firstLine="648"/>
        <w:spacing w:after="0" w:line="277" w:lineRule="auto"/>
        <w:rPr>
          <w:sz w:val="20"/>
          <w:szCs w:val="20"/>
          <w:color w:val="auto"/>
        </w:rPr>
      </w:pPr>
      <w:r>
        <w:rPr>
          <w:rFonts w:ascii="Arial" w:cs="Arial" w:eastAsia="Arial" w:hAnsi="Arial"/>
          <w:sz w:val="18"/>
          <w:szCs w:val="18"/>
          <w:color w:val="auto"/>
        </w:rPr>
        <w:t>IN WITNESS WHEREOF, the parties, acknowledging that they are acting of their own free will, have voluntarily caused the execution of this Agreement as of the date first written above.</w:t>
      </w:r>
    </w:p>
    <w:p>
      <w:pPr>
        <w:spacing w:after="0" w:line="19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The Executive:</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Lawrence E. Hyatt</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/s/Beverly K. Carmichael</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Name: Beverly K. Carmichael</w:t>
      </w:r>
    </w:p>
    <w:p>
      <w:pPr>
        <w:spacing w:after="0" w:line="9"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significant subsidiaries of the Registrant as of July 31, 2015,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100" w:type="dxa"/>
            <w:vAlign w:val="bottom"/>
            <w:gridSpan w:val="3"/>
          </w:tcPr>
          <w:p>
            <w:pPr>
              <w:ind w:left="220"/>
              <w:spacing w:after="0"/>
              <w:rPr>
                <w:sz w:val="20"/>
                <w:szCs w:val="20"/>
                <w:color w:val="auto"/>
              </w:rPr>
            </w:pPr>
            <w:r>
              <w:rPr>
                <w:rFonts w:ascii="Arial" w:cs="Arial" w:eastAsia="Arial" w:hAnsi="Arial"/>
                <w:sz w:val="18"/>
                <w:szCs w:val="18"/>
                <w:color w:val="auto"/>
              </w:rPr>
              <w:t>State of</w:t>
            </w:r>
          </w:p>
        </w:tc>
        <w:tc>
          <w:tcPr>
            <w:tcW w:w="0" w:type="dxa"/>
            <w:vAlign w:val="bottom"/>
          </w:tcPr>
          <w:p>
            <w:pPr>
              <w:spacing w:after="0"/>
              <w:rPr>
                <w:sz w:val="1"/>
                <w:szCs w:val="1"/>
                <w:color w:val="auto"/>
              </w:rPr>
            </w:pPr>
          </w:p>
        </w:tc>
      </w:tr>
      <w:tr>
        <w:trPr>
          <w:trHeight w:val="190"/>
        </w:trPr>
        <w:tc>
          <w:tcPr>
            <w:tcW w:w="8320" w:type="dxa"/>
            <w:vAlign w:val="bottom"/>
            <w:gridSpan w:val="4"/>
          </w:tcPr>
          <w:p>
            <w:pPr>
              <w:spacing w:after="0" w:line="190" w:lineRule="exact"/>
              <w:rPr>
                <w:sz w:val="20"/>
                <w:szCs w:val="20"/>
                <w:color w:val="auto"/>
              </w:rPr>
            </w:pPr>
            <w:r>
              <w:rPr>
                <w:rFonts w:ascii="Arial" w:cs="Arial" w:eastAsia="Arial" w:hAnsi="Arial"/>
                <w:sz w:val="18"/>
                <w:szCs w:val="18"/>
                <w:color w:val="auto"/>
              </w:rPr>
              <w:t>Parent</w:t>
            </w:r>
          </w:p>
        </w:tc>
        <w:tc>
          <w:tcPr>
            <w:tcW w:w="3100" w:type="dxa"/>
            <w:vAlign w:val="bottom"/>
            <w:gridSpan w:val="3"/>
          </w:tcPr>
          <w:p>
            <w:pPr>
              <w:spacing w:after="0" w:line="190" w:lineRule="exact"/>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Cracker Barrel Old Country Store, Inc.</w:t>
            </w: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392"/>
        </w:trPr>
        <w:tc>
          <w:tcPr>
            <w:tcW w:w="8320" w:type="dxa"/>
            <w:vAlign w:val="bottom"/>
            <w:gridSpan w:val="4"/>
          </w:tcPr>
          <w:p>
            <w:pPr>
              <w:spacing w:after="0"/>
              <w:rPr>
                <w:sz w:val="20"/>
                <w:szCs w:val="20"/>
                <w:color w:val="auto"/>
              </w:rPr>
            </w:pPr>
            <w:r>
              <w:rPr>
                <w:rFonts w:ascii="Arial" w:cs="Arial" w:eastAsia="Arial" w:hAnsi="Arial"/>
                <w:sz w:val="18"/>
                <w:szCs w:val="18"/>
                <w:color w:val="auto"/>
              </w:rPr>
              <w:t>Subsidiaries</w:t>
            </w:r>
          </w:p>
        </w:tc>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Distribution, Inc.</w:t>
            </w:r>
          </w:p>
        </w:tc>
        <w:tc>
          <w:tcPr>
            <w:tcW w:w="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gridSpan w:val="3"/>
          </w:tcPr>
          <w:p>
            <w:pPr>
              <w:spacing w:after="0" w:line="201" w:lineRule="exact"/>
              <w:rPr>
                <w:sz w:val="20"/>
                <w:szCs w:val="20"/>
                <w:color w:val="auto"/>
              </w:rPr>
            </w:pPr>
            <w:r>
              <w:rPr>
                <w:rFonts w:ascii="Arial" w:cs="Arial" w:eastAsia="Arial" w:hAnsi="Arial"/>
                <w:sz w:val="18"/>
                <w:szCs w:val="18"/>
                <w:color w:val="auto"/>
              </w:rPr>
              <w:t>CBOCS Properties, Inc.</w:t>
            </w:r>
          </w:p>
        </w:tc>
        <w:tc>
          <w:tcPr>
            <w:tcW w:w="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gridSpan w:val="3"/>
          </w:tcPr>
          <w:p>
            <w:pPr>
              <w:ind w:left="160"/>
              <w:spacing w:after="0"/>
              <w:rPr>
                <w:sz w:val="20"/>
                <w:szCs w:val="20"/>
                <w:color w:val="auto"/>
              </w:rPr>
            </w:pPr>
            <w:r>
              <w:rPr>
                <w:rFonts w:ascii="Arial" w:cs="Arial" w:eastAsia="Arial" w:hAnsi="Arial"/>
                <w:sz w:val="18"/>
                <w:szCs w:val="18"/>
                <w:color w:val="auto"/>
              </w:rPr>
              <w:t>(dba Cracker Barrel Old Country Store)</w:t>
            </w:r>
          </w:p>
        </w:tc>
        <w:tc>
          <w:tcPr>
            <w:tcW w:w="310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West, Inc.</w:t>
            </w:r>
          </w:p>
        </w:tc>
        <w:tc>
          <w:tcPr>
            <w:tcW w:w="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3100" w:type="dxa"/>
            <w:vAlign w:val="bottom"/>
            <w:gridSpan w:val="3"/>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Texas, LLC</w:t>
            </w:r>
          </w:p>
        </w:tc>
        <w:tc>
          <w:tcPr>
            <w:tcW w:w="9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616"/>
        </w:trPr>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40" w:type="dxa"/>
            <w:vAlign w:val="bottom"/>
            <w:tcBorders>
              <w:top w:val="single" w:sz="8" w:color="auto"/>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7440" w:type="dxa"/>
            <w:vAlign w:val="bottom"/>
            <w:tcBorders>
              <w:top w:val="single" w:sz="8" w:color="auto"/>
            </w:tcBorders>
            <w:shd w:val="clear" w:color="auto" w:fill="808080"/>
          </w:tcPr>
          <w:p>
            <w:pPr>
              <w:spacing w:after="0" w:line="20" w:lineRule="exact"/>
              <w:rPr>
                <w:sz w:val="1"/>
                <w:szCs w:val="1"/>
                <w:color w:val="auto"/>
              </w:rPr>
            </w:pPr>
          </w:p>
        </w:tc>
        <w:tc>
          <w:tcPr>
            <w:tcW w:w="980" w:type="dxa"/>
            <w:vAlign w:val="bottom"/>
            <w:tcBorders>
              <w:top w:val="single" w:sz="8" w:color="auto"/>
            </w:tcBorders>
            <w:shd w:val="clear" w:color="auto" w:fill="808080"/>
          </w:tcPr>
          <w:p>
            <w:pPr>
              <w:spacing w:after="0" w:line="20" w:lineRule="exact"/>
              <w:rPr>
                <w:sz w:val="1"/>
                <w:szCs w:val="1"/>
                <w:color w:val="auto"/>
              </w:rPr>
            </w:pPr>
          </w:p>
        </w:tc>
        <w:tc>
          <w:tcPr>
            <w:tcW w:w="210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33-37567, 33-45482, 333-63442, 333-71384, 333-81063, 333-111364 and 333-174744 on Form S-8 of our reports dated September 28, 2015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July 31, 2015.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6" w:name="page87"/>
    <w:bookmarkEnd w:id="86"/>
    <w:p>
      <w:pPr>
        <w:spacing w:after="0"/>
        <w:tabs>
          <w:tab w:leader="none" w:pos="502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300" w:hanging="2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300" w:right="20" w:hanging="225"/>
        <w:spacing w:after="0" w:line="342"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300" w:hanging="225"/>
        <w:spacing w:after="0" w:line="291" w:lineRule="auto"/>
        <w:tabs>
          <w:tab w:leader="none" w:pos="1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620" w:right="20" w:hanging="315"/>
        <w:spacing w:after="0" w:line="342" w:lineRule="auto"/>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620" w:hanging="315"/>
        <w:spacing w:after="0" w:line="308" w:lineRule="auto"/>
        <w:tabs>
          <w:tab w:leader="none" w:pos="16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620" w:right="20" w:hanging="315"/>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29,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338455</wp:posOffset>
            </wp:positionV>
            <wp:extent cx="714756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7" w:name="page88"/>
    <w:bookmarkEnd w:id="87"/>
    <w:p>
      <w:pPr>
        <w:spacing w:after="0"/>
        <w:tabs>
          <w:tab w:leader="none" w:pos="502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300" w:hanging="2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300" w:right="20" w:hanging="225"/>
        <w:spacing w:after="0" w:line="342"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300" w:hanging="225"/>
        <w:spacing w:after="0" w:line="291"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620" w:right="20" w:hanging="315"/>
        <w:spacing w:after="0" w:line="342" w:lineRule="auto"/>
        <w:tabs>
          <w:tab w:leader="none" w:pos="16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620" w:hanging="315"/>
        <w:spacing w:after="0" w:line="264"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620" w:hanging="315"/>
        <w:spacing w:after="0" w:line="308" w:lineRule="auto"/>
        <w:tabs>
          <w:tab w:leader="none" w:pos="16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620" w:right="20" w:hanging="315"/>
        <w:spacing w:after="0" w:line="277"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29,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338455</wp:posOffset>
            </wp:positionV>
            <wp:extent cx="714756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756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25"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July 31, 2015,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4"/>
          </w:tcPr>
          <w:p>
            <w:pPr>
              <w:spacing w:after="0"/>
              <w:rPr>
                <w:sz w:val="20"/>
                <w:szCs w:val="20"/>
                <w:color w:val="auto"/>
              </w:rPr>
            </w:pPr>
            <w:r>
              <w:rPr>
                <w:rFonts w:ascii="Arial" w:cs="Arial" w:eastAsia="Arial" w:hAnsi="Arial"/>
                <w:sz w:val="18"/>
                <w:szCs w:val="18"/>
                <w:color w:val="auto"/>
              </w:rPr>
              <w:t>Date: September 29, 2015</w:t>
            </w:r>
          </w:p>
        </w:tc>
        <w:tc>
          <w:tcPr>
            <w:tcW w:w="7780" w:type="dxa"/>
            <w:vAlign w:val="bottom"/>
            <w:gridSpan w:val="4"/>
          </w:tcPr>
          <w:p>
            <w:pPr>
              <w:ind w:left="1740"/>
              <w:spacing w:after="0"/>
              <w:rPr>
                <w:sz w:val="20"/>
                <w:szCs w:val="20"/>
                <w:color w:val="auto"/>
              </w:rPr>
            </w:pPr>
            <w:r>
              <w:rPr>
                <w:rFonts w:ascii="Arial" w:cs="Arial" w:eastAsia="Arial" w:hAnsi="Arial"/>
                <w:sz w:val="18"/>
                <w:szCs w:val="18"/>
                <w:color w:val="auto"/>
              </w:rPr>
              <w:t>By: /s/Sandra B. Cochran</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416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440" w:type="dxa"/>
            <w:vAlign w:val="bottom"/>
            <w:tcBorders>
              <w:top w:val="single" w:sz="8" w:color="auto"/>
            </w:tcBorders>
            <w:shd w:val="clear" w:color="auto" w:fill="808080"/>
          </w:tcPr>
          <w:p>
            <w:pPr>
              <w:spacing w:after="0" w:line="20" w:lineRule="exact"/>
              <w:rPr>
                <w:sz w:val="1"/>
                <w:szCs w:val="1"/>
                <w:color w:val="auto"/>
              </w:rPr>
            </w:pPr>
          </w:p>
        </w:tc>
        <w:tc>
          <w:tcPr>
            <w:tcW w:w="1760" w:type="dxa"/>
            <w:vAlign w:val="bottom"/>
            <w:tcBorders>
              <w:top w:val="single" w:sz="8" w:color="auto"/>
            </w:tcBorders>
            <w:shd w:val="clear" w:color="auto" w:fill="808080"/>
          </w:tcPr>
          <w:p>
            <w:pPr>
              <w:spacing w:after="0" w:line="20" w:lineRule="exact"/>
              <w:rPr>
                <w:sz w:val="1"/>
                <w:szCs w:val="1"/>
                <w:color w:val="auto"/>
              </w:rPr>
            </w:pPr>
          </w:p>
        </w:tc>
        <w:tc>
          <w:tcPr>
            <w:tcW w:w="2080" w:type="dxa"/>
            <w:vAlign w:val="bottom"/>
            <w:tcBorders>
              <w:top w:val="single" w:sz="8" w:color="auto"/>
            </w:tcBorders>
            <w:shd w:val="clear" w:color="auto" w:fill="808080"/>
          </w:tcPr>
          <w:p>
            <w:pPr>
              <w:spacing w:after="0" w:line="20" w:lineRule="exact"/>
              <w:rPr>
                <w:sz w:val="1"/>
                <w:szCs w:val="1"/>
                <w:color w:val="auto"/>
              </w:rPr>
            </w:pPr>
          </w:p>
        </w:tc>
        <w:tc>
          <w:tcPr>
            <w:tcW w:w="1540" w:type="dxa"/>
            <w:vAlign w:val="bottom"/>
            <w:tcBorders>
              <w:top w:val="single" w:sz="8" w:color="auto"/>
            </w:tcBorders>
            <w:shd w:val="clear" w:color="auto" w:fill="808080"/>
          </w:tcPr>
          <w:p>
            <w:pPr>
              <w:spacing w:after="0" w:line="20" w:lineRule="exact"/>
              <w:rPr>
                <w:sz w:val="1"/>
                <w:szCs w:val="1"/>
                <w:color w:val="auto"/>
              </w:rPr>
            </w:pPr>
          </w:p>
        </w:tc>
        <w:tc>
          <w:tcPr>
            <w:tcW w:w="414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25"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July 31, 2015,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4"/>
          </w:tcPr>
          <w:p>
            <w:pPr>
              <w:spacing w:after="0"/>
              <w:rPr>
                <w:sz w:val="20"/>
                <w:szCs w:val="20"/>
                <w:color w:val="auto"/>
              </w:rPr>
            </w:pPr>
            <w:r>
              <w:rPr>
                <w:rFonts w:ascii="Arial" w:cs="Arial" w:eastAsia="Arial" w:hAnsi="Arial"/>
                <w:sz w:val="18"/>
                <w:szCs w:val="18"/>
                <w:color w:val="auto"/>
              </w:rPr>
              <w:t>Date: September 29, 2015</w:t>
            </w:r>
          </w:p>
        </w:tc>
        <w:tc>
          <w:tcPr>
            <w:tcW w:w="7780" w:type="dxa"/>
            <w:vAlign w:val="bottom"/>
            <w:gridSpan w:val="4"/>
          </w:tcPr>
          <w:p>
            <w:pPr>
              <w:ind w:left="1740"/>
              <w:spacing w:after="0"/>
              <w:rPr>
                <w:sz w:val="20"/>
                <w:szCs w:val="20"/>
                <w:color w:val="auto"/>
              </w:rPr>
            </w:pPr>
            <w:r>
              <w:rPr>
                <w:rFonts w:ascii="Arial" w:cs="Arial" w:eastAsia="Arial" w:hAnsi="Arial"/>
                <w:sz w:val="18"/>
                <w:szCs w:val="18"/>
                <w:color w:val="auto"/>
              </w:rPr>
              <w:t>By: /s/Lawrence E. Hyatt</w:t>
            </w: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Lawrence E. Hyatt,</w:t>
            </w:r>
          </w:p>
        </w:tc>
        <w:tc>
          <w:tcPr>
            <w:tcW w:w="4180" w:type="dxa"/>
            <w:vAlign w:val="bottom"/>
            <w:gridSpan w:val="2"/>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420" w:type="dxa"/>
            <w:vAlign w:val="bottom"/>
            <w:tcBorders>
              <w:top w:val="single" w:sz="8" w:color="auto"/>
            </w:tcBorders>
            <w:shd w:val="clear" w:color="auto" w:fill="808080"/>
          </w:tcPr>
          <w:p>
            <w:pPr>
              <w:spacing w:after="0" w:line="20" w:lineRule="exact"/>
              <w:rPr>
                <w:sz w:val="1"/>
                <w:szCs w:val="1"/>
                <w:color w:val="auto"/>
              </w:rPr>
            </w:pPr>
          </w:p>
        </w:tc>
        <w:tc>
          <w:tcPr>
            <w:tcW w:w="1440" w:type="dxa"/>
            <w:vAlign w:val="bottom"/>
            <w:tcBorders>
              <w:top w:val="single" w:sz="8" w:color="auto"/>
            </w:tcBorders>
            <w:shd w:val="clear" w:color="auto" w:fill="808080"/>
          </w:tcPr>
          <w:p>
            <w:pPr>
              <w:spacing w:after="0" w:line="20" w:lineRule="exact"/>
              <w:rPr>
                <w:sz w:val="1"/>
                <w:szCs w:val="1"/>
                <w:color w:val="auto"/>
              </w:rPr>
            </w:pPr>
          </w:p>
        </w:tc>
        <w:tc>
          <w:tcPr>
            <w:tcW w:w="1760" w:type="dxa"/>
            <w:vAlign w:val="bottom"/>
            <w:tcBorders>
              <w:top w:val="single" w:sz="8" w:color="auto"/>
            </w:tcBorders>
            <w:shd w:val="clear" w:color="auto" w:fill="808080"/>
          </w:tcPr>
          <w:p>
            <w:pPr>
              <w:spacing w:after="0" w:line="20" w:lineRule="exact"/>
              <w:rPr>
                <w:sz w:val="1"/>
                <w:szCs w:val="1"/>
                <w:color w:val="auto"/>
              </w:rPr>
            </w:pPr>
          </w:p>
        </w:tc>
        <w:tc>
          <w:tcPr>
            <w:tcW w:w="2080" w:type="dxa"/>
            <w:vAlign w:val="bottom"/>
            <w:tcBorders>
              <w:top w:val="single" w:sz="8" w:color="auto"/>
            </w:tcBorders>
            <w:shd w:val="clear" w:color="auto" w:fill="808080"/>
          </w:tcPr>
          <w:p>
            <w:pPr>
              <w:spacing w:after="0" w:line="20" w:lineRule="exact"/>
              <w:rPr>
                <w:sz w:val="1"/>
                <w:szCs w:val="1"/>
                <w:color w:val="auto"/>
              </w:rPr>
            </w:pPr>
          </w:p>
        </w:tc>
        <w:tc>
          <w:tcPr>
            <w:tcW w:w="1520" w:type="dxa"/>
            <w:vAlign w:val="bottom"/>
            <w:tcBorders>
              <w:top w:val="single" w:sz="8" w:color="auto"/>
            </w:tcBorders>
            <w:shd w:val="clear" w:color="auto" w:fill="808080"/>
          </w:tcPr>
          <w:p>
            <w:pPr>
              <w:spacing w:after="0" w:line="20" w:lineRule="exact"/>
              <w:rPr>
                <w:sz w:val="1"/>
                <w:szCs w:val="1"/>
                <w:color w:val="auto"/>
              </w:rPr>
            </w:pPr>
          </w:p>
        </w:tc>
        <w:tc>
          <w:tcPr>
            <w:tcW w:w="41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lvl w:ilvl="1">
      <w:lvlJc w:val="left"/>
      <w:lvlText w:val="(%2)"/>
      <w:numFmt w:val="lowerLetter"/>
      <w:start w:val="6"/>
    </w:lvl>
  </w:abstractNum>
  <w:abstractNum w:abstractNumId="7">
    <w:nsid w:val="54E49EB4"/>
    <w:multiLevelType w:val="hybridMultilevel"/>
    <w:lvl w:ilvl="0">
      <w:lvlJc w:val="left"/>
      <w:lvlText w:val="(%1)"/>
      <w:numFmt w:val="lowerLetter"/>
      <w:start w:val="7"/>
    </w:lvl>
    <w:lvl w:ilvl="1">
      <w:lvlJc w:val="left"/>
      <w:lvlText w:val="%2"/>
      <w:numFmt w:val="lowerLetter"/>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lvl>
    <w:lvl w:ilvl="1">
      <w:lvlJc w:val="left"/>
      <w:lvlText w:val="·"/>
      <w:numFmt w:val="bullet"/>
      <w:start w:val="1"/>
    </w:lvl>
  </w:abstractNum>
  <w:abstractNum w:abstractNumId="10">
    <w:nsid w:val="836C40E"/>
    <w:multiLevelType w:val="hybridMultilevel"/>
    <w:lvl w:ilvl="0">
      <w:lvlJc w:val="left"/>
      <w:lvlText w:val="%1)"/>
      <w:numFmt w:val="decimal"/>
      <w:start w:val="2"/>
    </w:lvl>
  </w:abstractNum>
  <w:abstractNum w:abstractNumId="11">
    <w:nsid w:val="2901D82"/>
    <w:multiLevelType w:val="hybridMultilevel"/>
    <w:lvl w:ilvl="0">
      <w:lvlJc w:val="left"/>
      <w:lvlText w:val="%1)"/>
      <w:numFmt w:val="decimal"/>
      <w:start w:val="3"/>
    </w:lvl>
  </w:abstractNum>
  <w:abstractNum w:abstractNumId="12">
    <w:nsid w:val="3A95F874"/>
    <w:multiLevelType w:val="hybridMultilevel"/>
    <w:lvl w:ilvl="0">
      <w:lvlJc w:val="left"/>
      <w:lvlText w:val="%1)"/>
      <w:numFmt w:val="decimal"/>
      <w:start w:val="4"/>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4"/>
    </w:lvl>
  </w:abstractNum>
  <w:abstractNum w:abstractNumId="21">
    <w:nsid w:val="614FD4A1"/>
    <w:multiLevelType w:val="hybridMultilevel"/>
    <w:lvl w:ilvl="0">
      <w:lvlJc w:val="left"/>
      <w:lvlText w:val="%1."/>
      <w:numFmt w:val="decimal"/>
      <w:start w:val="10"/>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4"/>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1"/>
    </w:lvl>
    <w:lvl w:ilvl="1">
      <w:lvlJc w:val="left"/>
      <w:lvlText w:val="%2."/>
      <w:numFmt w:val="decimal"/>
      <w:start w:val="1"/>
    </w:lvl>
  </w:abstractNum>
  <w:abstractNum w:abstractNumId="28">
    <w:nsid w:val="7724C67E"/>
    <w:multiLevelType w:val="hybridMultilevel"/>
    <w:lvl w:ilvl="0">
      <w:lvlJc w:val="left"/>
      <w:lvlText w:val="%1"/>
      <w:numFmt w:val="decimal"/>
      <w:start w:val="21"/>
    </w:lvl>
  </w:abstractNum>
  <w:abstractNum w:abstractNumId="29">
    <w:nsid w:val="5C482A97"/>
    <w:multiLevelType w:val="hybridMultilevel"/>
    <w:lvl w:ilvl="0">
      <w:lvlJc w:val="left"/>
      <w:lvlText w:val="%1"/>
      <w:numFmt w:val="decimal"/>
      <w:start w:val="23"/>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3"/>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lvl w:ilvl="1">
      <w:lvlJc w:val="left"/>
      <w:lvlText w:val="(%2)"/>
      <w:numFmt w:val="lowerLetter"/>
      <w:start w:val="1"/>
    </w:lvl>
  </w:abstractNum>
  <w:abstractNum w:abstractNumId="36">
    <w:nsid w:val="3855585C"/>
    <w:multiLevelType w:val="hybridMultilevel"/>
    <w:lvl w:ilvl="0">
      <w:lvlJc w:val="left"/>
      <w:lvlText w:val="%1."/>
      <w:numFmt w:val="decimal"/>
      <w:start w:val="2"/>
    </w:lvl>
    <w:lvl w:ilvl="1">
      <w:lvlJc w:val="left"/>
      <w:lvlText w:val="(%2)"/>
      <w:numFmt w:val="lowerLetter"/>
      <w:start w:val="1"/>
    </w:lvl>
  </w:abstractNum>
  <w:abstractNum w:abstractNumId="37">
    <w:nsid w:val="70A64E2A"/>
    <w:multiLevelType w:val="hybridMultilevel"/>
    <w:lvl w:ilvl="0">
      <w:lvlJc w:val="left"/>
      <w:lvlText w:val="%1"/>
      <w:numFmt w:val="lowerLetter"/>
      <w:start w:val="1"/>
    </w:lvl>
    <w:lvl w:ilvl="1">
      <w:lvlJc w:val="left"/>
      <w:lvlText w:val="(%2)"/>
      <w:numFmt w:val="lowerLetter"/>
      <w:start w:val="3"/>
    </w:lvl>
  </w:abstractNum>
  <w:abstractNum w:abstractNumId="38">
    <w:nsid w:val="6A2342EC"/>
    <w:multiLevelType w:val="hybridMultilevel"/>
    <w:lvl w:ilvl="0">
      <w:lvlJc w:val="left"/>
      <w:lvlText w:val="(%1)"/>
      <w:numFmt w:val="lowerLetter"/>
      <w:start w:val="35"/>
    </w:lvl>
    <w:lvl w:ilvl="1">
      <w:lvlJc w:val="left"/>
      <w:lvlText w:val="%2"/>
      <w:numFmt w:val="lowerLetter"/>
      <w:start w:val="1"/>
    </w:lvl>
  </w:abstractNum>
  <w:abstractNum w:abstractNumId="39">
    <w:nsid w:val="2A487CB0"/>
    <w:multiLevelType w:val="hybridMultilevel"/>
    <w:lvl w:ilvl="0">
      <w:lvlJc w:val="left"/>
      <w:lvlText w:val="%1."/>
      <w:numFmt w:val="decimal"/>
      <w:start w:val="3"/>
    </w:lvl>
  </w:abstractNum>
  <w:abstractNum w:abstractNumId="40">
    <w:nsid w:val="1D4ED43B"/>
    <w:multiLevelType w:val="hybridMultilevel"/>
    <w:lvl w:ilvl="0">
      <w:lvlJc w:val="left"/>
      <w:lvlText w:val="%1."/>
      <w:numFmt w:val="decimal"/>
      <w:start w:val="4"/>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2"/>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2019-12-29T14:53:24Z</dcterms:created>
  <dcterms:modified xsi:type="dcterms:W3CDTF">2019-12-29T14:53:24Z</dcterms:modified>
</cp:coreProperties>
</file>