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134620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153035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146050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CRACKER BARREL OLD COUNTRY STORE, INC.</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133350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Tennessee</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001-25225</w:t>
      </w:r>
    </w:p>
    <w:p>
      <w:pPr>
        <w:spacing w:after="0" w:line="31"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62-0812904</w:t>
      </w:r>
    </w:p>
    <w:p>
      <w:pPr>
        <w:spacing w:after="0" w:line="31"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00" w:space="720"/>
            <w:col w:w="2480"/>
          </w:cols>
          <w:pgMar w:left="320" w:top="603" w:right="339" w:bottom="1440" w:gutter="0" w:footer="0" w:header="0"/>
          <w:type w:val="continuous"/>
        </w:sectPr>
      </w:pPr>
    </w:p>
    <w:p>
      <w:pPr>
        <w:spacing w:after="0" w:line="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305 Hartmann Drive, Lebanon, Tennessee 37087</w:t>
      </w:r>
    </w:p>
    <w:p>
      <w:pPr>
        <w:spacing w:after="0" w:line="31"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(615) 444-5533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p>
      <w:pPr>
        <w:spacing w:after="0" w:line="200" w:lineRule="exact"/>
        <w:rPr>
          <w:sz w:val="24"/>
          <w:szCs w:val="24"/>
          <w:color w:val="auto"/>
        </w:rPr>
      </w:pPr>
    </w:p>
    <w:p>
      <w:pPr>
        <w:spacing w:after="0" w:line="24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740" w:firstLine="8"/>
        <w:spacing w:after="0" w:line="422"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520" w:type="dxa"/>
        <w:tblCellMar>
          <w:top w:w="0" w:type="dxa"/>
          <w:left w:w="0" w:type="dxa"/>
          <w:bottom w:w="0" w:type="dxa"/>
          <w:right w:w="0" w:type="dxa"/>
        </w:tblCellMar>
      </w:tblPr>
      <w:tr>
        <w:trPr>
          <w:trHeight w:val="216"/>
        </w:trPr>
        <w:tc>
          <w:tcPr>
            <w:tcW w:w="39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5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1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16"/>
        </w:trPr>
        <w:tc>
          <w:tcPr>
            <w:tcW w:w="39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16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registered</w:t>
            </w:r>
          </w:p>
        </w:tc>
      </w:tr>
      <w:tr>
        <w:trPr>
          <w:trHeight w:val="216"/>
        </w:trPr>
        <w:tc>
          <w:tcPr>
            <w:tcW w:w="39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25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CBRL</w:t>
            </w:r>
          </w:p>
        </w:tc>
        <w:tc>
          <w:tcPr>
            <w:tcW w:w="316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39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Rights to Purchase Series A Junior Participating</w:t>
            </w:r>
          </w:p>
        </w:tc>
        <w:tc>
          <w:tcPr>
            <w:tcW w:w="2560" w:type="dxa"/>
            <w:vAlign w:val="bottom"/>
          </w:tcPr>
          <w:p>
            <w:pPr>
              <w:spacing w:after="0"/>
              <w:rPr>
                <w:sz w:val="18"/>
                <w:szCs w:val="18"/>
                <w:color w:val="auto"/>
              </w:rPr>
            </w:pPr>
          </w:p>
        </w:tc>
        <w:tc>
          <w:tcPr>
            <w:tcW w:w="316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34"/>
        </w:trPr>
        <w:tc>
          <w:tcPr>
            <w:tcW w:w="39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Preferred Stock (Par Value $0.01)</w:t>
            </w:r>
          </w:p>
        </w:tc>
        <w:tc>
          <w:tcPr>
            <w:tcW w:w="2560" w:type="dxa"/>
            <w:vAlign w:val="bottom"/>
          </w:tcPr>
          <w:p>
            <w:pPr>
              <w:spacing w:after="0"/>
              <w:rPr>
                <w:sz w:val="20"/>
                <w:szCs w:val="20"/>
                <w:color w:val="auto"/>
              </w:rPr>
            </w:pPr>
          </w:p>
        </w:tc>
        <w:tc>
          <w:tcPr>
            <w:tcW w:w="3160" w:type="dxa"/>
            <w:vAlign w:val="bottom"/>
          </w:tcPr>
          <w:p>
            <w:pPr>
              <w:spacing w:after="0"/>
              <w:rPr>
                <w:sz w:val="20"/>
                <w:szCs w:val="20"/>
                <w:color w:val="auto"/>
              </w:rPr>
            </w:pPr>
          </w:p>
        </w:tc>
      </w:tr>
    </w:tbl>
    <w:p>
      <w:pPr>
        <w:spacing w:after="0" w:line="130"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On June 9, 2026, Cracker Barrel Old Country Store, Inc. (the “Company”) issued a press release (the “Press Release”) announcing the Company’s fiscal 2026 third quarter results of operations and projected outlook of certain items for fiscal year 2026. A copy of the Press Release is furnished herewith as Exhibit 99.1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  Exhibits.</w:t>
            </w:r>
          </w:p>
        </w:tc>
        <w:tc>
          <w:tcPr>
            <w:tcW w:w="24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32"/>
        </w:trPr>
        <w:tc>
          <w:tcPr>
            <w:tcW w:w="8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32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80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00" w:type="dxa"/>
            <w:vAlign w:val="bottom"/>
          </w:tcPr>
          <w:p>
            <w:pPr>
              <w:spacing w:after="0"/>
              <w:rPr>
                <w:sz w:val="24"/>
                <w:szCs w:val="24"/>
                <w:color w:val="auto"/>
              </w:rPr>
            </w:pPr>
          </w:p>
        </w:tc>
        <w:tc>
          <w:tcPr>
            <w:tcW w:w="93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EE"/>
              </w:rPr>
              <w:t>Press Release issued by Cracker Barrel Old Country Store, Inc. dated June 9, 2026</w:t>
            </w:r>
          </w:p>
        </w:tc>
      </w:tr>
      <w:tr>
        <w:trPr>
          <w:trHeight w:val="20"/>
        </w:trPr>
        <w:tc>
          <w:tcPr>
            <w:tcW w:w="8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940" w:type="dxa"/>
            <w:vAlign w:val="bottom"/>
            <w:shd w:val="clear" w:color="auto" w:fill="0000EE"/>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453"/>
        </w:trPr>
        <w:tc>
          <w:tcPr>
            <w:tcW w:w="80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tcPr>
          <w:p>
            <w:pPr>
              <w:spacing w:after="0"/>
              <w:rPr>
                <w:sz w:val="24"/>
                <w:szCs w:val="24"/>
                <w:color w:val="auto"/>
              </w:rPr>
            </w:pPr>
          </w:p>
        </w:tc>
        <w:tc>
          <w:tcPr>
            <w:tcW w:w="93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9, 2026</w:t>
      </w:r>
      <w:r>
        <w:rPr>
          <w:sz w:val="20"/>
          <w:szCs w:val="20"/>
          <w:color w:val="auto"/>
        </w:rPr>
        <w:tab/>
      </w:r>
      <w:r>
        <w:rPr>
          <w:rFonts w:ascii="Times New Roman" w:cs="Times New Roman" w:eastAsia="Times New Roman" w:hAnsi="Times New Roman"/>
          <w:sz w:val="17"/>
          <w:szCs w:val="17"/>
          <w:color w:val="auto"/>
        </w:rPr>
        <w:t>CRACKER BARREL OLD COUNTRY STORE,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Lankford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Jennifer Lankford</w:t>
      </w:r>
    </w:p>
    <w:p>
      <w:pPr>
        <w:spacing w:after="0" w:line="4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158115</wp:posOffset>
            </wp:positionV>
            <wp:extent cx="1971675" cy="9601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71675" cy="96012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Adam Hanan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(615) 443-9887</w:t>
      </w:r>
    </w:p>
    <w:p>
      <w:pPr>
        <w:spacing w:after="0" w:line="200" w:lineRule="exact"/>
        <w:rPr>
          <w:sz w:val="20"/>
          <w:szCs w:val="20"/>
          <w:color w:val="auto"/>
        </w:rPr>
      </w:pPr>
    </w:p>
    <w:p>
      <w:pPr>
        <w:sectPr>
          <w:pgSz w:w="11900" w:h="16838" w:orient="portrait"/>
          <w:cols w:equalWidth="0" w:num="2">
            <w:col w:w="1360" w:space="340"/>
            <w:col w:w="9540"/>
          </w:cols>
          <w:pgMar w:left="320" w:top="351" w:right="33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Heidi Pearce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(615) 235-4135</w:t>
      </w:r>
    </w:p>
    <w:p>
      <w:pPr>
        <w:spacing w:after="0" w:line="200" w:lineRule="exact"/>
        <w:rPr>
          <w:sz w:val="20"/>
          <w:szCs w:val="20"/>
          <w:color w:val="auto"/>
        </w:rPr>
      </w:pPr>
    </w:p>
    <w:p>
      <w:pPr>
        <w:sectPr>
          <w:pgSz w:w="11900" w:h="16838" w:orient="portrait"/>
          <w:cols w:equalWidth="0" w:num="2">
            <w:col w:w="1220" w:space="480"/>
            <w:col w:w="9540"/>
          </w:cols>
          <w:pgMar w:left="320" w:top="351" w:right="339" w:bottom="1440" w:gutter="0" w:footer="0" w:header="0"/>
          <w:type w:val="continuous"/>
        </w:sectPr>
      </w:pP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CRACKER BARREL REPORTS THIRD QUARTER FISCAL 2026 RESULTS AND UPDATES FISCAL 2026 OUTLOOK</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Company increases revenue and adjusted EBITDA</w:t>
      </w:r>
      <w:r>
        <w:rPr>
          <w:rFonts w:ascii="Times New Roman" w:cs="Times New Roman" w:eastAsia="Times New Roman" w:hAnsi="Times New Roman"/>
          <w:sz w:val="29"/>
          <w:szCs w:val="29"/>
          <w:i w:val="1"/>
          <w:iCs w:val="1"/>
          <w:color w:val="auto"/>
          <w:vertAlign w:val="superscript"/>
        </w:rPr>
        <w:t>1,2</w:t>
      </w:r>
      <w:r>
        <w:rPr>
          <w:rFonts w:ascii="Times New Roman" w:cs="Times New Roman" w:eastAsia="Times New Roman" w:hAnsi="Times New Roman"/>
          <w:sz w:val="18"/>
          <w:szCs w:val="18"/>
          <w:i w:val="1"/>
          <w:iCs w:val="1"/>
          <w:color w:val="auto"/>
        </w:rPr>
        <w:t xml:space="preserve"> guidance</w:t>
      </w:r>
    </w:p>
    <w:p>
      <w:pPr>
        <w:spacing w:after="0" w:line="1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LEBANON, Tenn.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June 9, 2026 </w:t>
      </w:r>
      <w:r>
        <w:rPr>
          <w:rFonts w:ascii="Times New Roman" w:cs="Times New Roman" w:eastAsia="Times New Roman" w:hAnsi="Times New Roman"/>
          <w:sz w:val="18"/>
          <w:szCs w:val="18"/>
          <w:color w:val="auto"/>
        </w:rPr>
        <w:t>– Cracker Barrel Old Country Store, Inc. (“Cracker Barrel” or the “Company”) (Nasdaq: CBRL) today reported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results for the third quarter of fiscal 2026 ended May 1, 2026.</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Cracker Barrel President and Chief Executive Officer Julie Masino said, “Our initiatives to improve operations, deepen guest connection, and enhance profitability continue to gain traction, with strong execution from our teams driving third quarter results that exceeded expectations. We remain focused on serving delicious food and delivering experiences guests love and believe we are well-positioned to sustain this new momentum.”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Fiscal 2026 Highlights</w:t>
      </w:r>
    </w:p>
    <w:p>
      <w:pPr>
        <w:spacing w:after="0" w:line="22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Total revenue was $797.4 million. Compared to the prior year quarter, total revenue decreased 2.9%.</w:t>
      </w:r>
    </w:p>
    <w:p>
      <w:pPr>
        <w:spacing w:after="0" w:line="224" w:lineRule="exact"/>
        <w:rPr>
          <w:sz w:val="20"/>
          <w:szCs w:val="20"/>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to the prior year quarter, comparable store restaurant sales decreased 2.6%, and comparable store retail sales decreased 1.8%.</w:t>
      </w:r>
    </w:p>
    <w:p>
      <w:pPr>
        <w:spacing w:after="0" w:line="22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GAAP earnings per diluted share were $1.90, and adjusted</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earnings per diluted share were $0.29.</w:t>
      </w:r>
    </w:p>
    <w:p>
      <w:pPr>
        <w:spacing w:after="0" w:line="135" w:lineRule="exact"/>
        <w:rPr>
          <w:rFonts w:ascii="Arial" w:cs="Arial" w:eastAsia="Arial" w:hAnsi="Arial"/>
          <w:sz w:val="18"/>
          <w:szCs w:val="18"/>
          <w:b w:val="1"/>
          <w:bCs w:val="1"/>
          <w:color w:val="auto"/>
        </w:rPr>
      </w:pPr>
    </w:p>
    <w:p>
      <w:pPr>
        <w:ind w:left="340" w:right="20" w:hanging="332"/>
        <w:spacing w:after="0" w:line="281" w:lineRule="auto"/>
        <w:tabs>
          <w:tab w:leader="none" w:pos="3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GAAP net income was $42.8 million compared to the prior year quarter GAAP net income of $12.6 million. The current year GAAP net income results include a $47.4 million benefit related to a settlement agreement regarding interchange fee litigation.</w:t>
      </w:r>
    </w:p>
    <w:p>
      <w:pPr>
        <w:spacing w:after="0" w:line="166" w:lineRule="exact"/>
        <w:rPr>
          <w:rFonts w:ascii="Arial" w:cs="Arial" w:eastAsia="Arial" w:hAnsi="Arial"/>
          <w:sz w:val="18"/>
          <w:szCs w:val="18"/>
          <w:b w:val="1"/>
          <w:bCs w:val="1"/>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was $40.3 million compared to the prior year quarter 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of $48.1 million.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17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Third Quarter Ended</w:t>
            </w:r>
          </w:p>
        </w:tc>
      </w:tr>
      <w:tr>
        <w:trPr>
          <w:trHeight w:val="223"/>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5/1/26</w:t>
            </w:r>
          </w:p>
        </w:tc>
        <w:tc>
          <w:tcPr>
            <w:tcW w:w="8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5/2/25</w:t>
            </w:r>
          </w:p>
        </w:tc>
        <w:tc>
          <w:tcPr>
            <w:tcW w:w="40" w:type="dxa"/>
            <w:vAlign w:val="bottom"/>
            <w:tcBorders>
              <w:bottom w:val="single" w:sz="8" w:color="CCEEFF"/>
            </w:tcBorders>
          </w:tcPr>
          <w:p>
            <w:pPr>
              <w:spacing w:after="0"/>
              <w:rPr>
                <w:sz w:val="19"/>
                <w:szCs w:val="19"/>
                <w:color w:val="auto"/>
              </w:rPr>
            </w:pP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797,367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821,147</w:t>
            </w:r>
          </w:p>
        </w:tc>
        <w:tc>
          <w:tcPr>
            <w:tcW w:w="4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42,811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12,574</w:t>
            </w:r>
          </w:p>
        </w:tc>
      </w:tr>
      <w:tr>
        <w:trPr>
          <w:trHeight w:val="257"/>
        </w:trPr>
        <w:tc>
          <w:tcPr>
            <w:tcW w:w="5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6,533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13,123</w:t>
            </w:r>
          </w:p>
        </w:tc>
      </w:tr>
      <w:tr>
        <w:trPr>
          <w:trHeight w:val="256"/>
        </w:trPr>
        <w:tc>
          <w:tcPr>
            <w:tcW w:w="50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40,305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48,117</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earnings per share – diluted</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0.56</w:t>
            </w:r>
          </w:p>
        </w:tc>
      </w:tr>
      <w:tr>
        <w:trPr>
          <w:trHeight w:val="39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Adjusted</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earnings per share – diluted</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0.58</w:t>
            </w:r>
          </w:p>
        </w:tc>
      </w:tr>
    </w:tbl>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Balance Sheet &amp; Capital Allocation</w:t>
      </w:r>
    </w:p>
    <w:p>
      <w:pPr>
        <w:spacing w:after="0" w:line="229" w:lineRule="exact"/>
        <w:rPr>
          <w:sz w:val="20"/>
          <w:szCs w:val="20"/>
          <w:color w:val="auto"/>
        </w:rPr>
      </w:pPr>
    </w:p>
    <w:p>
      <w:pPr>
        <w:ind w:left="340" w:hanging="332"/>
        <w:spacing w:after="0" w:line="281" w:lineRule="auto"/>
        <w:tabs>
          <w:tab w:leader="none" w:pos="3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During the third quarter, the Company received $47.4 million, net of legal fees, pursuant to a settlement agreement resolving interchange fee litigation. This amount is recorded in the litigation settlement income line on the Consolidated Income Statement.</w:t>
      </w:r>
    </w:p>
    <w:p>
      <w:pPr>
        <w:spacing w:after="0" w:line="162" w:lineRule="exact"/>
        <w:rPr>
          <w:rFonts w:ascii="Arial" w:cs="Arial" w:eastAsia="Arial" w:hAnsi="Arial"/>
          <w:sz w:val="18"/>
          <w:szCs w:val="18"/>
          <w:b w:val="1"/>
          <w:bCs w:val="1"/>
          <w:color w:val="auto"/>
        </w:rPr>
      </w:pPr>
    </w:p>
    <w:p>
      <w:pPr>
        <w:jc w:val="both"/>
        <w:ind w:left="340" w:hanging="332"/>
        <w:spacing w:after="0" w:line="265" w:lineRule="auto"/>
        <w:tabs>
          <w:tab w:leader="none" w:pos="3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Company ended the third quarter with total debt of $486.6 million, comprised of $149.9 million of short-term debt related to its 0.625% Convertible Senior Notes due June 2026 and $336.8 million of long-term debt related to its 1.75% Convertible Senior Notes due 2030, with no outstanding borrowings on its credit facility.</w:t>
      </w:r>
    </w:p>
    <w:p>
      <w:pPr>
        <w:spacing w:after="0" w:line="177" w:lineRule="exact"/>
        <w:rPr>
          <w:rFonts w:ascii="Arial" w:cs="Arial" w:eastAsia="Arial" w:hAnsi="Arial"/>
          <w:sz w:val="18"/>
          <w:szCs w:val="18"/>
          <w:b w:val="1"/>
          <w:bCs w:val="1"/>
          <w:color w:val="auto"/>
        </w:rPr>
      </w:pPr>
    </w:p>
    <w:p>
      <w:pPr>
        <w:jc w:val="both"/>
        <w:ind w:left="340" w:hanging="332"/>
        <w:spacing w:after="0" w:line="265" w:lineRule="auto"/>
        <w:tabs>
          <w:tab w:leader="none" w:pos="3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Company intends to pay the $149.9 million of short-term debt related to its 0.625% Convertible Senior Notes by its maturity in June 2026 by drawing on its existing revolving credit facility. At the end of the third quarter, the Company had approximately $541.3 million in available capacity under its credit facility.</w:t>
      </w:r>
    </w:p>
    <w:p>
      <w:pPr>
        <w:spacing w:after="0" w:line="177" w:lineRule="exact"/>
        <w:rPr>
          <w:rFonts w:ascii="Arial" w:cs="Arial" w:eastAsia="Arial" w:hAnsi="Arial"/>
          <w:sz w:val="18"/>
          <w:szCs w:val="18"/>
          <w:b w:val="1"/>
          <w:bCs w:val="1"/>
          <w:color w:val="auto"/>
        </w:rPr>
      </w:pPr>
    </w:p>
    <w:p>
      <w:pPr>
        <w:ind w:left="340" w:hanging="332"/>
        <w:spacing w:after="0" w:line="281" w:lineRule="auto"/>
        <w:tabs>
          <w:tab w:leader="none" w:pos="3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Company announced that its Board of Directors declared a quarterly dividend of $0.25 per share of the Company’s common stock. The quarterly dividend is payable on August 12, 2026 to shareholders of record as of July 17,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Fiscal 2026 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provided the following updated outlook for fiscal 2026:</w:t>
      </w:r>
    </w:p>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Total revenue of $3.27 billion to $3.30 billion (vs. previous outlook of $3.24 billion to $3.27 billion)</w:t>
      </w:r>
    </w:p>
    <w:p>
      <w:pPr>
        <w:spacing w:after="0" w:line="227" w:lineRule="exact"/>
        <w:rPr>
          <w:rFonts w:ascii="Arial" w:cs="Arial" w:eastAsia="Arial" w:hAnsi="Arial"/>
          <w:sz w:val="18"/>
          <w:szCs w:val="18"/>
          <w:b w:val="1"/>
          <w:bCs w:val="1"/>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of $120 million to $125 million</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(vs. previous outlook of $85 million to $100 million</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p>
    <w:p>
      <w:pPr>
        <w:spacing w:after="0" w:line="135" w:lineRule="exact"/>
        <w:rPr>
          <w:rFonts w:ascii="Arial" w:cs="Arial" w:eastAsia="Arial" w:hAnsi="Arial"/>
          <w:sz w:val="18"/>
          <w:szCs w:val="18"/>
          <w:b w:val="1"/>
          <w:bCs w:val="1"/>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Commodity inflation in the low 2% range (vs. previous outlook of 2.0% to 2.5%)</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Hourly wage inflation in the low 2% range (vs. previous outlook of 2.5% to 3.0%)</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Capital expenditures of $105 million to $115 million (no change vs. previous outlook)</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2 new Cracker Barrel stores, both of which have opened (no change vs. previous outlook)</w:t>
      </w:r>
    </w:p>
    <w:p>
      <w:pPr>
        <w:spacing w:after="0" w:line="261" w:lineRule="exact"/>
        <w:rPr>
          <w:sz w:val="20"/>
          <w:szCs w:val="20"/>
          <w:color w:val="auto"/>
        </w:rPr>
      </w:pPr>
    </w:p>
    <w:p>
      <w:pPr>
        <w:jc w:val="both"/>
        <w:ind w:firstLine="8"/>
        <w:spacing w:after="0" w:line="211" w:lineRule="auto"/>
        <w:tabs>
          <w:tab w:leader="none" w:pos="141" w:val="left"/>
        </w:tabs>
        <w:numPr>
          <w:ilvl w:val="0"/>
          <w:numId w:val="6"/>
        </w:numPr>
        <w:rPr>
          <w:rFonts w:ascii="Times New Roman" w:cs="Times New Roman" w:eastAsia="Times New Roman" w:hAnsi="Times New Roman"/>
          <w:sz w:val="30"/>
          <w:szCs w:val="30"/>
          <w:b w:val="1"/>
          <w:bCs w:val="1"/>
          <w:i w:val="1"/>
          <w:iCs w:val="1"/>
          <w:color w:val="auto"/>
          <w:vertAlign w:val="superscript"/>
        </w:rPr>
      </w:pPr>
      <w:r>
        <w:rPr>
          <w:rFonts w:ascii="Times New Roman" w:cs="Times New Roman" w:eastAsia="Times New Roman" w:hAnsi="Times New Roman"/>
          <w:sz w:val="18"/>
          <w:szCs w:val="18"/>
          <w:b w:val="1"/>
          <w:bCs w:val="1"/>
          <w:i w:val="1"/>
          <w:iCs w:val="1"/>
          <w:color w:val="auto"/>
        </w:rPr>
        <w:t>EBITDA, adjusted net income, adjusted EBITDA, and adjusted earnings per diluted share are non-GAAP financial measures. For definitions of these non-GAAP measures and reconciliations of these non-GAAP measures to the most directly comparable GAAP measures, please refer to the Reconciliation of GAAP-Basis Operating Results to Non-GAAP Operating Results section of this release.</w:t>
      </w:r>
    </w:p>
    <w:p>
      <w:pPr>
        <w:spacing w:after="0" w:line="200" w:lineRule="exact"/>
        <w:rPr>
          <w:sz w:val="20"/>
          <w:szCs w:val="20"/>
          <w:color w:val="auto"/>
        </w:rPr>
      </w:pPr>
    </w:p>
    <w:p>
      <w:pPr>
        <w:jc w:val="both"/>
        <w:ind w:firstLine="8"/>
        <w:spacing w:after="0" w:line="213" w:lineRule="auto"/>
        <w:tabs>
          <w:tab w:leader="none" w:pos="112" w:val="left"/>
        </w:tabs>
        <w:numPr>
          <w:ilvl w:val="0"/>
          <w:numId w:val="7"/>
        </w:numPr>
        <w:rPr>
          <w:rFonts w:ascii="Times New Roman" w:cs="Times New Roman" w:eastAsia="Times New Roman" w:hAnsi="Times New Roman"/>
          <w:sz w:val="30"/>
          <w:szCs w:val="30"/>
          <w:b w:val="1"/>
          <w:bCs w:val="1"/>
          <w:i w:val="1"/>
          <w:iCs w:val="1"/>
          <w:color w:val="auto"/>
          <w:vertAlign w:val="superscript"/>
        </w:rPr>
      </w:pPr>
      <w:r>
        <w:rPr>
          <w:rFonts w:ascii="Times New Roman" w:cs="Times New Roman" w:eastAsia="Times New Roman" w:hAnsi="Times New Roman"/>
          <w:sz w:val="18"/>
          <w:szCs w:val="18"/>
          <w:b w:val="1"/>
          <w:bCs w:val="1"/>
          <w:i w:val="1"/>
          <w:iCs w:val="1"/>
          <w:color w:val="auto"/>
        </w:rPr>
        <w:t>The Company has determined to provide guidance focused on adjusted EBITDA</w:t>
      </w:r>
      <w:r>
        <w:rPr>
          <w:rFonts w:ascii="Times New Roman" w:cs="Times New Roman" w:eastAsia="Times New Roman" w:hAnsi="Times New Roman"/>
          <w:sz w:val="29"/>
          <w:szCs w:val="29"/>
          <w:b w:val="1"/>
          <w:bCs w:val="1"/>
          <w:i w:val="1"/>
          <w:iCs w:val="1"/>
          <w:color w:val="auto"/>
          <w:vertAlign w:val="superscript"/>
        </w:rPr>
        <w:t>1</w:t>
      </w:r>
      <w:r>
        <w:rPr>
          <w:rFonts w:ascii="Times New Roman" w:cs="Times New Roman" w:eastAsia="Times New Roman" w:hAnsi="Times New Roman"/>
          <w:sz w:val="18"/>
          <w:szCs w:val="18"/>
          <w:b w:val="1"/>
          <w:bCs w:val="1"/>
          <w:i w:val="1"/>
          <w:iCs w:val="1"/>
          <w:color w:val="auto"/>
        </w:rPr>
        <w:t xml:space="preserve"> because the Company believes it will be more useful to investors to evaluate the Company’s performance prior to the impact of depreciation, taxes, impairment charges, and other items that management believes are not</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b w:val="1"/>
          <w:bCs w:val="1"/>
          <w:i w:val="1"/>
          <w:iCs w:val="1"/>
          <w:color w:val="auto"/>
        </w:rPr>
        <w:t>reflective of the Company’s current operations. The Company is not able to reconcile the forward-looking estimate of adjusted EBITDA</w:t>
      </w:r>
      <w:r>
        <w:rPr>
          <w:rFonts w:ascii="Times New Roman" w:cs="Times New Roman" w:eastAsia="Times New Roman" w:hAnsi="Times New Roman"/>
          <w:sz w:val="29"/>
          <w:szCs w:val="29"/>
          <w:b w:val="1"/>
          <w:bCs w:val="1"/>
          <w:i w:val="1"/>
          <w:iCs w:val="1"/>
          <w:color w:val="auto"/>
          <w:vertAlign w:val="superscript"/>
        </w:rPr>
        <w:t>1</w:t>
      </w:r>
      <w:r>
        <w:rPr>
          <w:rFonts w:ascii="Times New Roman" w:cs="Times New Roman" w:eastAsia="Times New Roman" w:hAnsi="Times New Roman"/>
          <w:sz w:val="18"/>
          <w:szCs w:val="18"/>
          <w:b w:val="1"/>
          <w:bCs w:val="1"/>
          <w:i w:val="1"/>
          <w:iCs w:val="1"/>
          <w:color w:val="auto"/>
        </w:rPr>
        <w:t xml:space="preserve"> set forth above to a forward-looking estimate of net income, the most directly comparable estimated measure calculated in accordance with GAAP, without unreasonable efforts because the Company is unable to predict, forecast or determine the probable significance of certain items impacting these estimates, including interest expense, taxes, impairment charges and share-based compensation, with a reasonable degree of accuracy. Accordingly, the most directly comparable forward-looking GAAP estimate is not provided.</w:t>
      </w:r>
    </w:p>
    <w:p>
      <w:pPr>
        <w:spacing w:after="0" w:line="200" w:lineRule="exact"/>
        <w:rPr>
          <w:sz w:val="20"/>
          <w:szCs w:val="20"/>
          <w:color w:val="auto"/>
        </w:rPr>
      </w:pPr>
    </w:p>
    <w:p>
      <w:pPr>
        <w:ind w:firstLine="8"/>
        <w:spacing w:after="0" w:line="213" w:lineRule="auto"/>
        <w:tabs>
          <w:tab w:leader="none" w:pos="137" w:val="left"/>
        </w:tabs>
        <w:numPr>
          <w:ilvl w:val="0"/>
          <w:numId w:val="8"/>
        </w:numPr>
        <w:rPr>
          <w:rFonts w:ascii="Times New Roman" w:cs="Times New Roman" w:eastAsia="Times New Roman" w:hAnsi="Times New Roman"/>
          <w:sz w:val="30"/>
          <w:szCs w:val="30"/>
          <w:b w:val="1"/>
          <w:bCs w:val="1"/>
          <w:i w:val="1"/>
          <w:iCs w:val="1"/>
          <w:color w:val="auto"/>
          <w:vertAlign w:val="superscript"/>
        </w:rPr>
      </w:pPr>
      <w:r>
        <w:rPr>
          <w:rFonts w:ascii="Times New Roman" w:cs="Times New Roman" w:eastAsia="Times New Roman" w:hAnsi="Times New Roman"/>
          <w:sz w:val="18"/>
          <w:szCs w:val="18"/>
          <w:b w:val="1"/>
          <w:bCs w:val="1"/>
          <w:i w:val="1"/>
          <w:iCs w:val="1"/>
          <w:color w:val="auto"/>
        </w:rPr>
        <w:t>Consolidated senior leverage is defined as total debt (other than subordinated debt and unsecured debt) divided by adjusted EBITDA</w:t>
      </w:r>
      <w:r>
        <w:rPr>
          <w:rFonts w:ascii="Times New Roman" w:cs="Times New Roman" w:eastAsia="Times New Roman" w:hAnsi="Times New Roman"/>
          <w:sz w:val="29"/>
          <w:szCs w:val="29"/>
          <w:b w:val="1"/>
          <w:bCs w:val="1"/>
          <w:i w:val="1"/>
          <w:iCs w:val="1"/>
          <w:color w:val="auto"/>
          <w:vertAlign w:val="superscript"/>
        </w:rPr>
        <w:t>1</w:t>
      </w:r>
      <w:r>
        <w:rPr>
          <w:rFonts w:ascii="Times New Roman" w:cs="Times New Roman" w:eastAsia="Times New Roman" w:hAnsi="Times New Roman"/>
          <w:sz w:val="18"/>
          <w:szCs w:val="18"/>
          <w:b w:val="1"/>
          <w:bCs w:val="1"/>
          <w:i w:val="1"/>
          <w:iCs w:val="1"/>
          <w:color w:val="auto"/>
        </w:rPr>
        <w:t xml:space="preserve"> (as defined under our revolving credit facility).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2026 Third Quarter 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previously announced, the live broadcast of Cracker Barrel’s quarterly conference call will be available to the public online at investor.crackerbarrel.com today beginning at 5:00 p.m. (ET). The online replay will be available tomorrow and through June 23, 2026.</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Cracker Barrel Old Country Store</w:t>
      </w:r>
      <w:r>
        <w:rPr>
          <w:rFonts w:ascii="Times New Roman" w:cs="Times New Roman" w:eastAsia="Times New Roman" w:hAnsi="Times New Roman"/>
          <w:sz w:val="29"/>
          <w:szCs w:val="29"/>
          <w:b w:val="1"/>
          <w:bCs w:val="1"/>
          <w:color w:val="auto"/>
          <w:vertAlign w:val="superscript"/>
        </w:rPr>
        <w: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Cracker Barrel Old Country Store, Inc. – rooted in a rich legacy of warmth, generosity, and tradition – is on a mission to bring the goodness of country hospitality to life. Since 1969, when the first store opened in Lebanon, Tenn., Cracker Barrel has been serving up abundant portions of craveable homestyle</w:t>
      </w:r>
    </w:p>
    <w:p>
      <w:pPr>
        <w:jc w:val="both"/>
        <w:spacing w:after="0" w:line="221" w:lineRule="auto"/>
        <w:rPr>
          <w:sz w:val="20"/>
          <w:szCs w:val="20"/>
          <w:color w:val="auto"/>
        </w:rPr>
      </w:pPr>
      <w:r>
        <w:rPr>
          <w:rFonts w:ascii="Times New Roman" w:cs="Times New Roman" w:eastAsia="Times New Roman" w:hAnsi="Times New Roman"/>
          <w:sz w:val="18"/>
          <w:szCs w:val="18"/>
          <w:color w:val="auto"/>
        </w:rPr>
        <w:t>food and offering one-of-a-kind retail finds. With approximately 660 company-owned Cracker Barrel Old Country Store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locations in 43 states, and ownership of the fast-casual Maple Street Biscuit Company, the brand continues to honor its heritage while welcoming everyone with more than a meal. For more information, visit </w:t>
      </w:r>
      <w:r>
        <w:rPr>
          <w:rFonts w:ascii="Times New Roman" w:cs="Times New Roman" w:eastAsia="Times New Roman" w:hAnsi="Times New Roman"/>
          <w:sz w:val="18"/>
          <w:szCs w:val="18"/>
          <w:u w:val="single" w:color="auto"/>
          <w:color w:val="auto"/>
        </w:rPr>
        <w:t>CrackerBarrel.com</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Page 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CBRL-F</w:t>
      </w:r>
    </w:p>
    <w:p>
      <w:pPr>
        <w:spacing w:after="0" w:line="2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Except for specific historical information, certain of the matters discussed in this press release may express or imply projections of items such as revenues or expenditures, statements of plans and objectives or future operations or statements of future economic performance. These and similar statements regarding events or results that the Company expects will or may occur in the future are forward-looking statements concerning matters that involve risks, uncertainties and other factors which may cause the actual results and performance of the Company to differ materially from those expressed or implied by such forward-looking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"regular," "should," "projects," "forecasts," or "continue" (or the negative or other derivatives of each of these terms) or similar terminology. The Company believes that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factors and risks that may result in actual results differing from this forward-looking information include, but are not limited to risks and uncertainties associated with inflationary conditions with respect to the price of commodities, ingredients, transportation, distribution and labor; disruptions to the Company’s restaurant or retail supply chain; effects of changes in international, national, regional and local economic and market conditions (such as the imposition of trade barriers or other changes in trade policy) on our business; the Company’s ability to manage retail inventory and merchandise mix; the Company’s ability to sustain or the effects of plans intended to improve operational or marketing execution and performance or liquidity; the impact of adverse or extreme weather events on sales and customer travel; the effects of increased competition at the Company’s locations on sales and on labor recruiting, cost, and retention; consumer behavior based on negative publicity or changes in consumer health or dietary trends or safety aspects of the Company’s food or products or those of the restaurant industry in general, including concerns about outbreaks of infectious disease; the effects of the Company’s indebtedness and associated restrictions on the Company’s financial and operating flexibility and ability to execute or pursue its operating plans and objectives; changes in interest rates, increases in borrowed capital or capital market conditions affecting the Company’s financing costs and ability to refinance its indebtedness, in whole or in part; the Company’s reliance on a single distribution facility and certain significant vendors, particularly for foreign-sourced retail products; information technology disruptions and data privacy and information security breaches, whether as a result of infrastructure failures, employee or vendor errors or actions of third parties; the Company’s compliance with privacy and data protection laws; changes in or implementation of additional governmental or regulatory rules, regulations and interpretations affecting tax, health and safety, animal welfare, pensions, insurance or other undeterminable areas; the actual results of pending, future or threatened litigation or governmental investigations; or the Company’s ability to manage the impact of negative social media attention and the costs and effects of negative publicity; the impact of activist shareholders; the Company’s ability to achieve aspirations, goals and projections related to its sustainability initiatives; the Company’s ability to enter successfully into new geographic markets that may be less familiar to it; changes in land, building materials and construction costs; the availability and cost of suitable sites for restaurant development and the Company’s ability to identify those sites; the Company’s ability to retain key personnel; the ability of and cost to the Company to recruit, train, and retain qualified hourly and management employees; uncertain performance of acquired businesses, strategic investments and other initiatives that the Company may pursue from time to time; the effects of business trends on the outlook for individual restaurant locations and the effect on the carrying value of those locations; general or regional economic weakness, business and societal conditions; discretionary income or personal expenditure activity of the Company’s customers; implementation of new or changes in interpretation of existing accounting principles generally accepted in the United States of America ("GAAP"); and other factors described from time to time in the Company’s filings with the Securities and Exchange Commission, press releases, and other communications. Any forward-looking statement made by the Company herein, or elsewhere, speaks only as of the date on which made. The Company expressly disclaims any intent, obligation or undertaking to update or revise any forward-looking statements made herein to reflect any change in the Company’s expectations with regard thereto or any change in events, conditions or circumstances on which any such statements are based.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Page 4</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626"/>
        </w:trPr>
        <w:tc>
          <w:tcPr>
            <w:tcW w:w="10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80" w:type="dxa"/>
            <w:vAlign w:val="bottom"/>
            <w:gridSpan w:val="10"/>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CRACKER BARREL OLD COUNTRY STORE, INC.</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gridSpan w:val="10"/>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CONDENSED CONSOLIDATED INCOME STATEMENT</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4"/>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8"/>
        </w:trPr>
        <w:tc>
          <w:tcPr>
            <w:tcW w:w="10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940" w:type="dxa"/>
            <w:vAlign w:val="bottom"/>
            <w:gridSpan w:val="1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 percentages and ratios)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45"/>
        </w:trPr>
        <w:tc>
          <w:tcPr>
            <w:tcW w:w="10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Third Quarter Ended</w:t>
            </w:r>
          </w:p>
        </w:tc>
        <w:tc>
          <w:tcPr>
            <w:tcW w:w="100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87"/>
        </w:trPr>
        <w:tc>
          <w:tcPr>
            <w:tcW w:w="10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220" w:type="dxa"/>
            <w:vAlign w:val="bottom"/>
          </w:tcPr>
          <w:p>
            <w:pPr>
              <w:spacing w:after="0"/>
              <w:rPr>
                <w:sz w:val="16"/>
                <w:szCs w:val="16"/>
                <w:color w:val="auto"/>
              </w:rPr>
            </w:pPr>
          </w:p>
        </w:tc>
      </w:tr>
      <w:tr>
        <w:trPr>
          <w:trHeight w:val="238"/>
        </w:trPr>
        <w:tc>
          <w:tcPr>
            <w:tcW w:w="108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5/1/26</w:t>
            </w:r>
          </w:p>
        </w:tc>
        <w:tc>
          <w:tcPr>
            <w:tcW w:w="3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5/2/25</w:t>
            </w:r>
          </w:p>
        </w:tc>
        <w:tc>
          <w:tcPr>
            <w:tcW w:w="3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5/1/26</w:t>
            </w:r>
          </w:p>
        </w:tc>
        <w:tc>
          <w:tcPr>
            <w:tcW w:w="3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5/2/25</w:t>
            </w:r>
          </w:p>
        </w:tc>
        <w:tc>
          <w:tcPr>
            <w:tcW w:w="3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r>
      <w:tr>
        <w:trPr>
          <w:trHeight w:val="210"/>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797,367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821,147</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2,469,372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2,615,675</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198"/>
        </w:trPr>
        <w:tc>
          <w:tcPr>
            <w:tcW w:w="27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Cost of goods sold (exclusive of</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&amp; rent)</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240,973</w:t>
            </w:r>
          </w:p>
        </w:tc>
        <w:tc>
          <w:tcPr>
            <w:tcW w:w="14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247,280</w:t>
            </w: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782,038</w:t>
            </w:r>
          </w:p>
        </w:tc>
        <w:tc>
          <w:tcPr>
            <w:tcW w:w="14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816,013</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other related expenses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302,083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304,781</w:t>
            </w:r>
          </w:p>
        </w:tc>
        <w:tc>
          <w:tcPr>
            <w:tcW w:w="14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919,110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938,342</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198,198</w:t>
            </w:r>
          </w:p>
        </w:tc>
        <w:tc>
          <w:tcPr>
            <w:tcW w:w="14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207,486</w:t>
            </w: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644,546</w:t>
            </w:r>
          </w:p>
        </w:tc>
        <w:tc>
          <w:tcPr>
            <w:tcW w:w="14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639,059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49,393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46,025</w:t>
            </w:r>
          </w:p>
        </w:tc>
        <w:tc>
          <w:tcPr>
            <w:tcW w:w="14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145,401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167,341</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and store closing costs</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718</w:t>
            </w: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9"/>
                <w:szCs w:val="19"/>
                <w:color w:val="auto"/>
              </w:rPr>
            </w:pP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3,891</w:t>
            </w:r>
          </w:p>
        </w:tc>
        <w:tc>
          <w:tcPr>
            <w:tcW w:w="14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3,869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2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14,857</w:t>
            </w:r>
          </w:p>
        </w:tc>
        <w:tc>
          <w:tcPr>
            <w:tcW w:w="3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(25,614</w:t>
            </w:r>
          </w:p>
        </w:tc>
        <w:tc>
          <w:tcPr>
            <w:tcW w:w="380" w:type="dxa"/>
            <w:vAlign w:val="bottom"/>
            <w:tcBorders>
              <w:top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51,051</w:t>
            </w:r>
          </w:p>
        </w:tc>
        <w:tc>
          <w:tcPr>
            <w:tcW w:w="3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r>
      <w:tr>
        <w:trPr>
          <w:trHeight w:val="21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Litigation settlement income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9"/>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3,668</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4,984</w:t>
            </w:r>
          </w:p>
        </w:tc>
        <w:tc>
          <w:tcPr>
            <w:tcW w:w="14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11,425</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15,784</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r>
      <w:tr>
        <w:trPr>
          <w:trHeight w:val="21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50,474</w:t>
            </w: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9,873</w:t>
            </w:r>
          </w:p>
        </w:tc>
        <w:tc>
          <w:tcPr>
            <w:tcW w:w="38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35,267</w:t>
            </w:r>
          </w:p>
        </w:tc>
        <w:tc>
          <w:tcPr>
            <w:tcW w:w="3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r>
      <w:tr>
        <w:trPr>
          <w:trHeight w:val="198"/>
        </w:trPr>
        <w:tc>
          <w:tcPr>
            <w:tcW w:w="326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Provision for income taxes (income tax</w:t>
            </w: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48"/>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w:t>
            </w:r>
          </w:p>
        </w:tc>
        <w:tc>
          <w:tcPr>
            <w:tcW w:w="4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7,663</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(2,701)</w:t>
            </w:r>
          </w:p>
        </w:tc>
        <w:tc>
          <w:tcPr>
            <w:tcW w:w="14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(9,088)</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(4,358)</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r>
      <w:tr>
        <w:trPr>
          <w:trHeight w:val="263"/>
        </w:trPr>
        <w:tc>
          <w:tcPr>
            <w:tcW w:w="2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42,811</w:t>
            </w:r>
          </w:p>
        </w:tc>
        <w:tc>
          <w:tcPr>
            <w:tcW w:w="3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12,574</w:t>
            </w:r>
          </w:p>
        </w:tc>
        <w:tc>
          <w:tcPr>
            <w:tcW w:w="3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19,471</w:t>
            </w:r>
          </w:p>
        </w:tc>
        <w:tc>
          <w:tcPr>
            <w:tcW w:w="3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39,625</w:t>
            </w:r>
          </w:p>
        </w:tc>
        <w:tc>
          <w:tcPr>
            <w:tcW w:w="38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r>
      <w:tr>
        <w:trPr>
          <w:trHeight w:val="197"/>
        </w:trPr>
        <w:tc>
          <w:tcPr>
            <w:tcW w:w="10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8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per share – Basic:</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0.56</w:t>
            </w: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0.87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1.78</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r>
      <w:tr>
        <w:trPr>
          <w:trHeight w:val="197"/>
        </w:trPr>
        <w:tc>
          <w:tcPr>
            <w:tcW w:w="2700" w:type="dxa"/>
            <w:vAlign w:val="bottom"/>
            <w:tcBorders>
              <w:top w:val="single" w:sz="8" w:color="CCEEFF"/>
              <w:bottom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Earnings per share – Diluted:</w:t>
            </w:r>
          </w:p>
        </w:tc>
        <w:tc>
          <w:tcPr>
            <w:tcW w:w="4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1.90</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0.56</w:t>
            </w: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1420" w:type="dxa"/>
            <w:vAlign w:val="bottom"/>
            <w:tcBorders>
              <w:top w:val="single" w:sz="8" w:color="CCEEFF"/>
              <w:bottom w:val="single" w:sz="8" w:color="CCEEFF"/>
            </w:tcBorders>
            <w:gridSpan w:val="2"/>
            <w:shd w:val="clear" w:color="auto" w:fill="CCEEFF"/>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239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0.86</w:t>
            </w: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1.77</w:t>
            </w: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CCEEFF"/>
              <w:bottom w:val="single" w:sz="8" w:color="CCEEFF"/>
            </w:tcBorders>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20"/>
        </w:trPr>
        <w:tc>
          <w:tcPr>
            <w:tcW w:w="10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6"/>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w:t>
            </w:r>
          </w:p>
        </w:tc>
        <w:tc>
          <w:tcPr>
            <w:tcW w:w="4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r>
      <w:tr>
        <w:trPr>
          <w:trHeight w:val="216"/>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22,351,318</w:t>
            </w:r>
          </w:p>
        </w:tc>
        <w:tc>
          <w:tcPr>
            <w:tcW w:w="14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22,264,782</w:t>
            </w: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8"/>
                <w:szCs w:val="18"/>
                <w:color w:val="auto"/>
              </w:rPr>
            </w:pP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22,328,450</w:t>
            </w:r>
          </w:p>
        </w:tc>
        <w:tc>
          <w:tcPr>
            <w:tcW w:w="14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22,246,936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2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22,500,168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22,459,281</w:t>
            </w:r>
          </w:p>
        </w:tc>
        <w:tc>
          <w:tcPr>
            <w:tcW w:w="14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22,513,419</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22,435,317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0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96"/>
        </w:trPr>
        <w:tc>
          <w:tcPr>
            <w:tcW w:w="10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Ratio Analysis</w:t>
            </w:r>
          </w:p>
        </w:tc>
        <w:tc>
          <w:tcPr>
            <w:tcW w:w="16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Restaurant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82.6%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82.7%</w:t>
            </w: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80.8%</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Retail</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17.3</w:t>
            </w: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19.2</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0"/>
        </w:trPr>
        <w:tc>
          <w:tcPr>
            <w:tcW w:w="2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198"/>
        </w:trPr>
        <w:tc>
          <w:tcPr>
            <w:tcW w:w="27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Cost of goods sold (exclusive of</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&amp; rent)</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30.2</w:t>
            </w:r>
          </w:p>
        </w:tc>
        <w:tc>
          <w:tcPr>
            <w:tcW w:w="14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30.1</w:t>
            </w: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31.7</w:t>
            </w:r>
          </w:p>
        </w:tc>
        <w:tc>
          <w:tcPr>
            <w:tcW w:w="14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31.2</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other related expenses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37.1</w:t>
            </w: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35.9</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25.3</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24.4</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5.6</w:t>
            </w: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6.4</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and store closing costs</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0.1</w:t>
            </w: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0.1</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9"/>
        </w:trPr>
        <w:tc>
          <w:tcPr>
            <w:tcW w:w="2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Borders>
              <w:top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Litigation settlement income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0.6</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0.7</w:t>
            </w: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0"/>
        </w:trPr>
        <w:tc>
          <w:tcPr>
            <w:tcW w:w="10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Provision for income taxes (income tax benefit)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6.3</w:t>
            </w:r>
          </w:p>
        </w:tc>
        <w:tc>
          <w:tcPr>
            <w:tcW w:w="2800" w:type="dxa"/>
            <w:vAlign w:val="bottom"/>
            <w:gridSpan w:val="2"/>
          </w:tcPr>
          <w:p>
            <w:pPr>
              <w:jc w:val="right"/>
              <w:ind w:right="1710"/>
              <w:spacing w:after="0"/>
              <w:rPr>
                <w:sz w:val="20"/>
                <w:szCs w:val="20"/>
                <w:color w:val="auto"/>
              </w:rPr>
            </w:pPr>
            <w:r>
              <w:rPr>
                <w:rFonts w:ascii="Times New Roman" w:cs="Times New Roman" w:eastAsia="Times New Roman" w:hAnsi="Times New Roman"/>
                <w:sz w:val="18"/>
                <w:szCs w:val="18"/>
                <w:color w:val="auto"/>
              </w:rPr>
              <w:t>1.2</w:t>
            </w:r>
          </w:p>
        </w:tc>
        <w:tc>
          <w:tcPr>
            <w:tcW w:w="13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0.4</w:t>
            </w:r>
          </w:p>
        </w:tc>
        <w:tc>
          <w:tcPr>
            <w:tcW w:w="10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7"/>
              </w:rPr>
              <w:t>1.3</w:t>
            </w:r>
          </w:p>
        </w:tc>
        <w:tc>
          <w:tcPr>
            <w:tcW w:w="160" w:type="dxa"/>
            <w:vAlign w:val="bottom"/>
          </w:tcPr>
          <w:p>
            <w:pPr>
              <w:spacing w:after="0"/>
              <w:rPr>
                <w:sz w:val="20"/>
                <w:szCs w:val="20"/>
                <w:color w:val="auto"/>
              </w:rPr>
            </w:pPr>
          </w:p>
        </w:tc>
      </w:tr>
      <w:tr>
        <w:trPr>
          <w:trHeight w:val="427"/>
        </w:trPr>
        <w:tc>
          <w:tcPr>
            <w:tcW w:w="13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0.9</w:t>
            </w:r>
          </w:p>
        </w:tc>
        <w:tc>
          <w:tcPr>
            <w:tcW w:w="2800" w:type="dxa"/>
            <w:vAlign w:val="bottom"/>
            <w:gridSpan w:val="2"/>
          </w:tcPr>
          <w:p>
            <w:pPr>
              <w:jc w:val="right"/>
              <w:ind w:right="1650"/>
              <w:spacing w:after="0"/>
              <w:rPr>
                <w:sz w:val="20"/>
                <w:szCs w:val="20"/>
                <w:color w:val="auto"/>
              </w:rPr>
            </w:pPr>
            <w:r>
              <w:rPr>
                <w:rFonts w:ascii="Times New Roman" w:cs="Times New Roman" w:eastAsia="Times New Roman" w:hAnsi="Times New Roman"/>
                <w:sz w:val="18"/>
                <w:szCs w:val="18"/>
                <w:color w:val="auto"/>
              </w:rPr>
              <w:t>(0.3)</w:t>
            </w:r>
          </w:p>
        </w:tc>
        <w:tc>
          <w:tcPr>
            <w:tcW w:w="13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(0.4)</w:t>
            </w:r>
          </w:p>
        </w:tc>
        <w:tc>
          <w:tcPr>
            <w:tcW w:w="116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8"/>
              </w:rPr>
              <w:t>(0.2)</w:t>
            </w:r>
          </w:p>
        </w:tc>
      </w:tr>
      <w:tr>
        <w:trPr>
          <w:trHeight w:val="223"/>
        </w:trPr>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000" w:type="dxa"/>
            <w:vAlign w:val="bottom"/>
            <w:tcBorders>
              <w:top w:val="single" w:sz="8" w:color="auto"/>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w w:val="97"/>
              </w:rPr>
              <w:t>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-462280</wp:posOffset>
            </wp:positionV>
            <wp:extent cx="7132320" cy="282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280"/>
            <w:col w:w="8120"/>
          </w:cols>
          <w:pgMar w:left="320" w:top="229" w:right="339" w:bottom="1440" w:gutter="0" w:footer="0" w:header="0"/>
          <w:type w:val="continuous"/>
        </w:sectPr>
      </w:pP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Page 5</w:t>
            </w:r>
          </w:p>
        </w:tc>
        <w:tc>
          <w:tcPr>
            <w:tcW w:w="3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653"/>
        </w:trPr>
        <w:tc>
          <w:tcPr>
            <w:tcW w:w="3360" w:type="dxa"/>
            <w:vAlign w:val="bottom"/>
          </w:tcPr>
          <w:p>
            <w:pPr>
              <w:spacing w:after="0"/>
              <w:rPr>
                <w:sz w:val="24"/>
                <w:szCs w:val="24"/>
                <w:color w:val="auto"/>
              </w:rPr>
            </w:pPr>
          </w:p>
        </w:tc>
        <w:tc>
          <w:tcPr>
            <w:tcW w:w="46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CRACKER BARREL OLD COUNTRY STORE, INC.</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16"/>
        </w:trPr>
        <w:tc>
          <w:tcPr>
            <w:tcW w:w="3360" w:type="dxa"/>
            <w:vAlign w:val="bottom"/>
          </w:tcPr>
          <w:p>
            <w:pPr>
              <w:spacing w:after="0"/>
              <w:rPr>
                <w:sz w:val="18"/>
                <w:szCs w:val="18"/>
                <w:color w:val="auto"/>
              </w:rPr>
            </w:pPr>
          </w:p>
        </w:tc>
        <w:tc>
          <w:tcPr>
            <w:tcW w:w="46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38"/>
        </w:trPr>
        <w:tc>
          <w:tcPr>
            <w:tcW w:w="3360" w:type="dxa"/>
            <w:vAlign w:val="bottom"/>
          </w:tcPr>
          <w:p>
            <w:pPr>
              <w:spacing w:after="0"/>
              <w:rPr>
                <w:sz w:val="20"/>
                <w:szCs w:val="20"/>
                <w:color w:val="auto"/>
              </w:rPr>
            </w:pPr>
          </w:p>
        </w:tc>
        <w:tc>
          <w:tcPr>
            <w:tcW w:w="464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(Unaudited and in thousands, except share amounts)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73"/>
        </w:trPr>
        <w:tc>
          <w:tcPr>
            <w:tcW w:w="3360" w:type="dxa"/>
            <w:vAlign w:val="bottom"/>
            <w:tcBorders>
              <w:bottom w:val="single" w:sz="8" w:color="CCEEFF"/>
            </w:tcBorders>
          </w:tcPr>
          <w:p>
            <w:pPr>
              <w:spacing w:after="0"/>
              <w:rPr>
                <w:sz w:val="24"/>
                <w:szCs w:val="24"/>
                <w:color w:val="auto"/>
              </w:rPr>
            </w:pPr>
          </w:p>
        </w:tc>
        <w:tc>
          <w:tcPr>
            <w:tcW w:w="34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5/1/26</w:t>
            </w:r>
          </w:p>
        </w:tc>
        <w:tc>
          <w:tcPr>
            <w:tcW w:w="2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5/2/25</w:t>
            </w:r>
          </w:p>
        </w:tc>
        <w:tc>
          <w:tcPr>
            <w:tcW w:w="80" w:type="dxa"/>
            <w:vAlign w:val="bottom"/>
            <w:tcBorders>
              <w:bottom w:val="single" w:sz="8" w:color="CCEEFF"/>
            </w:tcBorders>
          </w:tcPr>
          <w:p>
            <w:pPr>
              <w:spacing w:after="0"/>
              <w:rPr>
                <w:sz w:val="24"/>
                <w:szCs w:val="24"/>
                <w:color w:val="auto"/>
              </w:rPr>
            </w:pPr>
          </w:p>
        </w:tc>
        <w:tc>
          <w:tcPr>
            <w:tcW w:w="2260" w:type="dxa"/>
            <w:vAlign w:val="bottom"/>
          </w:tcPr>
          <w:p>
            <w:pPr>
              <w:spacing w:after="0"/>
              <w:rPr>
                <w:sz w:val="24"/>
                <w:szCs w:val="24"/>
                <w:color w:val="auto"/>
              </w:rPr>
            </w:pPr>
          </w:p>
        </w:tc>
      </w:tr>
      <w:tr>
        <w:trPr>
          <w:trHeight w:val="209"/>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26,050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9,814</w:t>
            </w:r>
          </w:p>
        </w:tc>
        <w:tc>
          <w:tcPr>
            <w:tcW w:w="2260" w:type="dxa"/>
            <w:vAlign w:val="bottom"/>
          </w:tcPr>
          <w:p>
            <w:pPr>
              <w:spacing w:after="0"/>
              <w:rPr>
                <w:sz w:val="18"/>
                <w:szCs w:val="18"/>
                <w:color w:val="auto"/>
              </w:rPr>
            </w:pPr>
          </w:p>
        </w:tc>
      </w:tr>
      <w:tr>
        <w:trPr>
          <w:trHeight w:val="21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34,689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37,439</w:t>
            </w:r>
          </w:p>
        </w:tc>
        <w:tc>
          <w:tcPr>
            <w:tcW w:w="2260" w:type="dxa"/>
            <w:vAlign w:val="bottom"/>
          </w:tcPr>
          <w:p>
            <w:pPr>
              <w:spacing w:after="0"/>
              <w:rPr>
                <w:sz w:val="18"/>
                <w:szCs w:val="18"/>
                <w:color w:val="auto"/>
              </w:rPr>
            </w:pP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179,935</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168,695</w:t>
            </w:r>
          </w:p>
        </w:tc>
        <w:tc>
          <w:tcPr>
            <w:tcW w:w="2260" w:type="dxa"/>
            <w:vAlign w:val="bottom"/>
          </w:tcPr>
          <w:p>
            <w:pPr>
              <w:spacing w:after="0"/>
              <w:rPr>
                <w:sz w:val="18"/>
                <w:szCs w:val="18"/>
                <w:color w:val="auto"/>
              </w:rPr>
            </w:pPr>
          </w:p>
        </w:tc>
      </w:tr>
      <w:tr>
        <w:trPr>
          <w:trHeight w:val="21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49,878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60,877</w:t>
            </w:r>
          </w:p>
        </w:tc>
        <w:tc>
          <w:tcPr>
            <w:tcW w:w="2260" w:type="dxa"/>
            <w:vAlign w:val="bottom"/>
          </w:tcPr>
          <w:p>
            <w:pPr>
              <w:spacing w:after="0"/>
              <w:rPr>
                <w:sz w:val="18"/>
                <w:szCs w:val="18"/>
                <w:color w:val="auto"/>
              </w:rPr>
            </w:pP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955,860</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971,021</w:t>
            </w:r>
          </w:p>
        </w:tc>
        <w:tc>
          <w:tcPr>
            <w:tcW w:w="2260" w:type="dxa"/>
            <w:vAlign w:val="bottom"/>
          </w:tcPr>
          <w:p>
            <w:pPr>
              <w:spacing w:after="0"/>
              <w:rPr>
                <w:sz w:val="18"/>
                <w:szCs w:val="18"/>
                <w:color w:val="auto"/>
              </w:rPr>
            </w:pPr>
          </w:p>
        </w:tc>
      </w:tr>
      <w:tr>
        <w:trPr>
          <w:trHeight w:val="21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764,571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822,269</w:t>
            </w:r>
          </w:p>
        </w:tc>
        <w:tc>
          <w:tcPr>
            <w:tcW w:w="2260" w:type="dxa"/>
            <w:vAlign w:val="bottom"/>
          </w:tcPr>
          <w:p>
            <w:pPr>
              <w:spacing w:after="0"/>
              <w:rPr>
                <w:sz w:val="18"/>
                <w:szCs w:val="18"/>
                <w:color w:val="auto"/>
              </w:rPr>
            </w:pP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24,325</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24,369</w:t>
            </w:r>
          </w:p>
        </w:tc>
        <w:tc>
          <w:tcPr>
            <w:tcW w:w="2260" w:type="dxa"/>
            <w:vAlign w:val="bottom"/>
          </w:tcPr>
          <w:p>
            <w:pPr>
              <w:spacing w:after="0"/>
              <w:rPr>
                <w:sz w:val="18"/>
                <w:szCs w:val="18"/>
                <w:color w:val="auto"/>
              </w:rPr>
            </w:pPr>
          </w:p>
        </w:tc>
      </w:tr>
      <w:tr>
        <w:trPr>
          <w:trHeight w:val="230"/>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52,569</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44,565</w:t>
            </w:r>
          </w:p>
        </w:tc>
        <w:tc>
          <w:tcPr>
            <w:tcW w:w="2260" w:type="dxa"/>
            <w:vAlign w:val="bottom"/>
          </w:tcPr>
          <w:p>
            <w:pPr>
              <w:spacing w:after="0"/>
              <w:rPr>
                <w:sz w:val="19"/>
                <w:szCs w:val="19"/>
                <w:color w:val="auto"/>
              </w:rPr>
            </w:pPr>
          </w:p>
        </w:tc>
      </w:tr>
      <w:tr>
        <w:trPr>
          <w:trHeight w:val="263"/>
        </w:trPr>
        <w:tc>
          <w:tcPr>
            <w:tcW w:w="3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4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2,087,877</w:t>
            </w:r>
          </w:p>
        </w:tc>
        <w:tc>
          <w:tcPr>
            <w:tcW w:w="2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2,139,049</w:t>
            </w:r>
          </w:p>
        </w:tc>
        <w:tc>
          <w:tcPr>
            <w:tcW w:w="80" w:type="dxa"/>
            <w:vAlign w:val="bottom"/>
            <w:tcBorders>
              <w:bottom w:val="single" w:sz="8" w:color="CCEEFF"/>
            </w:tcBorders>
          </w:tcPr>
          <w:p>
            <w:pPr>
              <w:spacing w:after="0"/>
              <w:rPr>
                <w:sz w:val="22"/>
                <w:szCs w:val="22"/>
                <w:color w:val="auto"/>
              </w:rPr>
            </w:pPr>
          </w:p>
        </w:tc>
        <w:tc>
          <w:tcPr>
            <w:tcW w:w="2260" w:type="dxa"/>
            <w:vAlign w:val="bottom"/>
          </w:tcPr>
          <w:p>
            <w:pPr>
              <w:spacing w:after="0"/>
              <w:rPr>
                <w:sz w:val="22"/>
                <w:szCs w:val="22"/>
                <w:color w:val="auto"/>
              </w:rPr>
            </w:pPr>
          </w:p>
        </w:tc>
      </w:tr>
      <w:tr>
        <w:trPr>
          <w:trHeight w:val="197"/>
        </w:trPr>
        <w:tc>
          <w:tcPr>
            <w:tcW w:w="336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60" w:type="dxa"/>
            <w:vAlign w:val="bottom"/>
          </w:tcPr>
          <w:p>
            <w:pPr>
              <w:spacing w:after="0"/>
              <w:rPr>
                <w:sz w:val="17"/>
                <w:szCs w:val="17"/>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131,002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121,117</w:t>
            </w:r>
          </w:p>
        </w:tc>
        <w:tc>
          <w:tcPr>
            <w:tcW w:w="2260" w:type="dxa"/>
            <w:vAlign w:val="bottom"/>
          </w:tcPr>
          <w:p>
            <w:pPr>
              <w:spacing w:after="0"/>
              <w:rPr>
                <w:sz w:val="18"/>
                <w:szCs w:val="18"/>
                <w:color w:val="auto"/>
              </w:rPr>
            </w:pP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149,850</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2260" w:type="dxa"/>
            <w:vAlign w:val="bottom"/>
          </w:tcPr>
          <w:p>
            <w:pPr>
              <w:spacing w:after="0"/>
              <w:rPr>
                <w:sz w:val="18"/>
                <w:szCs w:val="18"/>
                <w:color w:val="auto"/>
              </w:rPr>
            </w:pPr>
          </w:p>
        </w:tc>
      </w:tr>
      <w:tr>
        <w:trPr>
          <w:trHeight w:val="21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299,203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301,916</w:t>
            </w:r>
          </w:p>
        </w:tc>
        <w:tc>
          <w:tcPr>
            <w:tcW w:w="2260" w:type="dxa"/>
            <w:vAlign w:val="bottom"/>
          </w:tcPr>
          <w:p>
            <w:pPr>
              <w:spacing w:after="0"/>
              <w:rPr>
                <w:sz w:val="18"/>
                <w:szCs w:val="18"/>
                <w:color w:val="auto"/>
              </w:rPr>
            </w:pP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336,783</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489,410</w:t>
            </w:r>
          </w:p>
        </w:tc>
        <w:tc>
          <w:tcPr>
            <w:tcW w:w="2260" w:type="dxa"/>
            <w:vAlign w:val="bottom"/>
          </w:tcPr>
          <w:p>
            <w:pPr>
              <w:spacing w:after="0"/>
              <w:rPr>
                <w:sz w:val="18"/>
                <w:szCs w:val="18"/>
                <w:color w:val="auto"/>
              </w:rPr>
            </w:pPr>
          </w:p>
        </w:tc>
      </w:tr>
      <w:tr>
        <w:trPr>
          <w:trHeight w:val="21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608,049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653,060</w:t>
            </w:r>
          </w:p>
        </w:tc>
        <w:tc>
          <w:tcPr>
            <w:tcW w:w="2260" w:type="dxa"/>
            <w:vAlign w:val="bottom"/>
          </w:tcPr>
          <w:p>
            <w:pPr>
              <w:spacing w:after="0"/>
              <w:rPr>
                <w:sz w:val="18"/>
                <w:szCs w:val="18"/>
                <w:color w:val="auto"/>
              </w:rPr>
            </w:pP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97,520</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104,235</w:t>
            </w:r>
          </w:p>
        </w:tc>
        <w:tc>
          <w:tcPr>
            <w:tcW w:w="2260" w:type="dxa"/>
            <w:vAlign w:val="bottom"/>
          </w:tcPr>
          <w:p>
            <w:pPr>
              <w:spacing w:after="0"/>
              <w:rPr>
                <w:sz w:val="18"/>
                <w:szCs w:val="18"/>
                <w:color w:val="auto"/>
              </w:rPr>
            </w:pPr>
          </w:p>
        </w:tc>
      </w:tr>
      <w:tr>
        <w:trPr>
          <w:trHeight w:val="230"/>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 equity, net</w:t>
            </w:r>
          </w:p>
        </w:tc>
        <w:tc>
          <w:tcPr>
            <w:tcW w:w="3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465,470</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469,311</w:t>
            </w:r>
          </w:p>
        </w:tc>
        <w:tc>
          <w:tcPr>
            <w:tcW w:w="2260" w:type="dxa"/>
            <w:vAlign w:val="bottom"/>
          </w:tcPr>
          <w:p>
            <w:pPr>
              <w:spacing w:after="0"/>
              <w:rPr>
                <w:sz w:val="19"/>
                <w:szCs w:val="19"/>
                <w:color w:val="auto"/>
              </w:rPr>
            </w:pPr>
          </w:p>
        </w:tc>
      </w:tr>
      <w:tr>
        <w:trPr>
          <w:trHeight w:val="263"/>
        </w:trPr>
        <w:tc>
          <w:tcPr>
            <w:tcW w:w="3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4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2,087,877</w:t>
            </w:r>
          </w:p>
        </w:tc>
        <w:tc>
          <w:tcPr>
            <w:tcW w:w="2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2,139,049</w:t>
            </w:r>
          </w:p>
        </w:tc>
        <w:tc>
          <w:tcPr>
            <w:tcW w:w="80" w:type="dxa"/>
            <w:vAlign w:val="bottom"/>
            <w:tcBorders>
              <w:bottom w:val="single" w:sz="8" w:color="CCEEFF"/>
            </w:tcBorders>
          </w:tcPr>
          <w:p>
            <w:pPr>
              <w:spacing w:after="0"/>
              <w:rPr>
                <w:sz w:val="22"/>
                <w:szCs w:val="22"/>
                <w:color w:val="auto"/>
              </w:rPr>
            </w:pPr>
          </w:p>
        </w:tc>
        <w:tc>
          <w:tcPr>
            <w:tcW w:w="2260" w:type="dxa"/>
            <w:vAlign w:val="bottom"/>
          </w:tcPr>
          <w:p>
            <w:pPr>
              <w:spacing w:after="0"/>
              <w:rPr>
                <w:sz w:val="22"/>
                <w:szCs w:val="22"/>
                <w:color w:val="auto"/>
              </w:rPr>
            </w:pPr>
          </w:p>
        </w:tc>
      </w:tr>
      <w:tr>
        <w:trPr>
          <w:trHeight w:val="197"/>
        </w:trPr>
        <w:tc>
          <w:tcPr>
            <w:tcW w:w="336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60" w:type="dxa"/>
            <w:vAlign w:val="bottom"/>
          </w:tcPr>
          <w:p>
            <w:pPr>
              <w:spacing w:after="0"/>
              <w:rPr>
                <w:sz w:val="17"/>
                <w:szCs w:val="17"/>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issued and outstanding</w:t>
            </w:r>
          </w:p>
        </w:tc>
        <w:tc>
          <w:tcPr>
            <w:tcW w:w="3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22,351,460</w:t>
            </w:r>
          </w:p>
        </w:tc>
        <w:tc>
          <w:tcPr>
            <w:tcW w:w="1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22,266,951</w:t>
            </w:r>
          </w:p>
        </w:tc>
        <w:tc>
          <w:tcPr>
            <w:tcW w:w="2260" w:type="dxa"/>
            <w:vAlign w:val="bottom"/>
          </w:tcPr>
          <w:p>
            <w:pPr>
              <w:spacing w:after="0"/>
              <w:rPr>
                <w:sz w:val="20"/>
                <w:szCs w:val="20"/>
                <w:color w:val="auto"/>
              </w:rPr>
            </w:pPr>
          </w:p>
        </w:tc>
      </w:tr>
      <w:tr>
        <w:trPr>
          <w:trHeight w:val="414"/>
        </w:trPr>
        <w:tc>
          <w:tcPr>
            <w:tcW w:w="3360" w:type="dxa"/>
            <w:vAlign w:val="bottom"/>
          </w:tcPr>
          <w:p>
            <w:pPr>
              <w:spacing w:after="0"/>
              <w:rPr>
                <w:sz w:val="24"/>
                <w:szCs w:val="24"/>
                <w:color w:val="auto"/>
              </w:rPr>
            </w:pPr>
          </w:p>
        </w:tc>
        <w:tc>
          <w:tcPr>
            <w:tcW w:w="358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w w:val="98"/>
              </w:rPr>
              <w:t>- MORE -</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675"/>
        </w:trPr>
        <w:tc>
          <w:tcPr>
            <w:tcW w:w="33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Page 6</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26"/>
        </w:trPr>
        <w:tc>
          <w:tcPr>
            <w:tcW w:w="8780" w:type="dxa"/>
            <w:vAlign w:val="bottom"/>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w w:val="99"/>
              </w:rPr>
              <w:t>CRACKER BARREL OLD COUNTRY STORE, INC.</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780" w:type="dxa"/>
            <w:vAlign w:val="bottom"/>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w w:val="99"/>
              </w:rPr>
              <w:t>CONDENSED CONSOLIDATED CASH FLOW STATEMENT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8780" w:type="dxa"/>
            <w:vAlign w:val="bottom"/>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w w:val="99"/>
              </w:rPr>
              <w:t>(Unaudited and in thousands)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3"/>
        </w:trPr>
        <w:tc>
          <w:tcPr>
            <w:tcW w:w="8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3"/>
        </w:trPr>
        <w:tc>
          <w:tcPr>
            <w:tcW w:w="87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5/1/26</w:t>
            </w:r>
          </w:p>
        </w:tc>
        <w:tc>
          <w:tcPr>
            <w:tcW w:w="34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5/2/25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19,471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39,625</w:t>
            </w:r>
          </w:p>
        </w:tc>
      </w:tr>
      <w:tr>
        <w:trPr>
          <w:trHeight w:val="216"/>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91,760</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90,379</w:t>
            </w:r>
          </w:p>
        </w:tc>
      </w:tr>
      <w:tr>
        <w:trPr>
          <w:trHeight w:val="216"/>
        </w:trPr>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20" w:type="dxa"/>
            <w:vAlign w:val="bottom"/>
          </w:tcPr>
          <w:p>
            <w:pPr>
              <w:spacing w:after="0"/>
              <w:rPr>
                <w:sz w:val="18"/>
                <w:szCs w:val="18"/>
                <w:color w:val="auto"/>
              </w:rPr>
            </w:pPr>
          </w:p>
        </w:tc>
        <w:tc>
          <w:tcPr>
            <w:tcW w:w="11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1,998</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80" w:type="dxa"/>
            <w:vAlign w:val="bottom"/>
          </w:tcPr>
          <w:p>
            <w:pPr>
              <w:spacing w:after="0"/>
              <w:rPr>
                <w:sz w:val="18"/>
                <w:szCs w:val="18"/>
                <w:color w:val="auto"/>
              </w:rPr>
            </w:pPr>
          </w:p>
        </w:tc>
      </w:tr>
      <w:tr>
        <w:trPr>
          <w:trHeight w:val="216"/>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disposition of property and equipment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5,066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80" w:type="dxa"/>
            <w:vAlign w:val="bottom"/>
            <w:shd w:val="clear" w:color="auto" w:fill="CCEEFF"/>
          </w:tcPr>
          <w:p>
            <w:pPr>
              <w:spacing w:after="0"/>
              <w:rPr>
                <w:sz w:val="18"/>
                <w:szCs w:val="18"/>
                <w:color w:val="auto"/>
              </w:rPr>
            </w:pPr>
          </w:p>
        </w:tc>
      </w:tr>
      <w:tr>
        <w:trPr>
          <w:trHeight w:val="216"/>
        </w:trPr>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w:t>
            </w:r>
          </w:p>
        </w:tc>
        <w:tc>
          <w:tcPr>
            <w:tcW w:w="220" w:type="dxa"/>
            <w:vAlign w:val="bottom"/>
          </w:tcPr>
          <w:p>
            <w:pPr>
              <w:spacing w:after="0"/>
              <w:rPr>
                <w:sz w:val="18"/>
                <w:szCs w:val="18"/>
                <w:color w:val="auto"/>
              </w:rPr>
            </w:pPr>
          </w:p>
        </w:tc>
        <w:tc>
          <w:tcPr>
            <w:tcW w:w="11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418</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80" w:type="dxa"/>
            <w:vAlign w:val="bottom"/>
          </w:tcPr>
          <w:p>
            <w:pPr>
              <w:spacing w:after="0"/>
              <w:rPr>
                <w:sz w:val="18"/>
                <w:szCs w:val="18"/>
                <w:color w:val="auto"/>
              </w:rPr>
            </w:pPr>
          </w:p>
        </w:tc>
      </w:tr>
      <w:tr>
        <w:trPr>
          <w:trHeight w:val="216"/>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3,186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w:t>
            </w:r>
          </w:p>
        </w:tc>
        <w:tc>
          <w:tcPr>
            <w:tcW w:w="80" w:type="dxa"/>
            <w:vAlign w:val="bottom"/>
            <w:shd w:val="clear" w:color="auto" w:fill="CCEEFF"/>
          </w:tcPr>
          <w:p>
            <w:pPr>
              <w:spacing w:after="0"/>
              <w:rPr>
                <w:sz w:val="18"/>
                <w:szCs w:val="18"/>
                <w:color w:val="auto"/>
              </w:rPr>
            </w:pPr>
          </w:p>
        </w:tc>
      </w:tr>
      <w:tr>
        <w:trPr>
          <w:trHeight w:val="216"/>
        </w:trPr>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220" w:type="dxa"/>
            <w:vAlign w:val="bottom"/>
          </w:tcPr>
          <w:p>
            <w:pPr>
              <w:spacing w:after="0"/>
              <w:rPr>
                <w:sz w:val="18"/>
                <w:szCs w:val="18"/>
                <w:color w:val="auto"/>
              </w:rPr>
            </w:pPr>
          </w:p>
        </w:tc>
        <w:tc>
          <w:tcPr>
            <w:tcW w:w="11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45,735</w:t>
            </w:r>
          </w:p>
        </w:tc>
        <w:tc>
          <w:tcPr>
            <w:tcW w:w="2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45,560</w:t>
            </w:r>
          </w:p>
        </w:tc>
      </w:tr>
      <w:tr>
        <w:trPr>
          <w:trHeight w:val="216"/>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asset recognized from gain on sale and leaseback transaction</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9,551</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9,551</w:t>
            </w:r>
          </w:p>
        </w:tc>
        <w:tc>
          <w:tcPr>
            <w:tcW w:w="80" w:type="dxa"/>
            <w:vAlign w:val="bottom"/>
            <w:shd w:val="clear" w:color="auto" w:fill="CCEEFF"/>
          </w:tcPr>
          <w:p>
            <w:pPr>
              <w:spacing w:after="0"/>
              <w:rPr>
                <w:sz w:val="18"/>
                <w:szCs w:val="18"/>
                <w:color w:val="auto"/>
              </w:rPr>
            </w:pPr>
          </w:p>
        </w:tc>
      </w:tr>
      <w:tr>
        <w:trPr>
          <w:trHeight w:val="216"/>
        </w:trPr>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 inventories</w:t>
            </w:r>
          </w:p>
        </w:tc>
        <w:tc>
          <w:tcPr>
            <w:tcW w:w="220" w:type="dxa"/>
            <w:vAlign w:val="bottom"/>
          </w:tcPr>
          <w:p>
            <w:pPr>
              <w:spacing w:after="0"/>
              <w:rPr>
                <w:sz w:val="18"/>
                <w:szCs w:val="18"/>
                <w:color w:val="auto"/>
              </w:rPr>
            </w:pPr>
          </w:p>
        </w:tc>
        <w:tc>
          <w:tcPr>
            <w:tcW w:w="11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650</w:t>
            </w:r>
          </w:p>
        </w:tc>
        <w:tc>
          <w:tcPr>
            <w:tcW w:w="2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12,263</w:t>
            </w:r>
          </w:p>
        </w:tc>
      </w:tr>
      <w:tr>
        <w:trPr>
          <w:trHeight w:val="216"/>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accounts payable</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(38,846)</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(41,171)</w:t>
            </w:r>
          </w:p>
        </w:tc>
      </w:tr>
      <w:tr>
        <w:trPr>
          <w:trHeight w:val="229"/>
        </w:trPr>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changes in other assets and liabilities</w:t>
            </w:r>
          </w:p>
        </w:tc>
        <w:tc>
          <w:tcPr>
            <w:tcW w:w="220" w:type="dxa"/>
            <w:vAlign w:val="bottom"/>
          </w:tcPr>
          <w:p>
            <w:pPr>
              <w:spacing w:after="0"/>
              <w:rPr>
                <w:sz w:val="19"/>
                <w:szCs w:val="19"/>
                <w:color w:val="auto"/>
              </w:rPr>
            </w:pPr>
          </w:p>
        </w:tc>
        <w:tc>
          <w:tcPr>
            <w:tcW w:w="11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(46,483)</w:t>
            </w:r>
          </w:p>
        </w:tc>
        <w:tc>
          <w:tcPr>
            <w:tcW w:w="20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(58,745)</w:t>
            </w:r>
          </w:p>
        </w:tc>
      </w:tr>
      <w:tr>
        <w:trPr>
          <w:trHeight w:val="210"/>
        </w:trPr>
        <w:tc>
          <w:tcPr>
            <w:tcW w:w="87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92,506</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116,677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09"/>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 net of insurance recoveries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(87,896)</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(113,214)</w:t>
            </w:r>
          </w:p>
        </w:tc>
      </w:tr>
      <w:tr>
        <w:trPr>
          <w:trHeight w:val="230"/>
        </w:trPr>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20" w:type="dxa"/>
            <w:vAlign w:val="bottom"/>
          </w:tcPr>
          <w:p>
            <w:pPr>
              <w:spacing w:after="0"/>
              <w:rPr>
                <w:sz w:val="19"/>
                <w:szCs w:val="19"/>
                <w:color w:val="auto"/>
              </w:rPr>
            </w:pPr>
          </w:p>
        </w:tc>
        <w:tc>
          <w:tcPr>
            <w:tcW w:w="11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1,301</w:t>
            </w:r>
          </w:p>
        </w:tc>
        <w:tc>
          <w:tcPr>
            <w:tcW w:w="2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80" w:type="dxa"/>
            <w:vAlign w:val="bottom"/>
          </w:tcPr>
          <w:p>
            <w:pPr>
              <w:spacing w:after="0"/>
              <w:rPr>
                <w:sz w:val="19"/>
                <w:szCs w:val="19"/>
                <w:color w:val="auto"/>
              </w:rPr>
            </w:pPr>
          </w:p>
        </w:tc>
      </w:tr>
      <w:tr>
        <w:trPr>
          <w:trHeight w:val="209"/>
        </w:trPr>
        <w:tc>
          <w:tcPr>
            <w:tcW w:w="87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(86,595</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(111,385</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from long-term debt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11,425</w:t>
            </w:r>
          </w:p>
        </w:tc>
        <w:tc>
          <w:tcPr>
            <w:tcW w:w="80" w:type="dxa"/>
            <w:vAlign w:val="bottom"/>
            <w:shd w:val="clear" w:color="auto" w:fill="CCEEFF"/>
          </w:tcPr>
          <w:p>
            <w:pPr>
              <w:spacing w:after="0"/>
              <w:rPr>
                <w:sz w:val="18"/>
                <w:szCs w:val="18"/>
                <w:color w:val="auto"/>
              </w:rPr>
            </w:pPr>
          </w:p>
        </w:tc>
      </w:tr>
      <w:tr>
        <w:trPr>
          <w:trHeight w:val="216"/>
        </w:trPr>
        <w:tc>
          <w:tcPr>
            <w:tcW w:w="8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withheld from issuance of share-based compensation awards</w:t>
            </w:r>
          </w:p>
        </w:tc>
        <w:tc>
          <w:tcPr>
            <w:tcW w:w="220" w:type="dxa"/>
            <w:vAlign w:val="bottom"/>
          </w:tcPr>
          <w:p>
            <w:pPr>
              <w:spacing w:after="0"/>
              <w:rPr>
                <w:sz w:val="18"/>
                <w:szCs w:val="18"/>
                <w:color w:val="auto"/>
              </w:rPr>
            </w:pPr>
          </w:p>
        </w:tc>
        <w:tc>
          <w:tcPr>
            <w:tcW w:w="11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(1,943)</w:t>
            </w:r>
          </w:p>
        </w:tc>
        <w:tc>
          <w:tcPr>
            <w:tcW w:w="2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(1,428)</w:t>
            </w:r>
          </w:p>
        </w:tc>
      </w:tr>
      <w:tr>
        <w:trPr>
          <w:trHeight w:val="229"/>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on common stock</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(17,561)</w:t>
            </w: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(17,510)</w:t>
            </w:r>
          </w:p>
        </w:tc>
      </w:tr>
      <w:tr>
        <w:trPr>
          <w:trHeight w:val="210"/>
        </w:trPr>
        <w:tc>
          <w:tcPr>
            <w:tcW w:w="8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(19,504</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20" w:type="dxa"/>
            <w:vAlign w:val="bottom"/>
          </w:tcPr>
          <w:p>
            <w:pPr>
              <w:spacing w:after="0"/>
              <w:rPr>
                <w:sz w:val="19"/>
                <w:szCs w:val="19"/>
                <w:color w:val="auto"/>
              </w:rPr>
            </w:pPr>
          </w:p>
        </w:tc>
        <w:tc>
          <w:tcPr>
            <w:tcW w:w="11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(13,593)</w:t>
            </w:r>
          </w:p>
        </w:tc>
        <w:tc>
          <w:tcPr>
            <w:tcW w:w="20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(2,221)</w:t>
            </w:r>
          </w:p>
        </w:tc>
      </w:tr>
      <w:tr>
        <w:trPr>
          <w:trHeight w:val="209"/>
        </w:trPr>
        <w:tc>
          <w:tcPr>
            <w:tcW w:w="8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39,643</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12,035</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23"/>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26,050</w:t>
            </w:r>
          </w:p>
        </w:tc>
        <w:tc>
          <w:tcPr>
            <w:tcW w:w="34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Page 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61"/>
        </w:trPr>
        <w:tc>
          <w:tcPr>
            <w:tcW w:w="4320" w:type="dxa"/>
            <w:vAlign w:val="bottom"/>
          </w:tcPr>
          <w:p>
            <w:pPr>
              <w:spacing w:after="0"/>
              <w:rPr>
                <w:sz w:val="24"/>
                <w:szCs w:val="24"/>
                <w:color w:val="auto"/>
              </w:rPr>
            </w:pPr>
          </w:p>
        </w:tc>
        <w:tc>
          <w:tcPr>
            <w:tcW w:w="210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Third Quarter Ended</w:t>
            </w:r>
          </w:p>
        </w:tc>
        <w:tc>
          <w:tcPr>
            <w:tcW w:w="2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4320" w:type="dxa"/>
            <w:vAlign w:val="bottom"/>
          </w:tcPr>
          <w:p>
            <w:pPr>
              <w:spacing w:after="0"/>
              <w:rPr>
                <w:sz w:val="19"/>
                <w:szCs w:val="19"/>
                <w:color w:val="auto"/>
              </w:rPr>
            </w:pP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w w:val="95"/>
              </w:rPr>
              <w:t>5/1/26</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5/2/25</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9"/>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Company-owned units opened during quarter:</w:t>
            </w: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Cracker Barrel</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Maple Street Biscuit Company</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Company-owned units closed during quarter:</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Cracker Barrel</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Maple Street Biscuit Company</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Company-owned units in operation at end of quarter:</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Cracker Barrel</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657</w:t>
            </w:r>
          </w:p>
        </w:tc>
        <w:tc>
          <w:tcPr>
            <w:tcW w:w="80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658</w:t>
            </w:r>
          </w:p>
        </w:tc>
      </w:tr>
      <w:tr>
        <w:trPr>
          <w:trHeight w:val="216"/>
        </w:trPr>
        <w:tc>
          <w:tcPr>
            <w:tcW w:w="5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Maple Street Biscuit Company</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8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stores at end of period</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709</w:t>
            </w:r>
          </w:p>
        </w:tc>
        <w:tc>
          <w:tcPr>
            <w:tcW w:w="8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728</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0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Third Quarter Ended</w:t>
            </w:r>
          </w:p>
        </w:tc>
        <w:tc>
          <w:tcPr>
            <w:tcW w:w="260" w:type="dxa"/>
            <w:vAlign w:val="bottom"/>
          </w:tcPr>
          <w:p>
            <w:pPr>
              <w:spacing w:after="0"/>
              <w:rPr>
                <w:sz w:val="20"/>
                <w:szCs w:val="20"/>
                <w:color w:val="auto"/>
              </w:rPr>
            </w:pPr>
          </w:p>
        </w:tc>
        <w:tc>
          <w:tcPr>
            <w:tcW w:w="262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3"/>
        </w:trPr>
        <w:tc>
          <w:tcPr>
            <w:tcW w:w="52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5/1/26</w:t>
            </w:r>
          </w:p>
        </w:tc>
        <w:tc>
          <w:tcPr>
            <w:tcW w:w="18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5/2/25</w:t>
            </w:r>
          </w:p>
        </w:tc>
        <w:tc>
          <w:tcPr>
            <w:tcW w:w="3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5/1/26</w:t>
            </w:r>
          </w:p>
        </w:tc>
        <w:tc>
          <w:tcPr>
            <w:tcW w:w="16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5/2/25</w:t>
            </w:r>
          </w:p>
        </w:tc>
        <w:tc>
          <w:tcPr>
            <w:tcW w:w="100" w:type="dxa"/>
            <w:vAlign w:val="bottom"/>
            <w:tcBorders>
              <w:bottom w:val="single" w:sz="8" w:color="CCEEFF"/>
            </w:tcBorders>
          </w:tcPr>
          <w:p>
            <w:pPr>
              <w:spacing w:after="0"/>
              <w:rPr>
                <w:sz w:val="19"/>
                <w:szCs w:val="19"/>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(In thousands)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Restaurant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644,300</w:t>
            </w:r>
          </w:p>
        </w:tc>
        <w:tc>
          <w:tcPr>
            <w:tcW w:w="4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661,945</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1,959,504</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2,061,681</w:t>
            </w:r>
          </w:p>
        </w:tc>
      </w:tr>
      <w:tr>
        <w:trPr>
          <w:trHeight w:val="22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Retail</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138,903</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141,695</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465,836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502,052</w:t>
            </w:r>
          </w:p>
        </w:tc>
      </w:tr>
      <w:tr>
        <w:trPr>
          <w:trHeight w:val="263"/>
        </w:trPr>
        <w:tc>
          <w:tcPr>
            <w:tcW w:w="5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783,203</w:t>
            </w:r>
          </w:p>
        </w:tc>
        <w:tc>
          <w:tcPr>
            <w:tcW w:w="1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803,640</w:t>
            </w:r>
          </w:p>
        </w:tc>
        <w:tc>
          <w:tcPr>
            <w:tcW w:w="3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2,425,340</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2,563,733</w:t>
            </w:r>
          </w:p>
        </w:tc>
        <w:tc>
          <w:tcPr>
            <w:tcW w:w="100" w:type="dxa"/>
            <w:vAlign w:val="bottom"/>
            <w:tcBorders>
              <w:bottom w:val="single" w:sz="8" w:color="CCEEFF"/>
            </w:tcBorders>
          </w:tcPr>
          <w:p>
            <w:pPr>
              <w:spacing w:after="0"/>
              <w:rPr>
                <w:sz w:val="22"/>
                <w:szCs w:val="22"/>
                <w:color w:val="auto"/>
              </w:rPr>
            </w:pPr>
          </w:p>
        </w:tc>
      </w:tr>
      <w:tr>
        <w:trPr>
          <w:trHeight w:val="197"/>
        </w:trPr>
        <w:tc>
          <w:tcPr>
            <w:tcW w:w="5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5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goods sold* (exclusive of depreciation and rent): (In</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thousands)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Restaurant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168,202</w:t>
            </w:r>
          </w:p>
        </w:tc>
        <w:tc>
          <w:tcPr>
            <w:tcW w:w="4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173,431</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523,521</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546,757</w:t>
            </w: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Retail</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69,129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69,346</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246,824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256,015</w:t>
            </w:r>
          </w:p>
        </w:tc>
      </w:tr>
      <w:tr>
        <w:trPr>
          <w:trHeight w:val="223"/>
        </w:trPr>
        <w:tc>
          <w:tcPr>
            <w:tcW w:w="5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 of goods sold</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237,331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242,777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770,345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802,772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unit volume*: (In thousands)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Restaurant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980.7</w:t>
            </w:r>
          </w:p>
        </w:tc>
        <w:tc>
          <w:tcPr>
            <w:tcW w:w="4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1,006.0</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2,984.2</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3,134.8</w:t>
            </w:r>
          </w:p>
        </w:tc>
      </w:tr>
      <w:tr>
        <w:trPr>
          <w:trHeight w:val="22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Retail</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211.4</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215.3</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709.5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763.4</w:t>
            </w:r>
          </w:p>
        </w:tc>
      </w:tr>
      <w:tr>
        <w:trPr>
          <w:trHeight w:val="263"/>
        </w:trPr>
        <w:tc>
          <w:tcPr>
            <w:tcW w:w="5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1,192.1</w:t>
            </w:r>
          </w:p>
        </w:tc>
        <w:tc>
          <w:tcPr>
            <w:tcW w:w="1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1,221.3</w:t>
            </w:r>
          </w:p>
        </w:tc>
        <w:tc>
          <w:tcPr>
            <w:tcW w:w="3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3,693.7</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3,898.2</w:t>
            </w:r>
          </w:p>
        </w:tc>
        <w:tc>
          <w:tcPr>
            <w:tcW w:w="100" w:type="dxa"/>
            <w:vAlign w:val="bottom"/>
            <w:tcBorders>
              <w:bottom w:val="single" w:sz="8" w:color="CCEEFF"/>
            </w:tcBorders>
          </w:tcPr>
          <w:p>
            <w:pPr>
              <w:spacing w:after="0"/>
              <w:rPr>
                <w:sz w:val="22"/>
                <w:szCs w:val="22"/>
                <w:color w:val="auto"/>
              </w:rPr>
            </w:pPr>
          </w:p>
        </w:tc>
      </w:tr>
      <w:tr>
        <w:trPr>
          <w:trHeight w:val="197"/>
        </w:trPr>
        <w:tc>
          <w:tcPr>
            <w:tcW w:w="5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Operating weeks*:</w:t>
            </w: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8,541</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8,554</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25,608</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25,649</w:t>
            </w: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This information is for Cracker Barrel stores only and excludes Maple Street Biscuit Company.</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Page 8</w:t>
      </w:r>
    </w:p>
    <w:p>
      <w:pPr>
        <w:spacing w:after="0" w:line="200" w:lineRule="exact"/>
        <w:rPr>
          <w:sz w:val="20"/>
          <w:szCs w:val="20"/>
          <w:color w:val="auto"/>
        </w:rPr>
      </w:pPr>
    </w:p>
    <w:p>
      <w:pPr>
        <w:spacing w:after="0" w:line="264"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CRACKER BARREL OLD COUNTRY STORE, INC. Reconciliation of GAAP-Basis Operating Results to Non-GAAP Operating Results (Unaudited and in thousands, except per share amounts)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Income and Earnings Per Share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accompanying press release, the Company makes reference to adjusted net income (loss) and adjusted earnings (loss) per share. The Company defines adjusted net income (loss) as net income (loss), calculated in accordance with GAAP, excluding, to the extent the following items occurred during the periods presented: (i) impairment charges, and, for periods prior to the second quarter of fiscal 2025, store closing costs, (ii) expenses related to the proxy contest in connection with the Company’s 2024 and 2025 annual meeting of shareholders, (iii) expenses associated with the Company’s strategic transformation initiative, (iv) a corporate restructuring charge that includes consulting fees related to business model improvement and severance related to a reduction in headcount, (v) a gain on extinguishment of debt related to the Company’s repurchase of $150 million aggregate principal amount of its 0.625% convertible senior notes due June 2026, (vi) store closing costs associated with MSBC reorganization, (vii) a benefit of approximately $47 million related to a litigation settlement that occurred in the third quarter of fiscal 2026, and (vii) the related tax impacts of the foregoing. The Company believes excluding these items from its financial results provides investors with an enhanced understanding of the Company's financial results and enhances comparability across periods. The Company calculates adjusted net income (loss) margin by dividing adjusted net income (loss) by consolidated GAAP revenue. The Company calculates adjusted net income (loss) per share by dividing adjusted net income (loss) by weighted average shares outstanding for the applicable period. This information is not intended to be considered in isolation or as a substitute for net income (loss) or earnings (loss) per share information prepared in accordance with GAAP.</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7"/>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Third Quarter Ended</w:t>
            </w:r>
          </w:p>
        </w:tc>
        <w:tc>
          <w:tcPr>
            <w:tcW w:w="6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6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5/1/26</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5/2/25</w:t>
            </w:r>
          </w:p>
        </w:tc>
        <w:tc>
          <w:tcPr>
            <w:tcW w:w="2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2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5/1/26</w:t>
            </w:r>
          </w:p>
        </w:tc>
        <w:tc>
          <w:tcPr>
            <w:tcW w:w="2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3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5/2/25</w:t>
            </w:r>
          </w:p>
        </w:tc>
        <w:tc>
          <w:tcPr>
            <w:tcW w:w="2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160" w:type="dxa"/>
            <w:vAlign w:val="bottom"/>
            <w:tcBorders>
              <w:bottom w:val="single" w:sz="8" w:color="CCEEFF"/>
            </w:tcBorders>
          </w:tcPr>
          <w:p>
            <w:pPr>
              <w:spacing w:after="0"/>
              <w:rPr>
                <w:sz w:val="19"/>
                <w:szCs w:val="19"/>
                <w:color w:val="auto"/>
              </w:rPr>
            </w:pPr>
          </w:p>
        </w:tc>
      </w:tr>
      <w:tr>
        <w:trPr>
          <w:trHeight w:val="223"/>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797,367</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821,147</w:t>
            </w: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2,469,372</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2,615,675</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net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42,811</w:t>
            </w:r>
          </w:p>
        </w:tc>
        <w:tc>
          <w:tcPr>
            <w:tcW w:w="10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12,574</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19,471</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39,625</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r>
      <w:tr>
        <w:trPr>
          <w:trHeight w:val="198"/>
        </w:trPr>
        <w:tc>
          <w:tcPr>
            <w:tcW w:w="2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Strategic transformation initiative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7,263</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r>
      <w:tr>
        <w:trPr>
          <w:trHeight w:val="198"/>
        </w:trPr>
        <w:tc>
          <w:tcPr>
            <w:tcW w:w="2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Impairment and store closing</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718</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418</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3,581</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r>
      <w:tr>
        <w:trPr>
          <w:trHeight w:val="198"/>
        </w:trPr>
        <w:tc>
          <w:tcPr>
            <w:tcW w:w="2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Store closing costs associated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with MSBC reorganization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3,095</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Proxy contest expenses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4,072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8,220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Corporate restructuring charge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8,743</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settlement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(47,422)</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(47,422)</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r>
      <w:tr>
        <w:trPr>
          <w:trHeight w:val="230"/>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Tax impacts of the foregoing</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11,144</w:t>
            </w: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7,307</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(4,480)</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2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(loss)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28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Earnings per share - basic</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0.56</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0.87</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1.78</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98"/>
        </w:trPr>
        <w:tc>
          <w:tcPr>
            <w:tcW w:w="2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GAAP Earnings per share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0.56</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0.86</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1.77</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98"/>
        </w:trPr>
        <w:tc>
          <w:tcPr>
            <w:tcW w:w="2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Adjusted Earnings (loss) per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share - basic</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0.59</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(0.19)</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2.44</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2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Adjusted Earnings (loss) per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 diluted</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0.58</w:t>
            </w: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(0.19)</w:t>
            </w: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2.42</w:t>
            </w: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22,351,318</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22,264,782</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w w:val="98"/>
              </w:rPr>
              <w:t>22,328,450</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22,246,936</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22,500,168</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22,459,281</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w w:val="98"/>
              </w:rPr>
              <w:t>22,513,419</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22,435,317</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Page 9</w:t>
      </w:r>
    </w:p>
    <w:p>
      <w:pPr>
        <w:spacing w:after="0" w:line="200" w:lineRule="exact"/>
        <w:rPr>
          <w:sz w:val="20"/>
          <w:szCs w:val="20"/>
          <w:color w:val="auto"/>
        </w:rPr>
      </w:pPr>
    </w:p>
    <w:p>
      <w:pPr>
        <w:spacing w:after="0" w:line="23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CRACKER BARREL OLD COUNTRY STORE, INC. Reconciliation of GAAP-Basis Operating Results to Non-GAAP Operating Results (Unaudited and in thousands)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EBITDA/Adjusted EBITDA</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accompanying press release and the below reconciliation tables, the Company makes reference to EBITDA and adjusted EBITDA. The Company defines EBITDA as net income, calculated in accordance with GAAP, excluding depreciation and amortization, interest expense and tax expense. The Company further adjusts EBITDA to exclude, to the extent the following items occurred during the periods presented: (i) expenses related to share-based compensation, (ii) impairment charges, and, for periods prior to the second quarter of fiscal 2025, store closing costs, (iii) the proxy contest in connection with the Company’s 2024 and 2025 annual meeting of shareholders, (iv) expenses associated with the Company’s strategic transformation initiative, (v) a corporate restructuring charge that includes consulting fees related to business model improvement and severance related to a reduction in headcount, (vi) a gain on extinguishment of debt related to the Company’s repurchase of $150 million aggregate principal amount of its 0.625% convertible senior notes due June 2026, (vii) store closing costs associated with MSBC reorganization, and (vii) a benefit of approximately $47 million related to a litigation settlement that occurred in the third quarter of fiscal 2026. The Company calculates EBITDA and adjusted EBITDA margin by dividing EBITDA and adjusted EBITDA by consolidated GAAP revenue. The Company believes that presentation of EBITDA and adjusted EBITDA (together with related margin figures) provides investors with an enhanced understanding of the Company's operating performance and debt leverage metrics and enhances comparability with the Company’s historical results, and that the presentation of this non-GAAP financial measure, when combined with the primary presentation of net income (loss), is beneficial to an investor’s complete understanding of the Company’s operating performance. This information is not intended to be considered in isolation or as a substitute for net income or net income margin prepared in accordance with GAAP.</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60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Third Quarter Ended</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396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5/1/26</w:t>
            </w:r>
          </w:p>
        </w:tc>
        <w:tc>
          <w:tcPr>
            <w:tcW w:w="3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5/1/26</w:t>
            </w:r>
          </w:p>
        </w:tc>
        <w:tc>
          <w:tcPr>
            <w:tcW w:w="3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160" w:type="dxa"/>
            <w:vAlign w:val="bottom"/>
            <w:tcBorders>
              <w:bottom w:val="single" w:sz="8" w:color="CCEEFF"/>
            </w:tcBorders>
          </w:tcPr>
          <w:p>
            <w:pPr>
              <w:spacing w:after="0"/>
              <w:rPr>
                <w:sz w:val="20"/>
                <w:szCs w:val="20"/>
                <w:color w:val="auto"/>
              </w:rPr>
            </w:pPr>
          </w:p>
        </w:tc>
      </w:tr>
      <w:tr>
        <w:trPr>
          <w:trHeight w:val="223"/>
        </w:trPr>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6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797,367</w:t>
            </w:r>
          </w:p>
        </w:tc>
        <w:tc>
          <w:tcPr>
            <w:tcW w:w="3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2,469,372</w:t>
            </w:r>
          </w:p>
        </w:tc>
        <w:tc>
          <w:tcPr>
            <w:tcW w:w="3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3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Net income</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42,811</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19,471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 Depreciation &amp; amortization</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31,038</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91,760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Interest expense</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3,668</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11,425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 Tax expense (tax benefit)</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7,663</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(9,088)</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6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85,180</w:t>
            </w:r>
          </w:p>
        </w:tc>
        <w:tc>
          <w:tcPr>
            <w:tcW w:w="3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113,568</w:t>
            </w:r>
          </w:p>
        </w:tc>
        <w:tc>
          <w:tcPr>
            <w:tcW w:w="3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Adjustments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Share-based compensation</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2,547</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3,186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 Impairment</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r>
      <w:tr>
        <w:trPr>
          <w:trHeight w:val="198"/>
        </w:trPr>
        <w:tc>
          <w:tcPr>
            <w:tcW w:w="3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Store closing costs associated with MSBC</w:t>
            </w: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reorganization</w:t>
            </w:r>
          </w:p>
        </w:tc>
        <w:tc>
          <w:tcPr>
            <w:tcW w:w="6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3,095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 Proxy contest expenses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4,072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Corporate restructuring charge</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8,743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 Litigation settlement income</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(47,422)</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(47,422)</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3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56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Third Quarter Ended</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400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5/2/25</w:t>
            </w:r>
          </w:p>
        </w:tc>
        <w:tc>
          <w:tcPr>
            <w:tcW w:w="3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5/2/25</w:t>
            </w:r>
          </w:p>
        </w:tc>
        <w:tc>
          <w:tcPr>
            <w:tcW w:w="3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160" w:type="dxa"/>
            <w:vAlign w:val="bottom"/>
            <w:tcBorders>
              <w:bottom w:val="single" w:sz="8" w:color="CCEEFF"/>
            </w:tcBorders>
          </w:tcPr>
          <w:p>
            <w:pPr>
              <w:spacing w:after="0"/>
              <w:rPr>
                <w:sz w:val="20"/>
                <w:szCs w:val="20"/>
                <w:color w:val="auto"/>
              </w:rPr>
            </w:pPr>
          </w:p>
        </w:tc>
      </w:tr>
      <w:tr>
        <w:trPr>
          <w:trHeight w:val="223"/>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821,147</w:t>
            </w:r>
          </w:p>
        </w:tc>
        <w:tc>
          <w:tcPr>
            <w:tcW w:w="3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2,615,675</w:t>
            </w:r>
          </w:p>
        </w:tc>
        <w:tc>
          <w:tcPr>
            <w:tcW w:w="3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4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Net income</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12,574</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39,625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 Depreciation &amp; amortization</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30,991</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90,379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Interest expense</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4,984</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15,784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 Tax expense (tax benefit)</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(2,701)</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(4,358)</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5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45,848</w:t>
            </w:r>
          </w:p>
        </w:tc>
        <w:tc>
          <w:tcPr>
            <w:tcW w:w="3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141,430</w:t>
            </w:r>
          </w:p>
        </w:tc>
        <w:tc>
          <w:tcPr>
            <w:tcW w:w="3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Adjustments</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Share-based compensation</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1,551</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8,056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 Impairment</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718</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3,581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Proxy contest expenses</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8,220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 Strategic transformation initiative expenses</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7,263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168,550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4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END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o"/>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bullet"/>
      <w:start w:val="1"/>
    </w:lvl>
  </w:abstractNum>
  <w:abstractNum w:abstractNumId="6">
    <w:nsid w:val="79E2A9E3"/>
    <w:multiLevelType w:val="hybridMultilevel"/>
    <w:lvl w:ilvl="0">
      <w:lvlJc w:val="left"/>
      <w:lvlText w:val="2"/>
      <w:numFmt w:val="bullet"/>
      <w:start w:val="1"/>
    </w:lvl>
  </w:abstractNum>
  <w:abstractNum w:abstractNumId="7">
    <w:nsid w:val="7545E146"/>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2026-06-09T15:25:24Z</dcterms:created>
  <dcterms:modified xsi:type="dcterms:W3CDTF">2026-06-09T15:25:24Z</dcterms:modified>
</cp:coreProperties>
</file>