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57" w:lineRule="exact"/>
        <w:rPr>
          <w:sz w:val="24"/>
          <w:szCs w:val="24"/>
          <w:color w:val="auto"/>
        </w:rPr>
      </w:pPr>
    </w:p>
    <w:p>
      <w:pPr>
        <w:jc w:val="center"/>
        <w:ind w:right="-19"/>
        <w:spacing w:after="0" w:line="368" w:lineRule="exact"/>
        <w:rPr>
          <w:sz w:val="20"/>
          <w:szCs w:val="20"/>
          <w:color w:val="auto"/>
        </w:rPr>
      </w:pPr>
      <w:r>
        <w:rPr>
          <w:rFonts w:ascii="Times New Roman" w:cs="Times New Roman" w:eastAsia="Times New Roman" w:hAnsi="Times New Roman"/>
          <w:sz w:val="32"/>
          <w:szCs w:val="32"/>
          <w:color w:val="auto"/>
        </w:rPr>
        <w:t>FORM 10</w:t>
      </w:r>
      <w:r>
        <w:rPr>
          <w:rFonts w:ascii="MS PGothic" w:cs="MS PGothic" w:eastAsia="MS PGothic" w:hAnsi="MS PGothic"/>
          <w:sz w:val="32"/>
          <w:szCs w:val="32"/>
          <w:color w:val="auto"/>
        </w:rPr>
        <w:t>‑</w:t>
      </w:r>
      <w:r>
        <w:rPr>
          <w:rFonts w:ascii="Times New Roman" w:cs="Times New Roman" w:eastAsia="Times New Roman" w:hAnsi="Times New Roman"/>
          <w:sz w:val="32"/>
          <w:szCs w:val="32"/>
          <w:color w:val="auto"/>
        </w:rPr>
        <w:t>Q</w:t>
      </w:r>
    </w:p>
    <w:p>
      <w:pPr>
        <w:spacing w:after="0" w:line="31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right="4360" w:hanging="328"/>
        <w:spacing w:after="0" w:line="266"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January 29, 2016</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left="660" w:right="4400" w:hanging="328"/>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For the transition period from _______________ to </w:t>
      </w:r>
      <w:r>
        <w:rPr>
          <w:rFonts w:ascii="Times New Roman" w:cs="Times New Roman" w:eastAsia="Times New Roman" w:hAnsi="Times New Roman"/>
          <w:sz w:val="18"/>
          <w:szCs w:val="18"/>
          <w:b w:val="1"/>
          <w:bCs w:val="1"/>
          <w:color w:val="auto"/>
        </w:rPr>
        <w:t>________________</w:t>
      </w:r>
    </w:p>
    <w:p>
      <w:pPr>
        <w:spacing w:after="0" w:line="160"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Commission file number: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239395</wp:posOffset>
            </wp:positionV>
            <wp:extent cx="14706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Cracker Barrel Old Country Store,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4" w:lineRule="exact"/>
        <w:rPr>
          <w:sz w:val="24"/>
          <w:szCs w:val="24"/>
          <w:color w:val="auto"/>
        </w:rPr>
      </w:pPr>
    </w:p>
    <w:tbl>
      <w:tblPr>
        <w:tblLayout w:type="fixed"/>
        <w:tblInd w:w="660" w:type="dxa"/>
        <w:tblCellMar>
          <w:top w:w="0" w:type="dxa"/>
          <w:left w:w="0" w:type="dxa"/>
          <w:bottom w:w="0" w:type="dxa"/>
          <w:right w:w="0" w:type="dxa"/>
        </w:tblCellMar>
      </w:tblPr>
      <w:tr>
        <w:trPr>
          <w:trHeight w:val="245"/>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Tennessee</w:t>
            </w:r>
          </w:p>
        </w:tc>
        <w:tc>
          <w:tcPr>
            <w:tcW w:w="4040" w:type="dxa"/>
            <w:vAlign w:val="bottom"/>
          </w:tcPr>
          <w:p>
            <w:pPr>
              <w:jc w:val="center"/>
              <w:ind w:left="990"/>
              <w:spacing w:after="0" w:line="207" w:lineRule="exact"/>
              <w:rPr>
                <w:sz w:val="20"/>
                <w:szCs w:val="20"/>
                <w:color w:val="auto"/>
              </w:rPr>
            </w:pPr>
            <w:r>
              <w:rPr>
                <w:rFonts w:ascii="Times New Roman" w:cs="Times New Roman" w:eastAsia="Times New Roman" w:hAnsi="Times New Roman"/>
                <w:sz w:val="18"/>
                <w:szCs w:val="18"/>
                <w:color w:val="auto"/>
              </w:rPr>
              <w:t>62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0812904</w:t>
            </w:r>
          </w:p>
        </w:tc>
      </w:tr>
      <w:tr>
        <w:trPr>
          <w:trHeight w:val="23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41"/>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305 Hartmann Drive</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37087-4779</w:t>
            </w:r>
          </w:p>
        </w:tc>
      </w:tr>
      <w:tr>
        <w:trPr>
          <w:trHeight w:val="21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Lebanon, Tennessee</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4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(615) 444-5533</w:t>
      </w:r>
    </w:p>
    <w:p>
      <w:pPr>
        <w:spacing w:after="0" w:line="25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35" w:right="239" w:bottom="1440" w:gutter="0" w:footer="0" w:header="0"/>
        </w:sectPr>
      </w:pPr>
    </w:p>
    <w:p>
      <w:pPr>
        <w:spacing w:after="0" w:line="160" w:lineRule="exact"/>
        <w:rPr>
          <w:sz w:val="24"/>
          <w:szCs w:val="24"/>
          <w:color w:val="auto"/>
        </w:rPr>
      </w:pPr>
    </w:p>
    <w:p>
      <w:pPr>
        <w:ind w:left="11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3">
            <w:col w:w="5560" w:space="720"/>
            <w:col w:w="1220" w:space="80"/>
            <w:col w:w="3840"/>
          </w:cols>
          <w:pgMar w:left="240" w:top="535" w:right="239" w:bottom="1440" w:gutter="0" w:footer="0" w:header="0"/>
          <w:type w:val="continuous"/>
        </w:sectPr>
      </w:pPr>
    </w:p>
    <w:p>
      <w:pPr>
        <w:spacing w:after="0" w:line="2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4">
            <w:col w:w="2680" w:space="180"/>
            <w:col w:w="2700" w:space="720"/>
            <w:col w:w="1980" w:space="80"/>
            <w:col w:w="3080"/>
          </w:cols>
          <w:pgMar w:left="240" w:top="535"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4"/>
          <w:szCs w:val="24"/>
          <w:color w:val="auto"/>
        </w:rPr>
      </w:pPr>
    </w:p>
    <w:p>
      <w:pPr>
        <w:ind w:left="260"/>
        <w:spacing w:after="0" w:line="207" w:lineRule="exact"/>
        <w:tabs>
          <w:tab w:leader="none" w:pos="8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registrant’s classes of common stock, as of the latest practicable date.</w:t>
      </w:r>
    </w:p>
    <w:p>
      <w:pPr>
        <w:spacing w:after="0" w:line="23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23,939,998 Shares of Common Stock</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Outstanding as of February 17,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January 29, 2016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12"/>
        </w:trPr>
        <w:tc>
          <w:tcPr>
            <w:tcW w:w="1078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Condensed Consolidated Financial Statements (Unaudited)</w:t>
              </w:r>
            </w:hyperlink>
          </w:p>
        </w:tc>
        <w:tc>
          <w:tcPr>
            <w:tcW w:w="1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2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760" w:type="dxa"/>
            <w:vAlign w:val="bottom"/>
            <w:gridSpan w:val="16"/>
            <w:shd w:val="clear" w:color="auto" w:fill="CCEEFF"/>
          </w:tcPr>
          <w:p>
            <w:pPr>
              <w:ind w:left="48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 Condensed Consolidated Balance Sheets as of January 29, 2016 and July 31, 2015</w:t>
              </w:r>
            </w:hyperlink>
          </w:p>
        </w:tc>
        <w:tc>
          <w:tcPr>
            <w:tcW w:w="6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760" w:type="dxa"/>
            <w:vAlign w:val="bottom"/>
            <w:gridSpan w:val="16"/>
            <w:shd w:val="clear" w:color="auto" w:fill="CCEEFF"/>
          </w:tcPr>
          <w:p>
            <w:pPr>
              <w:ind w:left="48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 Condensed Consolidated Statements of Income for the Quarters and Six Months Ended January 29, 2016 and January 30, 2015</w:t>
              </w:r>
            </w:hyperlink>
          </w:p>
        </w:tc>
        <w:tc>
          <w:tcPr>
            <w:tcW w:w="6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6"/>
            <w:shd w:val="clear" w:color="auto" w:fill="CCEEFF"/>
          </w:tcPr>
          <w:p>
            <w:pPr>
              <w:ind w:left="48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 Condensed Consolidated Statements of Comprehensive Income for the Quarters and Six Months Ended January 29, 2016 and January 30,</w:t>
              </w:r>
            </w:hyperlink>
          </w:p>
        </w:tc>
        <w:tc>
          <w:tcPr>
            <w:tcW w:w="6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0000EE"/>
            </w:tcBorders>
            <w:gridSpan w:val="3"/>
            <w:shd w:val="clear" w:color="auto" w:fill="CCEEFF"/>
          </w:tcPr>
          <w:p>
            <w:pPr>
              <w:jc w:val="right"/>
              <w:ind w:right="14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2015</w:t>
              </w:r>
            </w:hyperlink>
          </w:p>
        </w:tc>
        <w:tc>
          <w:tcPr>
            <w:tcW w:w="16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780" w:type="dxa"/>
            <w:vAlign w:val="bottom"/>
            <w:tcBorders>
              <w:top w:val="single" w:sz="8" w:color="0000EE"/>
            </w:tcBorders>
            <w:shd w:val="clear" w:color="auto" w:fill="CCEEFF"/>
          </w:tcPr>
          <w:p>
            <w:pPr>
              <w:spacing w:after="0"/>
              <w:rPr>
                <w:sz w:val="18"/>
                <w:szCs w:val="18"/>
                <w:color w:val="auto"/>
              </w:rPr>
            </w:pPr>
          </w:p>
        </w:tc>
        <w:tc>
          <w:tcPr>
            <w:tcW w:w="220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56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0000EE"/>
            </w:tcBorders>
            <w:shd w:val="clear" w:color="auto" w:fill="CCEEFF"/>
          </w:tcPr>
          <w:p>
            <w:pPr>
              <w:spacing w:after="0"/>
              <w:rPr>
                <w:sz w:val="18"/>
                <w:szCs w:val="18"/>
                <w:color w:val="auto"/>
              </w:rPr>
            </w:pPr>
          </w:p>
        </w:tc>
        <w:tc>
          <w:tcPr>
            <w:tcW w:w="202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760" w:type="dxa"/>
            <w:vAlign w:val="bottom"/>
            <w:gridSpan w:val="16"/>
            <w:shd w:val="clear" w:color="auto" w:fill="CCEEFF"/>
          </w:tcPr>
          <w:p>
            <w:pPr>
              <w:ind w:left="48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d) Condensed Consolidated Statements of Cash Flows for the Six Months Ended January 29, 2016 and January 30, 2015</w:t>
              </w:r>
            </w:hyperlink>
          </w:p>
        </w:tc>
        <w:tc>
          <w:tcPr>
            <w:tcW w:w="6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760" w:type="dxa"/>
            <w:vAlign w:val="bottom"/>
            <w:gridSpan w:val="16"/>
            <w:shd w:val="clear" w:color="auto" w:fill="CCEEFF"/>
          </w:tcPr>
          <w:p>
            <w:pPr>
              <w:ind w:left="48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e) Notes to Condensed Consolidated Financial Statements</w:t>
              </w:r>
            </w:hyperlink>
          </w:p>
        </w:tc>
        <w:tc>
          <w:tcPr>
            <w:tcW w:w="6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6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3. Quantitative and Qualitative Disclosures About Market Risk</w:t>
              </w:r>
            </w:hyperlink>
          </w:p>
        </w:tc>
        <w:tc>
          <w:tcPr>
            <w:tcW w:w="6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4. Controls and Procedures</w:t>
              </w:r>
            </w:hyperlink>
          </w:p>
        </w:tc>
        <w:tc>
          <w:tcPr>
            <w:tcW w:w="6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1A. Risk Factors</w:t>
              </w:r>
            </w:hyperlink>
          </w:p>
        </w:tc>
        <w:tc>
          <w:tcPr>
            <w:tcW w:w="6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6. Exhibits</w:t>
              </w:r>
            </w:hyperlink>
          </w:p>
        </w:tc>
        <w:tc>
          <w:tcPr>
            <w:tcW w:w="6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SIGNATURES</w:t>
              </w:r>
            </w:hyperlink>
          </w:p>
        </w:tc>
        <w:tc>
          <w:tcPr>
            <w:tcW w:w="6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1140" w:type="dxa"/>
            <w:vAlign w:val="bottom"/>
            <w:tcBorders>
              <w:top w:val="single" w:sz="8" w:color="0000EE"/>
            </w:tcBorders>
            <w:gridSpan w:val="4"/>
          </w:tcPr>
          <w:p>
            <w:pPr>
              <w:spacing w:after="0"/>
              <w:rPr>
                <w:sz w:val="24"/>
                <w:szCs w:val="24"/>
                <w:color w:val="auto"/>
              </w:rPr>
            </w:pPr>
          </w:p>
        </w:tc>
        <w:tc>
          <w:tcPr>
            <w:tcW w:w="5440" w:type="dxa"/>
            <w:vAlign w:val="bottom"/>
            <w:tcBorders>
              <w:top w:val="single" w:sz="8" w:color="CCEEFF"/>
            </w:tcBorders>
            <w:gridSpan w:val="7"/>
          </w:tcPr>
          <w:p>
            <w:pPr>
              <w:jc w:val="right"/>
              <w:ind w:right="860"/>
              <w:spacing w:after="0"/>
              <w:rPr>
                <w:sz w:val="20"/>
                <w:szCs w:val="20"/>
                <w:color w:val="auto"/>
              </w:rPr>
            </w:pPr>
            <w:r>
              <w:rPr>
                <w:rFonts w:ascii="Times New Roman" w:cs="Times New Roman" w:eastAsia="Times New Roman" w:hAnsi="Times New Roman"/>
                <w:sz w:val="14"/>
                <w:szCs w:val="14"/>
                <w:color w:val="auto"/>
              </w:rPr>
              <w:t>2</w:t>
            </w:r>
          </w:p>
        </w:tc>
        <w:tc>
          <w:tcPr>
            <w:tcW w:w="56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0" w:type="dxa"/>
            <w:vAlign w:val="bottom"/>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jc w:val="center"/>
              <w:ind w:left="2310"/>
              <w:spacing w:after="0"/>
              <w:rPr>
                <w:sz w:val="20"/>
                <w:szCs w:val="20"/>
                <w:color w:val="auto"/>
              </w:rPr>
            </w:pPr>
            <w:r>
              <w:rPr>
                <w:rFonts w:ascii="Times New Roman" w:cs="Times New Roman" w:eastAsia="Times New Roman" w:hAnsi="Times New Roman"/>
                <w:sz w:val="18"/>
                <w:szCs w:val="18"/>
                <w:color w:val="auto"/>
                <w:w w:val="99"/>
              </w:rPr>
              <w:t>(In thousands, except share data)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January 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July 31,</w:t>
            </w:r>
          </w:p>
        </w:tc>
        <w:tc>
          <w:tcPr>
            <w:tcW w:w="0" w:type="dxa"/>
            <w:vAlign w:val="bottom"/>
          </w:tcPr>
          <w:p>
            <w:pPr>
              <w:spacing w:after="0"/>
              <w:rPr>
                <w:sz w:val="1"/>
                <w:szCs w:val="1"/>
                <w:color w:val="auto"/>
              </w:rPr>
            </w:pPr>
          </w:p>
        </w:tc>
      </w:tr>
      <w:tr>
        <w:trPr>
          <w:trHeight w:val="198"/>
        </w:trPr>
        <w:tc>
          <w:tcPr>
            <w:tcW w:w="8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87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171,643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365,033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1,955,336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 and amortization of capital leases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906,621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1,476,799</w:t>
            </w:r>
          </w:p>
        </w:tc>
        <w:tc>
          <w:tcPr>
            <w:tcW w:w="140" w:type="dxa"/>
            <w:vAlign w:val="bottom"/>
          </w:tcPr>
          <w:p>
            <w:pPr>
              <w:spacing w:after="0"/>
              <w:rPr>
                <w:sz w:val="18"/>
                <w:szCs w:val="18"/>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1,576,208</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91,474</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withheld and accrued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87,202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interest rate swap liability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92,604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326,328</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445,611</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100,000,000 shares of $.01 par value authorized; 300,000 shares designated as Series A Junior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Participating Preferred Stock; no shares issued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 400,000,000 shares of $.01 par value authorized; 23,939,248 shares issued and outstanding at January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 2016, and 23,975,755 shares issued and outstanding at July 31, 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521,531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538,268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1,476,799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52" w:lineRule="exact"/>
        <w:rPr>
          <w:sz w:val="20"/>
          <w:szCs w:val="20"/>
          <w:color w:val="auto"/>
        </w:rPr>
      </w:pPr>
    </w:p>
    <w:p>
      <w:pPr>
        <w:ind w:right="160" w:firstLine="8"/>
        <w:spacing w:after="0" w:line="282" w:lineRule="auto"/>
        <w:tabs>
          <w:tab w:leader="none" w:pos="1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Condensed Consolidated Balance Sheet has been derived from the audited Consolidated Balance Sheet as of July 31, 2015, as filed with the Securities and Exchange Commission in the Company’s Annual Report on Form 10-K for the fiscal year ended July 31, 2015.</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January 29,</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764,002</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755,966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1,466,631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(exclusive of depreciation and rent)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262,155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487,905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251,674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47,163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89,107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81,187</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23,937,812</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23,914,797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23,947,183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23,888,496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24,047,042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24,032,389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24,060,047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24,016,913</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CRACKER BARREL OLD COUNTRY STORE, INC. CONDENSED CONSOLIDATED STATEMENTS OF COMPREHENSIVE INCOME </w:t>
      </w:r>
      <w:r>
        <w:rPr>
          <w:rFonts w:ascii="Times New Roman" w:cs="Times New Roman" w:eastAsia="Times New Roman" w:hAnsi="Times New Roman"/>
          <w:sz w:val="18"/>
          <w:szCs w:val="18"/>
          <w:color w:val="auto"/>
        </w:rPr>
        <w:t>(Unaudited and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48,242</w:t>
            </w:r>
          </w:p>
        </w:tc>
        <w:tc>
          <w:tcPr>
            <w:tcW w:w="1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47,163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before income tax benefit: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(6,112)</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43,408</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(Unaudited and in thousands)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37,783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(41,643)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assets and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5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85,613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insurance recoveries of property and equipment</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5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withheld) and proceeds from issuance of share-based compensation awards, net</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under long-term debt and other long-term obligations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265,455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171,643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182,609</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 expenditures accrued in 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deferred tax asset for 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declared but not yet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(In thousands, except percentages, share and per share data) (Unaudited)</w:t>
      </w:r>
    </w:p>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sheets at January 29, 2016 and July 31, 2015 and the related condensed consolidated statements of income, comprehensive income and cash flows for the quarters and six months ended January 29, 2016 and January 31, 2015, respectively,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thereto contained in the Company's Annual Report on Form 10-K for the year ended July 31, 2015 (the “2015 Form 10-K”). The accounting policies used in preparing these condensed consolidated financial statements are the same as described in the 2015 Form 10-K. References to a year in these Notes to Condensed Consolidated Financial Statements are to the Company’s fiscal year unless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Reporting Discontinued Operations and Disclosures of Disposals of Components of an Entity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2014, the Financial Accounting Standards Board (“FASB”) issued accounting guidance which changes the criteria for disposals to qualify as discontinued operations and requires new disclosures about disposals of both discontinued operations and certain other disposals that do not meet the new definition. This accounting guidance is effective for fiscal years beginning on or after December 15, 2014 and interim periods within those years on a prospective basis. The adoption of this accounting guidance in the first quarter of 2016 did not have a significant impact on the Company’s consolidated financial position or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2016 and interim periods within those years. Early application is not permitted. A company may apply this accounting guidance either retrospectively or using the cumulative effect transition method. The Company is currently evaluating the impact of adopting this accounting guidance in the first quarter of 2018.</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2015, the FASB issued accounting guidance which requires debt issuance costs to be presented in the balance sheet as a reduction of the related debt liability rather than as an asset. This accounting guidance is effective for fiscal years beginning after December 15, 2015, and interim periods within those years on a retrospective basis. Early application is permitted. Since this accounting guidance does not provide guidance on debt issuance costs related to revolving debt agreements, this accounting guidance is not expected to have a significant impact on the Company’s consolidated financial position or results of operations upon adoption in the first quarter of 2017.</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2015, the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years on a prospective basis. Early application is permitted. The Company is currently evaluating the impact of adopting this accounting guidance in the first quarter of 2018.</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2015, in order to simplify the presentation of deferred income taxes, the FASB issued accounting guidance which requires deferred tax liabilities and assets to be classified as noncurrent in the balance sheet. This accounting guidance is effective for fiscal years beginning after December 15, 2016, and interim periods within those years. This accounting guidance may be applied either prospectively to all deferred tax liabilities and assets or retrospectively to all periods presented. Early application is permitted. The Company is currently evaluating the impact of adopting this accounting guidance in the first quarter of 2018.</w:t>
      </w:r>
    </w:p>
    <w:p>
      <w:pPr>
        <w:spacing w:after="0" w:line="20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assets and liabilities measured at fair value on a recurring basis at January 29, 2016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Observable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125,498</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125,498</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liability (see Note 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15,992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July 31, 2015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Observable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asset (see Note 5)</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8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218,031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221,790</w:t>
            </w:r>
          </w:p>
        </w:tc>
        <w:tc>
          <w:tcPr>
            <w:tcW w:w="0" w:type="dxa"/>
            <w:vAlign w:val="bottom"/>
          </w:tcPr>
          <w:p>
            <w:pPr>
              <w:spacing w:after="0"/>
              <w:rPr>
                <w:sz w:val="1"/>
                <w:szCs w:val="1"/>
                <w:color w:val="auto"/>
              </w:rPr>
            </w:pPr>
          </w:p>
        </w:tc>
      </w:tr>
      <w:tr>
        <w:trPr>
          <w:trHeight w:val="21"/>
        </w:trPr>
        <w:tc>
          <w:tcPr>
            <w:tcW w:w="42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liability (see Note 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86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20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1860" w:type="dxa"/>
            <w:vAlign w:val="bottom"/>
            <w:tcBorders>
              <w:top w:val="single" w:sz="8" w:color="CCEEFF"/>
            </w:tcBorders>
          </w:tcPr>
          <w:p>
            <w:pPr>
              <w:jc w:val="right"/>
              <w:ind w:right="276"/>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money market fund investments.</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January 29, 2016 and July 31, 2015.</w:t>
      </w:r>
    </w:p>
    <w:p>
      <w:pPr>
        <w:spacing w:after="0" w:line="19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were comprised of the following at: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January 29, 2016</w:t>
            </w:r>
          </w:p>
        </w:tc>
        <w:tc>
          <w:tcPr>
            <w:tcW w:w="10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July 31, 2015</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40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Restaurant</w:t>
            </w: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22,212</w:t>
            </w:r>
          </w:p>
        </w:tc>
      </w:tr>
      <w:tr>
        <w:trPr>
          <w:trHeight w:val="223"/>
        </w:trPr>
        <w:tc>
          <w:tcPr>
            <w:tcW w:w="2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150,959</w:t>
            </w:r>
          </w:p>
        </w:tc>
        <w:tc>
          <w:tcPr>
            <w:tcW w:w="8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153,058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 $750,000 revolving credit facility (the “Revolving Credit Facility”), which expires on January 8, 2020. At both January 29, 2016 and July 31, 2015, the Company had $400,000 of outstanding borrowings under the Revolving Credit Facility. At January 29, 2016, the Company had $11,195 of standby letters of credit, which reduce the Company’s borrowing availability under the Revolving Credit Facility (see Note 11 for more information on the Company’s standby letters of credit). At January 29, 2016, the Company had $338,805 in borrowing availability under the Revolving Credit Facility.</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Revolving Credit Facility, outstanding borrowings bear interest, at the Company’s election, either at LIBOR or prime plus a percentage point spread based on certain specified financial ratios under the Revolving Credit Facility. As of January 29, 2016, the Company’s outstanding borrowings were swapped at a weighted average interest rate of 2.96% (see Note 5 for information on the Company’s interest rate swaps).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contains customary financial covenants, which include maintenance of a maximum consolidated total leverage ratio and a minimum consolidated interest coverage ratio. At January 29, 2016, the Company was in compliance with all debt covenants.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 efficient manner, the Company uses derivative instruments, specifically interest rate swaps.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January 29, 2016 was 1.25%. All of the Company’s interest rate swaps are accounted for as cash flow hedges.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interest rate swaps at January 29, 2016 is as follows:</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2"/>
              </w:rPr>
              <w:t>Term</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Fixed</w:t>
            </w:r>
          </w:p>
        </w:tc>
      </w:tr>
      <w:tr>
        <w:trPr>
          <w:trHeight w:val="241"/>
        </w:trPr>
        <w:tc>
          <w:tcPr>
            <w:tcW w:w="29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Trade Date</w:t>
            </w:r>
          </w:p>
        </w:tc>
        <w:tc>
          <w:tcPr>
            <w:tcW w:w="80" w:type="dxa"/>
            <w:vAlign w:val="bottom"/>
          </w:tcPr>
          <w:p>
            <w:pPr>
              <w:spacing w:after="0"/>
              <w:rPr>
                <w:sz w:val="20"/>
                <w:szCs w:val="20"/>
                <w:color w:val="auto"/>
              </w:rPr>
            </w:pPr>
          </w:p>
        </w:tc>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Effective Date</w:t>
            </w:r>
          </w:p>
        </w:tc>
        <w:tc>
          <w:tcPr>
            <w:tcW w:w="14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(in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Notional Amount</w:t>
            </w:r>
          </w:p>
        </w:tc>
        <w:tc>
          <w:tcPr>
            <w:tcW w:w="17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Rate</w:t>
            </w:r>
          </w:p>
        </w:tc>
      </w:tr>
      <w:tr>
        <w:trPr>
          <w:trHeight w:val="216"/>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25, 2011</w:t>
            </w:r>
          </w:p>
        </w:tc>
        <w:tc>
          <w:tcPr>
            <w:tcW w:w="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December 7, 2011</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3, 2013</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18, 2013</w:t>
            </w:r>
          </w:p>
        </w:tc>
        <w:tc>
          <w:tcPr>
            <w:tcW w:w="19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May 3, 2015</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April 8, 2013</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3, 2015</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15, 2013</w:t>
            </w:r>
          </w:p>
        </w:tc>
        <w:tc>
          <w:tcPr>
            <w:tcW w:w="19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May 3, 2015</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April 22, 2013</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3, 2015</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25, 2013</w:t>
            </w:r>
          </w:p>
        </w:tc>
        <w:tc>
          <w:tcPr>
            <w:tcW w:w="19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May 3, 2015</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June 18, 2014</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3, 2015</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24, 2014</w:t>
            </w:r>
          </w:p>
        </w:tc>
        <w:tc>
          <w:tcPr>
            <w:tcW w:w="19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May 3, 2015</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5, 2015</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19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May 3, 2019</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3, 2019</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19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May 4, 2021</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May 3, 2019</w:t>
            </w:r>
          </w:p>
        </w:tc>
        <w:tc>
          <w:tcPr>
            <w:tcW w:w="1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19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May 4, 2021</w:t>
            </w:r>
          </w:p>
        </w:tc>
        <w:tc>
          <w:tcPr>
            <w:tcW w:w="1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notional amount for the interest rate swap entered into on June 18, 2014 increases by $40,000 each May over the four-year term of the interest rate swap beginning in May 2016 until the notional amount reaches $160,000 in May 2018. The notional amounts for the interest rate swaps entered into on June 24, 2014 and July 1, 2014 increase by $30,000 each May over the four-year terms of the interest rate swaps beginning in May 2016 until the notional amounts each reach $120,000 in May 2018.</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8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38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6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76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estimated fair values of the Company’s derivative instruments as of January 29, 2016 and July 31, 2015 were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Note 2)</w:t>
            </w:r>
          </w:p>
        </w:tc>
        <w:tc>
          <w:tcPr>
            <w:tcW w:w="6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Balance Sheet Location</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January 29, 2016</w:t>
            </w:r>
          </w:p>
        </w:tc>
        <w:tc>
          <w:tcPr>
            <w:tcW w:w="10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July 31, 2015</w:t>
            </w:r>
          </w:p>
        </w:tc>
        <w:tc>
          <w:tcPr>
            <w:tcW w:w="0" w:type="dxa"/>
            <w:vAlign w:val="bottom"/>
          </w:tcPr>
          <w:p>
            <w:pPr>
              <w:spacing w:after="0"/>
              <w:rPr>
                <w:sz w:val="1"/>
                <w:szCs w:val="1"/>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23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6240" w:type="dxa"/>
            <w:vAlign w:val="bottom"/>
            <w:tcBorders>
              <w:top w:val="single" w:sz="8" w:color="auto"/>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6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Current interest rate swap liability</w:t>
            </w:r>
          </w:p>
        </w:tc>
        <w:tc>
          <w:tcPr>
            <w:tcW w:w="520" w:type="dxa"/>
            <w:vAlign w:val="bottom"/>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6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assets in the Condensed Consolidated Balance Sheets at January 29, 2016 and July 31,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rPr>
              <w:t>Net Asset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Gross Asset Amounts</w:t>
            </w:r>
          </w:p>
        </w:tc>
        <w:tc>
          <w:tcPr>
            <w:tcW w:w="120" w:type="dxa"/>
            <w:vAlign w:val="bottom"/>
          </w:tcPr>
          <w:p>
            <w:pPr>
              <w:spacing w:after="0"/>
              <w:rPr>
                <w:sz w:val="20"/>
                <w:szCs w:val="20"/>
                <w:color w:val="auto"/>
              </w:rPr>
            </w:pPr>
          </w:p>
        </w:tc>
        <w:tc>
          <w:tcPr>
            <w:tcW w:w="25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Liability Amount Offset</w:t>
            </w:r>
          </w:p>
        </w:tc>
        <w:tc>
          <w:tcPr>
            <w:tcW w:w="120" w:type="dxa"/>
            <w:vAlign w:val="bottom"/>
          </w:tcPr>
          <w:p>
            <w:pPr>
              <w:spacing w:after="0"/>
              <w:rPr>
                <w:sz w:val="20"/>
                <w:szCs w:val="20"/>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 the Balance Sheets</w:t>
            </w: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top w:val="single" w:sz="8" w:color="auto"/>
            </w:tcBorders>
          </w:tcPr>
          <w:p>
            <w:pPr>
              <w:jc w:val="center"/>
              <w:ind w:left="51"/>
              <w:spacing w:after="0" w:line="198" w:lineRule="exact"/>
              <w:rPr>
                <w:sz w:val="20"/>
                <w:szCs w:val="20"/>
                <w:color w:val="auto"/>
              </w:rPr>
            </w:pPr>
            <w:r>
              <w:rPr>
                <w:rFonts w:ascii="Times New Roman" w:cs="Times New Roman" w:eastAsia="Times New Roman" w:hAnsi="Times New Roman"/>
                <w:sz w:val="18"/>
                <w:szCs w:val="18"/>
                <w:color w:val="auto"/>
                <w:w w:val="98"/>
              </w:rPr>
              <w:t>January 29,</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960" w:type="dxa"/>
            <w:vAlign w:val="bottom"/>
            <w:tcBorders>
              <w:top w:val="single" w:sz="8" w:color="auto"/>
            </w:tcBorders>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3"/>
          </w:tcPr>
          <w:p>
            <w:pPr>
              <w:jc w:val="center"/>
              <w:ind w:right="435"/>
              <w:spacing w:after="0" w:line="198" w:lineRule="exact"/>
              <w:rPr>
                <w:sz w:val="20"/>
                <w:szCs w:val="20"/>
                <w:color w:val="auto"/>
              </w:rPr>
            </w:pPr>
            <w:r>
              <w:rPr>
                <w:rFonts w:ascii="Times New Roman" w:cs="Times New Roman" w:eastAsia="Times New Roman" w:hAnsi="Times New Roman"/>
                <w:sz w:val="18"/>
                <w:szCs w:val="18"/>
                <w:color w:val="auto"/>
                <w:w w:val="98"/>
              </w:rPr>
              <w:t>January 29,</w:t>
            </w:r>
          </w:p>
        </w:tc>
        <w:tc>
          <w:tcPr>
            <w:tcW w:w="960" w:type="dxa"/>
            <w:vAlign w:val="bottom"/>
            <w:tcBorders>
              <w:top w:val="single" w:sz="8" w:color="auto"/>
            </w:tcBorders>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100" w:type="dxa"/>
            <w:vAlign w:val="bottom"/>
          </w:tcPr>
          <w:p>
            <w:pPr>
              <w:spacing w:after="0"/>
              <w:rPr>
                <w:sz w:val="17"/>
                <w:szCs w:val="17"/>
                <w:color w:val="auto"/>
              </w:rPr>
            </w:pPr>
          </w:p>
        </w:tc>
      </w:tr>
      <w:tr>
        <w:trPr>
          <w:trHeight w:val="241"/>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liabilities in the Condensed Consolidated Balance Sheets at January 29, 2016 and July 31,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Net Liability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Gross Liability Amounts</w:t>
            </w:r>
          </w:p>
        </w:tc>
        <w:tc>
          <w:tcPr>
            <w:tcW w:w="120" w:type="dxa"/>
            <w:vAlign w:val="bottom"/>
          </w:tcPr>
          <w:p>
            <w:pPr>
              <w:spacing w:after="0"/>
              <w:rPr>
                <w:sz w:val="20"/>
                <w:szCs w:val="20"/>
                <w:color w:val="auto"/>
              </w:rPr>
            </w:pPr>
          </w:p>
        </w:tc>
        <w:tc>
          <w:tcPr>
            <w:tcW w:w="216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Asset Amount Offset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 the Balance Sheets</w:t>
            </w: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January 29,</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left="112"/>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8"/>
              </w:rPr>
              <w:t>January 29,</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100" w:type="dxa"/>
            <w:vAlign w:val="bottom"/>
          </w:tcPr>
          <w:p>
            <w:pPr>
              <w:spacing w:after="0"/>
              <w:rPr>
                <w:sz w:val="17"/>
                <w:szCs w:val="17"/>
                <w:color w:val="auto"/>
              </w:rPr>
            </w:pPr>
          </w:p>
        </w:tc>
      </w:tr>
      <w:tr>
        <w:trPr>
          <w:trHeight w:val="241"/>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12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0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estimated fair value of the Company’s interest rate swap assets and liabilities incorporates the Company’s non-performance risk (see Note 2). The adjustment related to the Company’s non-performance risk at January 29, 2016 and July 31, 2015 resulted in reductions of $901 and $209, respectively, in the fair value of the interest rate swap assets and liabilities. The offset to the interest rate swap assets and liabilities is recorded in accumulated other comprehensive loss (“AOCL”), net of the deferred tax asset, and will be reclassified into earnings over the term of the underlying debt. As of January 29, 2016, the estimated pre-tax portion of AOCL that is expected to be reclassified into earnings over the next twelve months is $3,564. Cash flows related to the interest rate swap are included in interest expense and in operating activities.</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AOCL for the six months ended January 29, 2016 and the year ended July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680" w:type="dxa"/>
            <w:vAlign w:val="bottom"/>
            <w:gridSpan w:val="8"/>
          </w:tcPr>
          <w:p>
            <w:pPr>
              <w:ind w:left="3420"/>
              <w:spacing w:after="0"/>
              <w:rPr>
                <w:sz w:val="20"/>
                <w:szCs w:val="20"/>
                <w:color w:val="auto"/>
              </w:rPr>
            </w:pPr>
            <w:r>
              <w:rPr>
                <w:rFonts w:ascii="Times New Roman" w:cs="Times New Roman" w:eastAsia="Times New Roman" w:hAnsi="Times New Roman"/>
                <w:sz w:val="18"/>
                <w:szCs w:val="18"/>
                <w:color w:val="auto"/>
              </w:rPr>
              <w:t>Amount of Income Recognized in AOCL on</w:t>
            </w:r>
          </w:p>
        </w:tc>
      </w:tr>
      <w:tr>
        <w:trPr>
          <w:trHeight w:val="241"/>
        </w:trPr>
        <w:tc>
          <w:tcPr>
            <w:tcW w:w="4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Derivatives (Effective Portion)</w:t>
            </w:r>
          </w:p>
        </w:tc>
      </w:tr>
      <w:tr>
        <w:trPr>
          <w:trHeight w:val="198"/>
        </w:trPr>
        <w:tc>
          <w:tcPr>
            <w:tcW w:w="47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80" w:type="dxa"/>
            <w:vAlign w:val="bottom"/>
            <w:tcBorders>
              <w:top w:val="single" w:sz="8" w:color="auto"/>
            </w:tcBorders>
            <w:gridSpan w:val="3"/>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Six Months Ended</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5"/>
              </w:rPr>
              <w:t>Year Ended</w:t>
            </w:r>
          </w:p>
        </w:tc>
        <w:tc>
          <w:tcPr>
            <w:tcW w:w="100" w:type="dxa"/>
            <w:vAlign w:val="bottom"/>
          </w:tcPr>
          <w:p>
            <w:pPr>
              <w:spacing w:after="0"/>
              <w:rPr>
                <w:sz w:val="17"/>
                <w:szCs w:val="17"/>
                <w:color w:val="auto"/>
              </w:rPr>
            </w:pPr>
          </w:p>
        </w:tc>
      </w:tr>
      <w:tr>
        <w:trPr>
          <w:trHeight w:val="241"/>
        </w:trPr>
        <w:tc>
          <w:tcPr>
            <w:tcW w:w="47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29, 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July 31, 2015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3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500" w:type="dxa"/>
            <w:vAlign w:val="bottom"/>
            <w:gridSpan w:val="2"/>
            <w:shd w:val="clear" w:color="auto" w:fill="CCEEFF"/>
          </w:tcPr>
          <w:p>
            <w:pPr>
              <w:ind w:left="342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9,930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income for the quarters and six-month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2016 and January 30,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Reclassified from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13"/>
          </w:tcPr>
          <w:p>
            <w:pPr>
              <w:jc w:val="center"/>
              <w:ind w:right="240"/>
              <w:spacing w:after="0"/>
              <w:rPr>
                <w:sz w:val="20"/>
                <w:szCs w:val="20"/>
                <w:color w:val="auto"/>
              </w:rPr>
            </w:pPr>
            <w:r>
              <w:rPr>
                <w:rFonts w:ascii="Times New Roman" w:cs="Times New Roman" w:eastAsia="Times New Roman" w:hAnsi="Times New Roman"/>
                <w:sz w:val="18"/>
                <w:szCs w:val="18"/>
                <w:color w:val="auto"/>
              </w:rPr>
              <w:t>Amount of Loss Reclassified from AOCL into Income</w:t>
            </w:r>
          </w:p>
        </w:tc>
      </w:tr>
      <w:tr>
        <w:trPr>
          <w:trHeight w:val="241"/>
        </w:trPr>
        <w:tc>
          <w:tcPr>
            <w:tcW w:w="29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(Effective Portion)</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8"/>
              </w:rPr>
              <w:t>(Effective Portion)</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19"/>
                <w:szCs w:val="19"/>
                <w:color w:val="auto"/>
              </w:rPr>
            </w:pPr>
          </w:p>
        </w:tc>
        <w:tc>
          <w:tcPr>
            <w:tcW w:w="238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19"/>
                <w:szCs w:val="19"/>
                <w:color w:val="auto"/>
              </w:rPr>
            </w:pPr>
          </w:p>
        </w:tc>
      </w:tr>
      <w:tr>
        <w:trPr>
          <w:trHeight w:val="198"/>
        </w:trPr>
        <w:tc>
          <w:tcPr>
            <w:tcW w:w="2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8"/>
              </w:rPr>
              <w:t>January 29,</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January 29,</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00" w:type="dxa"/>
            <w:vAlign w:val="bottom"/>
          </w:tcPr>
          <w:p>
            <w:pPr>
              <w:spacing w:after="0"/>
              <w:rPr>
                <w:sz w:val="17"/>
                <w:szCs w:val="17"/>
                <w:color w:val="auto"/>
              </w:rPr>
            </w:pPr>
          </w:p>
        </w:tc>
      </w:tr>
      <w:tr>
        <w:trPr>
          <w:trHeight w:val="241"/>
        </w:trPr>
        <w:tc>
          <w:tcPr>
            <w:tcW w:w="2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1,444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4,016</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portion of the fair value of the swaps determined to be ineffective will be recognized currently in earnings. No ineffectiveness has been recorded in the six-month periods ended January 29, 2016 and January 30, 2015.</w:t>
      </w:r>
    </w:p>
    <w:p>
      <w:pPr>
        <w:sectPr>
          <w:pgSz w:w="11900" w:h="16838" w:orient="portrait"/>
          <w:cols w:equalWidth="0" w:num="1">
            <w:col w:w="11420"/>
          </w:cols>
          <w:pgMar w:left="240" w:top="114"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January 29, 2016, the Company issued 63,493 shares of its common stock resulting from the vesting of share-based compensation awards and stock option exercises. Related tax withholding payments on these share-based compensation awards exceeded proceeds received from the exercise of stock options, which resulted in a net reduction to shareholders’ equity of $5,343.</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January 29, 2016, the Company repurchased 100,000 shares of its common stock in the open market at an aggregate cost of $14,653.</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January 29, 2016, total share-based compensation expense was $4,955. The excess tax benefit realized upon exercise of share-based compensation awards was $1,948.</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January 29, 2016, the Company paid regular dividends of $2.20 per share of its common stock and a special dividend of $3.00 per share of its common stock and declared a regular dividend of $1.10 per share of its common stock that was paid on February 5, 2016 to shareholders of record on January 15, 2016.</w:t>
      </w:r>
    </w:p>
    <w:p>
      <w:pPr>
        <w:spacing w:after="0" w:line="20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AOCL, net of tax, related to the Company’s interest rate swaps for the six months ended January 29, 2016 (see Notes 2 and 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AOCL</w:t>
            </w:r>
          </w:p>
        </w:tc>
      </w:tr>
      <w:tr>
        <w:trPr>
          <w:trHeight w:val="223"/>
        </w:trPr>
        <w:tc>
          <w:tcPr>
            <w:tcW w:w="20" w:type="dxa"/>
            <w:vAlign w:val="bottom"/>
          </w:tcPr>
          <w:p>
            <w:pPr>
              <w:spacing w:after="0"/>
              <w:rPr>
                <w:sz w:val="19"/>
                <w:szCs w:val="19"/>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balance at July 31, 2015</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7"/>
              </w:rPr>
              <w:t>(3,725)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48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(4,365)</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(1,785)</w:t>
            </w:r>
          </w:p>
        </w:tc>
      </w:tr>
      <w:tr>
        <w:trPr>
          <w:trHeight w:val="27"/>
        </w:trPr>
        <w:tc>
          <w:tcPr>
            <w:tcW w:w="20" w:type="dxa"/>
            <w:vAlign w:val="bottom"/>
          </w:tcPr>
          <w:p>
            <w:pPr>
              <w:spacing w:after="0"/>
              <w:rPr>
                <w:sz w:val="2"/>
                <w:szCs w:val="2"/>
                <w:color w:val="auto"/>
              </w:rPr>
            </w:pPr>
          </w:p>
        </w:tc>
        <w:tc>
          <w:tcPr>
            <w:tcW w:w="99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480" w:type="dxa"/>
            <w:vAlign w:val="bottom"/>
          </w:tcPr>
          <w:p>
            <w:pPr>
              <w:spacing w:after="0"/>
              <w:rPr>
                <w:sz w:val="19"/>
                <w:szCs w:val="19"/>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(6,150)</w:t>
            </w:r>
          </w:p>
        </w:tc>
      </w:tr>
      <w:tr>
        <w:trPr>
          <w:trHeight w:val="257"/>
        </w:trPr>
        <w:tc>
          <w:tcPr>
            <w:tcW w:w="20" w:type="dxa"/>
            <w:vAlign w:val="bottom"/>
          </w:tcPr>
          <w:p>
            <w:pPr>
              <w:spacing w:after="0"/>
              <w:rPr>
                <w:sz w:val="22"/>
                <w:szCs w:val="22"/>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balance at January 29, 2016</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7"/>
              </w:rPr>
              <w:t>(9,875)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reclassified out of AOCL related to the Company’s interest rate swaps for the quarter and six months ended January 29,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w w:val="99"/>
              </w:rPr>
              <w:t>Amount Reclassified from AOCL</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Affected Line Item in the</w:t>
            </w:r>
          </w:p>
        </w:tc>
      </w:tr>
      <w:tr>
        <w:trPr>
          <w:trHeight w:val="198"/>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Condensed Consolidated</w:t>
            </w:r>
          </w:p>
        </w:tc>
      </w:tr>
      <w:tr>
        <w:trPr>
          <w:trHeight w:val="241"/>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Quarter Ended</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Six Months Ended</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41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Loss on cash flow hedges: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r>
      <w:tr>
        <w:trPr>
          <w:trHeight w:val="216"/>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(2,891)</w:t>
            </w: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benefit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1,106</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57"/>
        </w:trPr>
        <w:tc>
          <w:tcPr>
            <w:tcW w:w="4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r>
    </w:tbl>
    <w:p>
      <w:pPr>
        <w:spacing w:after="0" w:line="22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8"/>
        </w:trPr>
        <w:tc>
          <w:tcPr>
            <w:tcW w:w="3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00" w:type="dxa"/>
            <w:vAlign w:val="bottom"/>
          </w:tcPr>
          <w:p>
            <w:pPr>
              <w:spacing w:after="0"/>
              <w:rPr>
                <w:sz w:val="17"/>
                <w:szCs w:val="17"/>
                <w:color w:val="auto"/>
              </w:rPr>
            </w:pPr>
          </w:p>
        </w:tc>
      </w:tr>
      <w:tr>
        <w:trPr>
          <w:trHeight w:val="241"/>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580,918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577,558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1,143,197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1,124,265</w:t>
            </w:r>
          </w:p>
        </w:tc>
      </w:tr>
      <w:tr>
        <w:trPr>
          <w:trHeight w:val="22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178,408</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315,129</w:t>
            </w:r>
          </w:p>
        </w:tc>
      </w:tr>
      <w:tr>
        <w:trPr>
          <w:trHeight w:val="257"/>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764,002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755,966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1,466,631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is recorded in general and administrative expenses in the accompanying Condensed Consolidated Statements of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was comprised of the following for the specified periods: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market stock units (“MSU Grants”)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outstanding stock options, nonvested stock awards and MSU Grants issued by the Company represent the only dilutive effects on diluted consolidated net income per share.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numerator</w:t>
            </w: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denominator: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shares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23,937,812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23,914,797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23,947,183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23,888,496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potential dilution: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options, nonvested stock awards and MSU Grants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117,592</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112,864</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128,417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24,047,042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24,032,389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24,060,047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24,016,913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Related to its workers’ compensation insurance coverage, the Company is contingently liable pursuant to standby letters of credit as credit guarantees to certain insurers. As of January 29, 2016, the Company had $11,195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January 29, 2016, the Company is secondarily liable for lease payments associated with one property. The Company is not aware of any non-performance under this lease arrangement that would result in the Company having to perform in accordance with the terms of this guarantee; and therefore, no provision has been recorded in the Condensed Consolidated Balance Sheets for amounts to be paid in case of non-performance by the primary obligor under such lease arrangement.</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so that no liability has been recorded in the Condensed Consolidated Balance Sheet as of January 29, 2016.</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Cracker Barrel Old Country Store, Inc. and its subsidiaries (collectively, the “Company,” “our” or “we”) are principally engaged in the operation and development in the United States of the Cracker Barrel Old Country StoreÒ (“Cracker Barrel”) concept. At January 29, 2016, we operated 635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July 31, 2015 (the “2015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2015 Form 10-K, which is incorporated herein by this reference, as well as the factors described under “Critical Accounting Estimates” on pages 23-27 of this report or, from time to time, in our filings with the Securities and Exchange Commission (“SEC”), press releases and other communications.</w:t>
      </w:r>
    </w:p>
    <w:p>
      <w:pPr>
        <w:spacing w:after="0" w:line="21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Cracker Barrel brand remains one of the strongest and most differentiated brands in the restaurant industry, and we plan to continue to leverage that strength in 2016 to grow guest sales and profits. Our long-term strategy includes the following:</w:t>
      </w:r>
    </w:p>
    <w:p>
      <w:pPr>
        <w:spacing w:after="0" w:line="189"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core business by increasing our brand’s relevance to customers in order to drive guest traffic and sales in both restaurant and retail, implementing geographic pricing tiers to optimize average check and re-engineering store processes to increase operating margin;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footprint through continued use of our proven site selection tools, introducing a new and more efficient building and equipment prototype and continuing our selective entry into new markets;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brand by building on the initial success of our licensing business, leveraging our brand strengths into a new fast casual concept and growing our retail business into an omni-channel business.</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four priorities for 2016 are to: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traffic and sales through advertising, menu strategies and targeted marketing programs;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technology and process improvements to enhance the overall guest experience;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cost savings initiatives to further drive store operating margins;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long-term growth through new unit expansion and the development of a fast casual concept.</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be focused on initiatives designed to increase operating margin and improve both the employee and guest experience.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our operating results by percentage relationships to total revenue for the quarter and six-month period ended January 29, 2016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2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color w:val="auto"/>
              </w:rPr>
              <w:t>Quarter Ended</w:t>
            </w:r>
          </w:p>
        </w:tc>
        <w:tc>
          <w:tcPr>
            <w:tcW w:w="27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8"/>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12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14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(exclusive of depreciation and rent)</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34.7</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1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591"/>
        </w:trPr>
        <w:tc>
          <w:tcPr>
            <w:tcW w:w="20" w:type="dxa"/>
            <w:vAlign w:val="bottom"/>
          </w:tcPr>
          <w:p>
            <w:pPr>
              <w:spacing w:after="0"/>
              <w:rPr>
                <w:sz w:val="24"/>
                <w:szCs w:val="24"/>
                <w:color w:val="auto"/>
              </w:rPr>
            </w:pPr>
          </w:p>
        </w:tc>
        <w:tc>
          <w:tcPr>
            <w:tcW w:w="478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4"/>
                <w:szCs w:val="14"/>
                <w:color w:val="auto"/>
              </w:rPr>
              <w:t>16</w:t>
            </w: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stores in operation at the beginning and end of the quarters and six month periods ended January 29, 2016 and January 31, 2015, respectively:</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Quarter Ended</w:t>
            </w:r>
          </w:p>
        </w:tc>
        <w:tc>
          <w:tcPr>
            <w:tcW w:w="26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360" w:type="dxa"/>
            <w:vAlign w:val="bottom"/>
            <w:tcBorders>
              <w:top w:val="single" w:sz="8" w:color="auto"/>
            </w:tcBorders>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14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January 29,</w:t>
            </w:r>
          </w:p>
        </w:tc>
        <w:tc>
          <w:tcPr>
            <w:tcW w:w="116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at beginning of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Opened during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 during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Open at end of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for the second quarter and first six months of 2016 increased 1.1% and 1.9%, respectively, compared to the same periods in the prior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34" w:lineRule="exact"/>
        <w:rPr>
          <w:sz w:val="20"/>
          <w:szCs w:val="20"/>
          <w:color w:val="auto"/>
        </w:rPr>
      </w:pPr>
    </w:p>
    <w:p>
      <w:pPr>
        <w:jc w:val="both"/>
        <w:ind w:firstLine="661"/>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key components of revenue for the quarter and six-month period ended January 29, 2016 as compared to the quarter and six-month period ended January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5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in dollars: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577,558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1,143,197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1,124,265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323,434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315,129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764,002</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755,966</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1,466,631</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1,439,394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by percentage relationships: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Average unit volumes</w:t>
            </w:r>
            <w:r>
              <w:rPr>
                <w:rFonts w:ascii="Times New Roman" w:cs="Times New Roman" w:eastAsia="Times New Roman" w:hAnsi="Times New Roman"/>
                <w:sz w:val="25"/>
                <w:szCs w:val="25"/>
                <w:color w:val="auto"/>
                <w:vertAlign w:val="superscript"/>
              </w:rPr>
              <w:t>(1):</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1,798.0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2,306.7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sales increase: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Restaurant and retail</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Average unit volumes include sales of all stores.</w:t>
      </w:r>
    </w:p>
    <w:p>
      <w:pPr>
        <w:spacing w:after="0" w:line="1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second quarter of 2016, our comparable store restaurant sales increase consisted of a 3.4% average check increase (including a 2.9% average menu price increase) partially offset by a 2.8% guest traffic decrease. For the second quarter of 2016, our comparable store retail sales increase resulted primarily from strong performance in apparel and accessories merchandise and kitchen and dining merchandise categories. We believe that severe winter weather had a negative impact on comparable store traffic and restaurant and retail sales of approximately 0.6 percentage points for the second quarter of 2016.</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first six months of 2016, our comparable store restaurant sales increase consisted of a 3.2% average check increase (including a 2.8% average menu price increase) partially offset by a 1.7% guest traffic decrease. For the first six months of 2016, our comparable store retail sales increase resulted primarily from strong performance in apparel and accessories merchandise and food and convenience merchandise categories.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Restaurant and retail sales from newly opened stores accounted for the balance of the total revenue increases in the second quarter and first six months of 2016 as compared to the same periods in the prior year.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components of cost of goods sold (exclusive of depreciation and rent) in dollar amounts and as percentages of revenues for the second quarter and first six months of 2016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58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198"/>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January 29,</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January 30,</w:t>
            </w:r>
          </w:p>
        </w:tc>
        <w:tc>
          <w:tcPr>
            <w:tcW w:w="160" w:type="dxa"/>
            <w:vAlign w:val="bottom"/>
          </w:tcPr>
          <w:p>
            <w:pPr>
              <w:spacing w:after="0"/>
              <w:rPr>
                <w:sz w:val="17"/>
                <w:szCs w:val="17"/>
                <w:color w:val="auto"/>
              </w:rPr>
            </w:pPr>
          </w:p>
        </w:tc>
      </w:tr>
      <w:tr>
        <w:trPr>
          <w:trHeight w:val="241"/>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 dollars: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164,776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319,566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317,160</w:t>
            </w:r>
          </w:p>
        </w:tc>
      </w:tr>
      <w:tr>
        <w:trPr>
          <w:trHeight w:val="22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98,413</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168,339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167,290</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264,932</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262,155</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484,450</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by percentage of revenue: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r>
      <w:tr>
        <w:trPr>
          <w:trHeight w:val="21"/>
        </w:trPr>
        <w:tc>
          <w:tcPr>
            <w:tcW w:w="5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Restaurant cost of goods sold as a percentage of restaurant revenue remained flat in the second quarter of 2016 as compared to the same period in the prior year. Our menu price increase in the second quarter of 2016 referenced above was partially offset by commodity inflation and higher food waste. Commodity inflation was 1.7% in the second quarter of 2016. Higher food waste accounted for an increase of 0.4% in restaurant cost of goods sold as a percentage of restaurant revenue for the second quarter of 2016 as compared to the same period in the prior year.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decrease in restaurant cost of goods sold as a percentage of restaurant revenue in the first six months of 2016 as compared to the same period in the prior year was due to our menu price increase for the first six months of 2016 referenced above offset by commodity inflation and higher food waste. Commodity inflation was 1.1% in the first six months of 2016. Higher food waste accounted for an increase of 0.2% in restaurant cost of goods sold as a percentage of restaurant revenue for the first six months of 2016 as compared to the same period in the prior year.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presently expect the rate of commodity inflation to be approximately 1.0% for 2016.</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retail cost of goods sold as a percentage of retail revenue in the second quarter of 2016 as compared to the prior year quarter resulted from higher initial margin partially offset by higher markdowns.</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Second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(Decrease) Increase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Percentage of Retail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Higher initial margin</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Markdowns</w:t>
            </w: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retail cost of goods sold as a percentage of retail revenue in the first six months of 2016 as compared to the same period in the prior year resulted primarily from higher initial margin and lower markdowns.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6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First Six Months</w:t>
            </w:r>
          </w:p>
        </w:tc>
      </w:tr>
      <w:tr>
        <w:trPr>
          <w:trHeight w:val="216"/>
        </w:trPr>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520" w:type="dxa"/>
            <w:vAlign w:val="bottom"/>
            <w:gridSpan w:val="4"/>
          </w:tcPr>
          <w:p>
            <w:pPr>
              <w:jc w:val="center"/>
              <w:ind w:left="4056"/>
              <w:spacing w:after="0"/>
              <w:rPr>
                <w:sz w:val="20"/>
                <w:szCs w:val="20"/>
                <w:color w:val="auto"/>
              </w:rPr>
            </w:pPr>
            <w:r>
              <w:rPr>
                <w:rFonts w:ascii="Times New Roman" w:cs="Times New Roman" w:eastAsia="Times New Roman" w:hAnsi="Times New Roman"/>
                <w:sz w:val="18"/>
                <w:szCs w:val="18"/>
                <w:color w:val="auto"/>
              </w:rPr>
              <w:t>(Decrease) as a Percentage</w:t>
            </w:r>
          </w:p>
        </w:tc>
      </w:tr>
      <w:tr>
        <w:trPr>
          <w:trHeight w:val="241"/>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Retail Revenue</w:t>
            </w:r>
          </w:p>
        </w:tc>
        <w:tc>
          <w:tcPr>
            <w:tcW w:w="720" w:type="dxa"/>
            <w:vAlign w:val="bottom"/>
            <w:gridSpan w:val="2"/>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Higher initial margin</w:t>
            </w:r>
          </w:p>
        </w:tc>
        <w:tc>
          <w:tcPr>
            <w:tcW w:w="48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5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Markdowns</w:t>
            </w:r>
          </w:p>
        </w:tc>
        <w:tc>
          <w:tcPr>
            <w:tcW w:w="7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Pr>
          <w:p>
            <w:pPr>
              <w:spacing w:after="0"/>
              <w:rPr>
                <w:sz w:val="20"/>
                <w:szCs w:val="20"/>
                <w:color w:val="auto"/>
              </w:rPr>
            </w:pPr>
          </w:p>
        </w:tc>
      </w:tr>
      <w:tr>
        <w:trPr>
          <w:trHeight w:val="579"/>
        </w:trPr>
        <w:tc>
          <w:tcPr>
            <w:tcW w:w="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60" w:type="dxa"/>
            <w:vAlign w:val="bottom"/>
          </w:tcPr>
          <w:p>
            <w:pPr>
              <w:jc w:val="right"/>
              <w:ind w:right="2896"/>
              <w:spacing w:after="0"/>
              <w:rPr>
                <w:sz w:val="20"/>
                <w:szCs w:val="20"/>
                <w:color w:val="auto"/>
              </w:rPr>
            </w:pPr>
            <w:r>
              <w:rPr>
                <w:rFonts w:ascii="Times New Roman" w:cs="Times New Roman" w:eastAsia="Times New Roman" w:hAnsi="Times New Roman"/>
                <w:sz w:val="14"/>
                <w:szCs w:val="14"/>
                <w:color w:val="auto"/>
              </w:rPr>
              <w:t>18</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4"/>
        </w:trPr>
        <w:tc>
          <w:tcPr>
            <w:tcW w:w="66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Related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Labor and related expenses include all direct and indirect labor and related costs incurred in store operations. Labor and related expenses as a percentage of total revenue decreased to 33.0% in the second quarter of 2016 as compared to 33.3% in the second quarter of 2015. This percentage change resulted primarily from the following:</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Second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(Decrease) Increase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140" w:type="dxa"/>
            <w:vAlign w:val="bottom"/>
            <w:gridSpan w:val="3"/>
          </w:tcPr>
          <w:p>
            <w:pPr>
              <w:jc w:val="center"/>
              <w:ind w:left="2550"/>
              <w:spacing w:after="0"/>
              <w:rPr>
                <w:sz w:val="20"/>
                <w:szCs w:val="20"/>
                <w:color w:val="auto"/>
              </w:rPr>
            </w:pPr>
            <w:r>
              <w:rPr>
                <w:rFonts w:ascii="Times New Roman" w:cs="Times New Roman" w:eastAsia="Times New Roman" w:hAnsi="Times New Roman"/>
                <w:sz w:val="18"/>
                <w:szCs w:val="18"/>
                <w:color w:val="auto"/>
                <w:w w:val="98"/>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bonus expense</w:t>
            </w:r>
          </w:p>
        </w:tc>
        <w:tc>
          <w:tcPr>
            <w:tcW w:w="28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Employee health care expenses</w:t>
            </w:r>
          </w:p>
        </w:tc>
        <w:tc>
          <w:tcPr>
            <w:tcW w:w="5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Lower store bonus expense as a percentage of total revenue for the second quarter of 2016 as compared to the same period in the prior year resulted from lower performance against financial objectives in 2016 as compared to the prior year.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our employee health care expenses as a percentage of total revenue for the second quarter as compared to the same period in the prior year was primarily due to the non-recurrence of retroactive premium credits from our calendar year 2014 fully-insured plans partially offset by lower costs associated with our transition to self-insured plans in calendar year 2015.</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Labor and related expenses as a percentage of total revenue decreased to 33.8% in the first six months of 2016 as compared to 34.3% in the same period in the prior year. This percentage change resulted from the following:</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First Six Months</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480" w:type="dxa"/>
            <w:vAlign w:val="bottom"/>
            <w:gridSpan w:val="3"/>
          </w:tcPr>
          <w:p>
            <w:pPr>
              <w:jc w:val="center"/>
              <w:ind w:left="3010"/>
              <w:spacing w:after="0"/>
              <w:rPr>
                <w:sz w:val="20"/>
                <w:szCs w:val="20"/>
                <w:color w:val="auto"/>
              </w:rPr>
            </w:pPr>
            <w:r>
              <w:rPr>
                <w:rFonts w:ascii="Times New Roman" w:cs="Times New Roman" w:eastAsia="Times New Roman" w:hAnsi="Times New Roman"/>
                <w:sz w:val="18"/>
                <w:szCs w:val="18"/>
                <w:color w:val="auto"/>
              </w:rPr>
              <w:t>(Decrease) as a Percentage</w:t>
            </w:r>
          </w:p>
        </w:tc>
      </w:t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bonus expense</w:t>
            </w:r>
          </w:p>
        </w:tc>
        <w:tc>
          <w:tcPr>
            <w:tcW w:w="33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Store hourly labor</w:t>
            </w:r>
          </w:p>
        </w:tc>
        <w:tc>
          <w:tcPr>
            <w:tcW w:w="5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 expense</w:t>
            </w:r>
          </w:p>
        </w:tc>
        <w:tc>
          <w:tcPr>
            <w:tcW w:w="5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Lower store bonus expense as a percentage of total revenue for the first six months of 2016 as compared to the same period in the prior year resulted from lower performance against financial objectives in 2016 as compared to the prior year.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store hourly labor costs as a percentage of total revenue for the first six months of 2016 as compared to the same period in the prior year resulted from menu price increases being higher than wage inflation.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payroll tax expense as a percentage of total revenue for the first six months of 2016 as compared to the same period in the prior year resulted primarily from lower unemployment tax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Store Operating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bi-annual manager conference and training event.</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store operating expenses as a percentage of total revenue increased to 18.4% in the second quarter of 2016 as compared to 17.7% in the second quarter of 2015. This percentage change resulted primarily from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Second Quarter</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 (Decrease) as a</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000" w:type="dxa"/>
            <w:vAlign w:val="bottom"/>
            <w:gridSpan w:val="3"/>
          </w:tcPr>
          <w:p>
            <w:pPr>
              <w:jc w:val="center"/>
              <w:ind w:left="4414"/>
              <w:spacing w:after="0"/>
              <w:rPr>
                <w:sz w:val="20"/>
                <w:szCs w:val="20"/>
                <w:color w:val="auto"/>
              </w:rPr>
            </w:pPr>
            <w:r>
              <w:rPr>
                <w:rFonts w:ascii="Times New Roman" w:cs="Times New Roman" w:eastAsia="Times New Roman" w:hAnsi="Times New Roman"/>
                <w:sz w:val="18"/>
                <w:szCs w:val="18"/>
                <w:color w:val="auto"/>
                <w:w w:val="98"/>
              </w:rPr>
              <w:t>Percentage of Total Revenue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expense</w:t>
            </w:r>
          </w:p>
        </w:tc>
        <w:tc>
          <w:tcPr>
            <w:tcW w:w="4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w:t>
            </w:r>
          </w:p>
        </w:tc>
        <w:tc>
          <w:tcPr>
            <w:tcW w:w="7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expense</w:t>
            </w:r>
          </w:p>
        </w:tc>
        <w:tc>
          <w:tcPr>
            <w:tcW w:w="7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8"/>
        </w:trPr>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720" w:type="dxa"/>
            <w:vAlign w:val="bottom"/>
          </w:tcPr>
          <w:p>
            <w:pPr>
              <w:jc w:val="right"/>
              <w:ind w:right="2774"/>
              <w:spacing w:after="0"/>
              <w:rPr>
                <w:sz w:val="20"/>
                <w:szCs w:val="20"/>
                <w:color w:val="auto"/>
              </w:rPr>
            </w:pPr>
            <w:r>
              <w:rPr>
                <w:rFonts w:ascii="Times New Roman" w:cs="Times New Roman" w:eastAsia="Times New Roman" w:hAnsi="Times New Roman"/>
                <w:sz w:val="14"/>
                <w:szCs w:val="14"/>
                <w:color w:val="auto"/>
              </w:rPr>
              <w:t>19</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store operating expenses as a percentage of total revenue increased to 18.9% in the first six months of 2016 as compared to 18.3% in the same period in the prior year. This percentage change resulted primarily from the following:</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First 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 (Decrease)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18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w w:val="98"/>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expense</w:t>
            </w:r>
          </w:p>
        </w:tc>
        <w:tc>
          <w:tcPr>
            <w:tcW w:w="19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w:t>
            </w:r>
          </w:p>
        </w:tc>
        <w:tc>
          <w:tcPr>
            <w:tcW w:w="4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Bi-annual manager conference and training event expense</w:t>
            </w:r>
          </w:p>
        </w:tc>
        <w:tc>
          <w:tcPr>
            <w:tcW w:w="4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Utilities expense</w:t>
            </w:r>
          </w:p>
        </w:tc>
        <w:tc>
          <w:tcPr>
            <w:tcW w:w="4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increases in maintenance expense as a percentage of total revenue for the second quarter and the first six months of 2016 resulted primarily from expenses associated with the preventive maintenance and related repair of certain building components and kitchen equipment.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increases in advertising expense as a percentage of total revenue for the second quarter and the first six months of 2016 resulted primarily from an increased investment in local marketing and the timing of new television spots which is consistent with our previously announced intent to increase our advertising spend in 2016.</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first quarter of 2016, we held a bi-annual manager conference and training event which was attended by our store operations management team. We did not hold a manager’s conference and training event in 2015 and we expect to hold our next conference and training event in the first quarter of 2018.</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decrease in utilities expense as a percentage of total revenue for the second quarter of 2016 as compared to the same period in the prior year resulted primarily from lower natural gas prices and usage. The decrease in utilities expense as a percentage of total revenue for the first six months of 2016 as compared to the same period in the prior year resulted primarily from lower electricity costs and lower natural gas prices and usage. Lower electricity costs for the first six month of 2016 as compared to the same period in the prior year resulted primarily from our LED lighting installation initiative.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as a percentage of total revenue decreased to 4.7% in the second quarter of 2016 as compared to 4.9% in the same period in the prior year. This percentage change resulted primarily from the following:</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Second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(Decrease) Increase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100" w:type="dxa"/>
            <w:vAlign w:val="bottom"/>
            <w:gridSpan w:val="3"/>
          </w:tcPr>
          <w:p>
            <w:pPr>
              <w:jc w:val="center"/>
              <w:ind w:left="2510"/>
              <w:spacing w:after="0"/>
              <w:rPr>
                <w:sz w:val="20"/>
                <w:szCs w:val="20"/>
                <w:color w:val="auto"/>
              </w:rPr>
            </w:pPr>
            <w:r>
              <w:rPr>
                <w:rFonts w:ascii="Times New Roman" w:cs="Times New Roman" w:eastAsia="Times New Roman" w:hAnsi="Times New Roman"/>
                <w:sz w:val="18"/>
                <w:szCs w:val="18"/>
                <w:color w:val="auto"/>
                <w:w w:val="98"/>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compensation expense</w:t>
            </w:r>
          </w:p>
        </w:tc>
        <w:tc>
          <w:tcPr>
            <w:tcW w:w="28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5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5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5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expenses</w:t>
            </w:r>
          </w:p>
        </w:tc>
        <w:tc>
          <w:tcPr>
            <w:tcW w:w="5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as a percentage of total revenue decreased to 4.7% in the first six months of 2016 as compared to 4.9% in the same period in the prior year. This percentage change resulted primarily from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First Six Months</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(Decrease) Increase as a</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600" w:type="dxa"/>
            <w:vAlign w:val="bottom"/>
            <w:gridSpan w:val="3"/>
          </w:tcPr>
          <w:p>
            <w:pPr>
              <w:jc w:val="center"/>
              <w:ind w:left="4016"/>
              <w:spacing w:after="0"/>
              <w:rPr>
                <w:sz w:val="20"/>
                <w:szCs w:val="20"/>
                <w:color w:val="auto"/>
              </w:rPr>
            </w:pPr>
            <w:r>
              <w:rPr>
                <w:rFonts w:ascii="Times New Roman" w:cs="Times New Roman" w:eastAsia="Times New Roman" w:hAnsi="Times New Roman"/>
                <w:sz w:val="18"/>
                <w:szCs w:val="18"/>
                <w:color w:val="auto"/>
                <w:w w:val="98"/>
              </w:rPr>
              <w:t>Percentage of Total Revenue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compensation expense</w:t>
            </w:r>
          </w:p>
        </w:tc>
        <w:tc>
          <w:tcPr>
            <w:tcW w:w="43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6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320" w:type="dxa"/>
            <w:vAlign w:val="bottom"/>
          </w:tcPr>
          <w:p>
            <w:pPr>
              <w:jc w:val="right"/>
              <w:ind w:right="2776"/>
              <w:spacing w:after="0"/>
              <w:rPr>
                <w:sz w:val="20"/>
                <w:szCs w:val="20"/>
                <w:color w:val="auto"/>
              </w:rPr>
            </w:pPr>
            <w:r>
              <w:rPr>
                <w:rFonts w:ascii="Times New Roman" w:cs="Times New Roman" w:eastAsia="Times New Roman" w:hAnsi="Times New Roman"/>
                <w:sz w:val="14"/>
                <w:szCs w:val="14"/>
                <w:color w:val="auto"/>
              </w:rPr>
              <w:t>20</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Lower incentive compensation in the second quarter and first six months of 2016 as compared to the same periods in the prior year resulted primarily from lower performance against financial objectives as compared to the prior year and a decrease in the price of our common stock in 2016. Lower incentive compensation in the second quarter of 2016 as compared to the same period in the prior year was partially offset by higher payroll expenses.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an accrual of $2,150 in the second quarter of 2015, for a total of $2,750 for the first six months of 2015, related to a litigation matter.</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increase in professional fees as a percentage of total revenue for the second quarter of 2016 as compared to the same period in the prior year resulted primarily from development costs associated with our previously announced fast casual concept.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maintenance expenses as a percentage of total revenue for the second quarter of 2016 as compared to the same period in the prior year was due to corporate expenses associated with preventative maintenance and related repairs.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for the second quarter of 2016 was $3,569 as compared to $4,684 in the second quarter of 2015. Interest expense for the first six months of 2016 was $7,113 as compared to $9,108 in the same period in the prior year. Both decreases resulted primarily from lower weighted average interest rates and the non-recurrence of a $412 write-off of deferred financing costs related to our debt refinancing in the prior year. The lower weighted average interest rates were due to a reduction in our credit spread by 0.25% as a result of our debt refinancing and the expiration of certain interest rate swaps and the effectiveness of lower-cost swaps that had been entered into previously.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Provision for income taxes as a percentage of income before income taxes (the “effective tax rate”) was 27.9% and 29.1% in the second quarters of 2016 and 2015, respectively. The effective tax rate was 30.8% and 30.9% in the first six months of 2016 and 2015, respectively. The decreases in the effective tax rate from the second quarter and first six months of 2015 to the second quarter and first six months of 2016 resulted primarily from the impact of the retroactive reinstatement of the Work Opportunity Tax Credit (“WOTC”) through December 31, 2019. As a result, in the second quarter of 2016, we recorded a tax benefit for WOTC of $4,592. Of this amount, $334 related to credits for hiring periods prior to January 1, 2015, $2,292 related to credits for the period from January 1, 2015 through July 31, 2015, and $1,966 related to credits for 2016. In the second quarter of 2015, we recorded a tax benefit for WOTC of $3,504. Of this amount, $387 related to credits for hiring periods prior to January 1, 2014, $2,319 related to credits for the period from January 1, 2014 through August 1, 2014, and $798 related to credits for 2015.</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presently expect our effective tax rate for 2016 to be between 30.0% and 31.0%.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operations and our borrowing capacity under our $750,000 revolving credit facility (the “Revolving Credit Facility”). Our internally generated cash, along with cash on hand at July 31, 2015, was sufficient to finance all of our growth, dividend payments, share repurchases, working capital needs and other cash payment obligations in the first six months of 2016.</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cash on hand at January 29, 2016, along with cash generated from our operating activities and the borrowing capacity under our Revolving Credit Facility will be sufficient to finance our continuing operations, expected dividend payments and our continuing expansion plans for at least the next twelve months.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Generated From Operations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activities provided net cash of $85,613 for the first six months of 2016, which represented a decrease from the $153,066 net cash provided during the first six months of 2015. This decrease primarily reflected the timing of payments for accounts payable and income taxes, higher retail inventory and higher bonus payments made in 2016 as a result of the prior year’s performance. Higher retail inventory resulted primarily from the timing of receipts.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January 29, 2016, we had $400,000 of outstanding borrowings under the Revolving Credit Facility and we had $11,195 of standby letters of credit related to securing reserved claims under our workers’ compensation insurance which reduce our borrowing availability under the Revolving Credit Facility. At January 29, 2016, we had $338,805 in borrowing availability under our Revolving Credit Facility. See Note 4 to our Condensed Consolidated Financial Statements for further information on our long-term debt.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Capital expenditures (purchase of property and equipment) net of proceeds from insurance recoveries were $36,797 for the first six months of 2016 as compared to $37,647 for the same period in the prior year. Our capital expenditures consisted primarily of capital expenditures for maintenance programs and costs of new store locations. We estimate that our capital expenditures during 2016 will be between $90,000 to $100,000. This estimate includes the acquisition of sites and construction costs of five or six new stores that are expected to open during 2016, as well as for acquisition and construction costs for store locations to be opened in 2017, capital expenditures for maintenance programs and technology and operations improvements. We intend to fund our capital expenditures with cash flows from operations and borrowings under our Revolving Credit Facility, as necessary.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Share Repurchases and Share-Based Compensation Awards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2016, we paid regular dividends of $2.20 per share and a special dividend of $3.00 per share, or an aggregate of $125,052. During the second quarter of 2016, we declared a dividend of $1.10 per share that was paid on February 5, 2016 to shareholders of record on January 15, 2016.</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been authorized by our Board of Directors to repurchase shares at management’s discretion up to $25,000 during 2016. During the first six months of 2016, we repurchased 100,000 shares of our common stock in the open market at an aggregate cost of $14,653. All of these repurchases were made in the first quarter of 2016.</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2016, we issued 63,493 shares of our common stock resulting from the vesting of share-based compensation awards and stock option exercises. Related tax withholding payments on these share-based compensation awards exceeded proceeds received from the exercise of stock options, which resulted in a net use of cash of $5,343.</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restaurant industry, virtually all sales are either for cash or first-party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had positive working capital of $38,705 at January 29, 2016 versus positive working capital of $11,213 at July 31, 2015. Working capital increased from July 31, 2015 primarily because of the payment of the special dividend of $3.00 per share of our common stock and the timing of payments for accounts payable partially offset by the decrease in 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2015 Form 10-K for additional information regarding our operating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Commitments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material commitments other than in the ordinary course of business since the end of 2015. Refer to the sub-section entitled “Material Commitments” under the section entitled “Liquidity and Capital Resources” presented in the MD&amp;A of our 2015 Form 10-K for additional information regarding our material commitments.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Adopted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See Note 1 to the accompanying Condensed Consolidated Financial Statements for a discussion of recent accounting guidance adopted and not yet adopted. The adopted accounting guidance discussed in Note 1 did not have a significant impact on our consolidated financial position or results of operations. Regarding the accounting guidance not yet adopted, the accounting guidance is either expected not to have a significant impact on our consolidated financial position or results of operations or we are still evaluating the impact of adopting the accounting guidance.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to the Consolidated Financial Statements contained in the 2015 Form 10-K. Judgments and uncertainties affecting the application of those policies may result in materially different amounts being reported under different conditions or using different assumptions.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are most important to the accurate portrayal of both our financial condition and operating results, 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1000" w:hanging="330"/>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management’s most difficult, subjective or complex judgments, often as a result of the need to make estimates about the effect of matters that are inherently uncertain.</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 Provision for Asset Dispositions</w:t>
      </w:r>
    </w:p>
    <w:p>
      <w:pPr>
        <w:spacing w:after="0" w:line="27"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Reserves</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Inventory Valuation</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Provision</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reviewed these critical accounting estimates and related disclosures with the Audit Committee of our Board of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our methodology for assessing impairments during the first six months of 2016,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self-insure a significant portion of our expected workers’ compensation and general liability insurance programs. We purchase insurance for individual workers’ compensation claims that exceed $250, $750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2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 The majority of our fully-insured health insurance plans for calendar 2014 contained a retrospective feature which decreased premiums based on actual claims experience.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six months of 2016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Inventory Valuation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made any material changes in the methodologies, estimates or assumptions related to our merchandise inventories during the first six months of 2016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Provision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Tax Credit, as well as estimates related to certain depreciation and capitalization policies. Our estimates are made based on current tax laws, the best available information at the time of the provision and historical experience.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2015 Form 10-K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share-based compensation consists of nonvested stock awards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share-based compensation awards accrue dividends. Dividends will be forfeited for any share-based compensation awards that do not vest.</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the fair value of each nonvested stock award that does not accrue dividends is equal to the market price of our common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207" w:lineRule="exact"/>
        <w:rPr>
          <w:sz w:val="20"/>
          <w:szCs w:val="20"/>
          <w:color w:val="auto"/>
        </w:rPr>
      </w:pPr>
    </w:p>
    <w:p>
      <w:pPr>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a blend of implied volatility based on market-traded options on our stock and historical volatility of our stock over the period commensurate with the three-year performance period.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based on our current dividend yield as the best estimate of projected dividend yield for periods within the three-year performance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update the historical and implied components of the expected volatility assumption when new grants are made.</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our estimates or assumptions used to determine share-based compensation during the first six months of 2016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Part II, Item 7A of the 2015 Form 10-K is incorporated in this item of this Quarterly Report on Form 10-Q by this reference. There have been no material changes in our quantitative and qualitative market risks since July 31, 2015.</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January 29, 2016, our disclosure controls and procedures were effective for the purposes set forth in the definition thereof in Exchange Act Rule 13a-15(e).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(including corrective actions with regard to significant deficiencies and material weaknesses) during the quarter ended January 29, 2016 in our internal control over financial reporting (as defined in Exchange Act Rule 13a-15(f)) that have materially affected, or are reasonably likely to materially affect, our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There have been no material changes in the risk factors previously disclosed in “Item 1A. Risk Factors” of our 2015 Form 10-K.</w:t>
      </w:r>
    </w:p>
    <w:p>
      <w:pPr>
        <w:spacing w:after="0" w:line="26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Index immediately following the signature page hereto.</w:t>
      </w: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5" w:right="1440"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40" w:type="dxa"/>
            <w:vAlign w:val="bottom"/>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tc>
      </w:tr>
      <w:tr>
        <w:trPr>
          <w:trHeight w:val="392"/>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February 23, 2016</w:t>
            </w:r>
          </w:p>
        </w:tc>
        <w:tc>
          <w:tcPr>
            <w:tcW w:w="19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/s/Lawrence E. Hyatt</w:t>
            </w:r>
          </w:p>
        </w:tc>
      </w:tr>
      <w:tr>
        <w:trPr>
          <w:trHeight w:val="20"/>
        </w:trPr>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800" w:type="dxa"/>
            <w:vAlign w:val="bottom"/>
            <w:tcBorders>
              <w:left w:val="single" w:sz="8" w:color="auto"/>
            </w:tcBorders>
          </w:tcPr>
          <w:p>
            <w:pPr>
              <w:spacing w:after="0" w:line="20" w:lineRule="exact"/>
              <w:rPr>
                <w:sz w:val="1"/>
                <w:szCs w:val="1"/>
                <w:color w:val="auto"/>
              </w:rPr>
            </w:pPr>
          </w:p>
        </w:tc>
      </w:tr>
      <w:tr>
        <w:trPr>
          <w:trHeight w:val="218"/>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E. Hyatt, Senior Vice President and</w:t>
            </w:r>
          </w:p>
        </w:tc>
      </w:t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92"/>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February 23, 2016</w:t>
            </w:r>
          </w:p>
        </w:tc>
        <w:tc>
          <w:tcPr>
            <w:tcW w:w="19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/s/Jeffrey M. Wilson</w:t>
            </w:r>
          </w:p>
        </w:tc>
      </w:tr>
      <w:tr>
        <w:trPr>
          <w:trHeight w:val="20"/>
        </w:trPr>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18"/>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M. Wilson, Vice President, Corporate Controller and Principal</w:t>
            </w:r>
          </w:p>
        </w:tc>
      </w:t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598"/>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30</w:t>
            </w:r>
          </w:p>
        </w:tc>
        <w:tc>
          <w:tcPr>
            <w:tcW w:w="4800" w:type="dxa"/>
            <w:vAlign w:val="bottom"/>
          </w:tcPr>
          <w:p>
            <w:pPr>
              <w:spacing w:after="0"/>
              <w:rPr>
                <w:sz w:val="24"/>
                <w:szCs w:val="24"/>
                <w:color w:val="auto"/>
              </w:rPr>
            </w:pPr>
          </w:p>
        </w:tc>
      </w:tr>
      <w:tr>
        <w:trPr>
          <w:trHeight w:val="44"/>
        </w:trPr>
        <w:tc>
          <w:tcPr>
            <w:tcW w:w="4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10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Denotes management contract or compensatory plan, contract or arrangement.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1" w:name="page32"/>
    <w:bookmarkEnd w:id="31"/>
    <w:p>
      <w:pPr>
        <w:spacing w:after="0"/>
        <w:tabs>
          <w:tab w:leader="none" w:pos="452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r>
        <w:rPr>
          <w:sz w:val="20"/>
          <w:szCs w:val="20"/>
          <w:color w:val="auto"/>
        </w:rPr>
        <w:tab/>
      </w:r>
      <w:r>
        <w:rPr>
          <w:rFonts w:ascii="Times New Roman" w:cs="Times New Roman" w:eastAsia="Times New Roman" w:hAnsi="Times New Roman"/>
          <w:sz w:val="17"/>
          <w:szCs w:val="17"/>
          <w:u w:val="single" w:color="auto"/>
          <w:color w:val="auto"/>
        </w:rPr>
        <w:t>CERTIFICATION</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Sandra B. Cochran, certify that:</w:t>
      </w:r>
    </w:p>
    <w:p>
      <w:pPr>
        <w:spacing w:after="0" w:line="252"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700" w:right="20" w:hanging="395"/>
        <w:spacing w:after="0" w:line="282" w:lineRule="auto"/>
        <w:tabs>
          <w:tab w:leader="none" w:pos="1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February 23,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/s/Sandra B. Cochran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2" w:name="page33"/>
    <w:bookmarkEnd w:id="32"/>
    <w:p>
      <w:pPr>
        <w:spacing w:after="0"/>
        <w:tabs>
          <w:tab w:leader="none" w:pos="56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r>
        <w:rPr>
          <w:sz w:val="20"/>
          <w:szCs w:val="20"/>
          <w:color w:val="auto"/>
        </w:rPr>
        <w:tab/>
      </w:r>
      <w:r>
        <w:rPr>
          <w:rFonts w:ascii="Times New Roman" w:cs="Times New Roman" w:eastAsia="Times New Roman" w:hAnsi="Times New Roman"/>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Lawrence E. Hyatt, certify that:</w:t>
      </w:r>
    </w:p>
    <w:p>
      <w:pPr>
        <w:spacing w:after="0" w:line="252" w:lineRule="exact"/>
        <w:rPr>
          <w:sz w:val="20"/>
          <w:szCs w:val="20"/>
          <w:color w:val="auto"/>
        </w:rPr>
      </w:pPr>
    </w:p>
    <w:p>
      <w:pPr>
        <w:ind w:left="1460" w:hanging="318"/>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460" w:hanging="318"/>
        <w:spacing w:after="0" w:line="266" w:lineRule="auto"/>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460" w:right="20" w:hanging="318"/>
        <w:spacing w:after="0" w:line="282" w:lineRule="auto"/>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460" w:hanging="318"/>
        <w:spacing w:after="0" w:line="261" w:lineRule="auto"/>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960" w:hanging="493"/>
        <w:spacing w:after="0" w:line="266"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960" w:right="20" w:hanging="493"/>
        <w:spacing w:after="0" w:line="266"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960" w:hanging="493"/>
        <w:spacing w:after="0" w:line="266"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960" w:hanging="493"/>
        <w:spacing w:after="0" w:line="266"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460" w:hanging="318"/>
        <w:spacing w:after="0" w:line="266" w:lineRule="auto"/>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960" w:hanging="493"/>
        <w:spacing w:after="0" w:line="282"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60" w:right="20" w:hanging="493"/>
        <w:spacing w:after="0" w:line="282"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February 23,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/s/Lawrence E. Hyatt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Hyatt, 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7" w:lineRule="exact"/>
        <w:rPr>
          <w:sz w:val="20"/>
          <w:szCs w:val="20"/>
          <w:color w:val="auto"/>
        </w:rPr>
      </w:pPr>
    </w:p>
    <w:p>
      <w:pPr>
        <w:jc w:val="center"/>
        <w:ind w:left="300" w:right="2800"/>
        <w:spacing w:after="0" w:line="255" w:lineRule="auto"/>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spacing w:after="0" w:line="21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Cracker Barrel Old Country Store, Inc. (the “Issuer”) on Form 10-Q for the fiscal quarter ended January 29, 2016,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03"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February 23, 2016</w:t>
            </w:r>
          </w:p>
        </w:tc>
        <w:tc>
          <w:tcPr>
            <w:tcW w:w="824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By: /s/Sandra B. Cochran</w:t>
            </w:r>
          </w:p>
        </w:tc>
      </w:tr>
      <w:tr>
        <w:trPr>
          <w:trHeight w:val="218"/>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4960" w:type="dxa"/>
            <w:vAlign w:val="bottom"/>
            <w:gridSpan w:val="2"/>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1320" w:type="dxa"/>
            <w:vAlign w:val="bottom"/>
            <w:tcBorders>
              <w:top w:val="single" w:sz="8" w:color="auto"/>
            </w:tcBorders>
            <w:shd w:val="clear" w:color="auto" w:fill="808080"/>
          </w:tcPr>
          <w:p>
            <w:pPr>
              <w:spacing w:after="0" w:line="20" w:lineRule="exact"/>
              <w:rPr>
                <w:sz w:val="1"/>
                <w:szCs w:val="1"/>
                <w:color w:val="auto"/>
              </w:rPr>
            </w:pPr>
          </w:p>
        </w:tc>
        <w:tc>
          <w:tcPr>
            <w:tcW w:w="1420" w:type="dxa"/>
            <w:vAlign w:val="bottom"/>
            <w:tcBorders>
              <w:top w:val="single" w:sz="8" w:color="auto"/>
            </w:tcBorders>
            <w:shd w:val="clear" w:color="auto" w:fill="808080"/>
          </w:tcPr>
          <w:p>
            <w:pPr>
              <w:spacing w:after="0" w:line="20" w:lineRule="exact"/>
              <w:rPr>
                <w:sz w:val="1"/>
                <w:szCs w:val="1"/>
                <w:color w:val="auto"/>
              </w:rPr>
            </w:pPr>
          </w:p>
        </w:tc>
        <w:tc>
          <w:tcPr>
            <w:tcW w:w="1740" w:type="dxa"/>
            <w:vAlign w:val="bottom"/>
            <w:tcBorders>
              <w:top w:val="single" w:sz="8" w:color="auto"/>
            </w:tcBorders>
            <w:shd w:val="clear" w:color="auto" w:fill="808080"/>
          </w:tcPr>
          <w:p>
            <w:pPr>
              <w:spacing w:after="0" w:line="20" w:lineRule="exact"/>
              <w:rPr>
                <w:sz w:val="1"/>
                <w:szCs w:val="1"/>
                <w:color w:val="auto"/>
              </w:rPr>
            </w:pPr>
          </w:p>
        </w:tc>
        <w:tc>
          <w:tcPr>
            <w:tcW w:w="1540" w:type="dxa"/>
            <w:vAlign w:val="bottom"/>
            <w:tcBorders>
              <w:top w:val="single" w:sz="8" w:color="auto"/>
            </w:tcBorders>
            <w:shd w:val="clear" w:color="auto" w:fill="808080"/>
          </w:tcPr>
          <w:p>
            <w:pPr>
              <w:spacing w:after="0" w:line="20" w:lineRule="exact"/>
              <w:rPr>
                <w:sz w:val="1"/>
                <w:szCs w:val="1"/>
                <w:color w:val="auto"/>
              </w:rPr>
            </w:pPr>
          </w:p>
        </w:tc>
        <w:tc>
          <w:tcPr>
            <w:tcW w:w="494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7" w:lineRule="exact"/>
        <w:rPr>
          <w:sz w:val="20"/>
          <w:szCs w:val="20"/>
          <w:color w:val="auto"/>
        </w:rPr>
      </w:pPr>
    </w:p>
    <w:p>
      <w:pPr>
        <w:jc w:val="center"/>
        <w:ind w:left="260" w:right="2820"/>
        <w:spacing w:after="0" w:line="255" w:lineRule="auto"/>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 2002</w:t>
      </w:r>
    </w:p>
    <w:p>
      <w:pPr>
        <w:spacing w:after="0" w:line="21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Cracker Barrel Old Country Store, Inc. (the “Issuer”) on Form 10-Q for the fiscal quarter ended January 29, 2016,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203"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February 23, 2016</w:t>
            </w:r>
          </w:p>
        </w:tc>
        <w:tc>
          <w:tcPr>
            <w:tcW w:w="824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By: /s/Lawrence E. Hyatt</w:t>
            </w:r>
          </w:p>
        </w:tc>
      </w:tr>
      <w:tr>
        <w:trPr>
          <w:trHeight w:val="218"/>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Lawrence E. Hyatt,</w:t>
            </w:r>
          </w:p>
        </w:tc>
        <w:tc>
          <w:tcPr>
            <w:tcW w:w="4980" w:type="dxa"/>
            <w:vAlign w:val="bottom"/>
            <w:gridSpan w:val="2"/>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1320" w:type="dxa"/>
            <w:vAlign w:val="bottom"/>
            <w:tcBorders>
              <w:top w:val="single" w:sz="8" w:color="auto"/>
            </w:tcBorders>
            <w:shd w:val="clear" w:color="auto" w:fill="808080"/>
          </w:tcPr>
          <w:p>
            <w:pPr>
              <w:spacing w:after="0" w:line="20" w:lineRule="exact"/>
              <w:rPr>
                <w:sz w:val="1"/>
                <w:szCs w:val="1"/>
                <w:color w:val="auto"/>
              </w:rPr>
            </w:pPr>
          </w:p>
        </w:tc>
        <w:tc>
          <w:tcPr>
            <w:tcW w:w="1420" w:type="dxa"/>
            <w:vAlign w:val="bottom"/>
            <w:tcBorders>
              <w:top w:val="single" w:sz="8" w:color="auto"/>
            </w:tcBorders>
            <w:shd w:val="clear" w:color="auto" w:fill="808080"/>
          </w:tcPr>
          <w:p>
            <w:pPr>
              <w:spacing w:after="0" w:line="20" w:lineRule="exact"/>
              <w:rPr>
                <w:sz w:val="1"/>
                <w:szCs w:val="1"/>
                <w:color w:val="auto"/>
              </w:rPr>
            </w:pPr>
          </w:p>
        </w:tc>
        <w:tc>
          <w:tcPr>
            <w:tcW w:w="1740" w:type="dxa"/>
            <w:vAlign w:val="bottom"/>
            <w:tcBorders>
              <w:top w:val="single" w:sz="8" w:color="auto"/>
            </w:tcBorders>
            <w:shd w:val="clear" w:color="auto" w:fill="808080"/>
          </w:tcPr>
          <w:p>
            <w:pPr>
              <w:spacing w:after="0" w:line="20" w:lineRule="exact"/>
              <w:rPr>
                <w:sz w:val="1"/>
                <w:szCs w:val="1"/>
                <w:color w:val="auto"/>
              </w:rPr>
            </w:pPr>
          </w:p>
        </w:tc>
        <w:tc>
          <w:tcPr>
            <w:tcW w:w="1520" w:type="dxa"/>
            <w:vAlign w:val="bottom"/>
            <w:tcBorders>
              <w:top w:val="single" w:sz="8" w:color="auto"/>
            </w:tcBorders>
            <w:shd w:val="clear" w:color="auto" w:fill="808080"/>
          </w:tcPr>
          <w:p>
            <w:pPr>
              <w:spacing w:after="0" w:line="20" w:lineRule="exact"/>
              <w:rPr>
                <w:sz w:val="1"/>
                <w:szCs w:val="1"/>
                <w:color w:val="auto"/>
              </w:rPr>
            </w:pPr>
          </w:p>
        </w:tc>
        <w:tc>
          <w:tcPr>
            <w:tcW w:w="496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2019-12-29T12:18:22Z</dcterms:created>
  <dcterms:modified xsi:type="dcterms:W3CDTF">2019-12-29T12:18:22Z</dcterms:modified>
</cp:coreProperties>
</file>