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Q</w:t>
      </w:r>
    </w:p>
    <w:p>
      <w:pPr>
        <w:spacing w:after="0" w:line="25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820" w:right="4200" w:hanging="326"/>
        <w:spacing w:after="0" w:line="266" w:lineRule="auto"/>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October 27, 2017</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820" w:right="4220" w:hanging="326"/>
        <w:spacing w:after="0" w:line="277" w:lineRule="auto"/>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from_________to___________</w:t>
      </w:r>
    </w:p>
    <w:p>
      <w:pPr>
        <w:spacing w:after="0" w:line="19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Commission file number: 001</w:t>
      </w:r>
      <w:r>
        <w:rPr>
          <w:rFonts w:ascii="MS PGothic" w:cs="MS PGothic" w:eastAsia="MS PGothic" w:hAnsi="MS PGothic"/>
          <w:sz w:val="18"/>
          <w:szCs w:val="18"/>
          <w:color w:val="auto"/>
        </w:rPr>
        <w:t>‑</w:t>
      </w:r>
      <w:r>
        <w:rPr>
          <w:rFonts w:ascii="Arial" w:cs="Arial" w:eastAsia="Arial" w:hAnsi="Arial"/>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238125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3"/>
              </w:rPr>
              <w:t>Tennessee</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3"/>
              </w:rPr>
              <w:t>305 Hartmann Drive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1"/>
              </w:rPr>
              <w:t>37087-4779</w:t>
            </w:r>
          </w:p>
        </w:tc>
      </w:t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6"/>
              </w:rPr>
              <w:t>Lebanon, Tennessee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tcPr>
          <w:p>
            <w:pPr>
              <w:spacing w:after="0"/>
              <w:rPr>
                <w:sz w:val="20"/>
                <w:szCs w:val="20"/>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41" w:right="239" w:bottom="1440" w:gutter="0" w:footer="0" w:header="0"/>
        </w:sectPr>
      </w:pPr>
    </w:p>
    <w:p>
      <w:pPr>
        <w:spacing w:after="0" w:line="176" w:lineRule="exact"/>
        <w:rPr>
          <w:sz w:val="24"/>
          <w:szCs w:val="24"/>
          <w:color w:val="auto"/>
        </w:rPr>
      </w:pPr>
    </w:p>
    <w:p>
      <w:pPr>
        <w:ind w:left="500"/>
        <w:spacing w:after="0" w:line="24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24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18" w:lineRule="exact"/>
        <w:rPr>
          <w:sz w:val="24"/>
          <w:szCs w:val="24"/>
          <w:color w:val="auto"/>
        </w:rPr>
      </w:pPr>
    </w:p>
    <w:p>
      <w:pPr>
        <w:sectPr>
          <w:pgSz w:w="11900" w:h="16838" w:orient="portrait"/>
          <w:cols w:equalWidth="0" w:num="6">
            <w:col w:w="2460" w:space="100"/>
            <w:col w:w="640" w:space="720"/>
            <w:col w:w="1960" w:space="80"/>
            <w:col w:w="640" w:space="720"/>
            <w:col w:w="1540" w:space="80"/>
            <w:col w:w="2480"/>
          </w:cols>
          <w:pgMar w:left="240" w:top="541" w:right="239" w:bottom="1440" w:gutter="0" w:footer="0" w:header="0"/>
          <w:type w:val="continuous"/>
        </w:sectPr>
      </w:pPr>
    </w:p>
    <w:p>
      <w:pPr>
        <w:spacing w:after="0" w:line="30"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260"/>
        <w:spacing w:after="0" w:line="207" w:lineRule="exact"/>
        <w:tabs>
          <w:tab w:leader="none" w:pos="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25"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23,994,793 Shares of Common Stock</w:t>
      </w:r>
    </w:p>
    <w:p>
      <w:pPr>
        <w:spacing w:after="0" w:line="23"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Outstanding as of November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740" w:type="dxa"/>
            <w:vAlign w:val="bottom"/>
            <w:gridSpan w:val="9"/>
          </w:tcPr>
          <w:p>
            <w:pPr>
              <w:jc w:val="center"/>
              <w:ind w:right="158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60" w:type="dxa"/>
            <w:vAlign w:val="bottom"/>
            <w:gridSpan w:val="8"/>
          </w:tcPr>
          <w:p>
            <w:pPr>
              <w:jc w:val="center"/>
              <w:ind w:right="3480"/>
              <w:spacing w:after="0"/>
              <w:rPr>
                <w:sz w:val="20"/>
                <w:szCs w:val="20"/>
                <w:color w:val="auto"/>
              </w:rPr>
            </w:pPr>
            <w:r>
              <w:rPr>
                <w:rFonts w:ascii="Arial" w:cs="Arial" w:eastAsia="Arial" w:hAnsi="Arial"/>
                <w:sz w:val="18"/>
                <w:szCs w:val="18"/>
                <w:b w:val="1"/>
                <w:bCs w:val="1"/>
                <w:color w:val="auto"/>
                <w:w w:val="99"/>
              </w:rPr>
              <w:t>FORM 10-Q</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740" w:type="dxa"/>
            <w:vAlign w:val="bottom"/>
            <w:gridSpan w:val="9"/>
          </w:tcPr>
          <w:p>
            <w:pPr>
              <w:jc w:val="center"/>
              <w:ind w:right="1600"/>
              <w:spacing w:after="0"/>
              <w:rPr>
                <w:sz w:val="20"/>
                <w:szCs w:val="20"/>
                <w:color w:val="auto"/>
              </w:rPr>
            </w:pPr>
            <w:r>
              <w:rPr>
                <w:rFonts w:ascii="Arial" w:cs="Arial" w:eastAsia="Arial" w:hAnsi="Arial"/>
                <w:sz w:val="18"/>
                <w:szCs w:val="18"/>
                <w:b w:val="1"/>
                <w:bCs w:val="1"/>
                <w:color w:val="auto"/>
                <w:w w:val="92"/>
              </w:rPr>
              <w:t>For the Quarter Ended October 27, 2017</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gridSpan w:val="6"/>
          </w:tcPr>
          <w:p>
            <w:pPr>
              <w:jc w:val="center"/>
              <w:ind w:right="4240"/>
              <w:spacing w:after="0"/>
              <w:rPr>
                <w:sz w:val="20"/>
                <w:szCs w:val="20"/>
                <w:color w:val="auto"/>
              </w:rPr>
            </w:pPr>
            <w:r>
              <w:rPr>
                <w:rFonts w:ascii="Arial" w:cs="Arial" w:eastAsia="Arial" w:hAnsi="Arial"/>
                <w:sz w:val="18"/>
                <w:szCs w:val="18"/>
                <w:b w:val="1"/>
                <w:bCs w:val="1"/>
                <w:color w:val="auto"/>
              </w:rPr>
              <w:t>INDEX</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380" w:type="dxa"/>
            <w:vAlign w:val="bottom"/>
            <w:gridSpan w:val="17"/>
          </w:tcPr>
          <w:p>
            <w:pPr>
              <w:spacing w:after="0"/>
              <w:rPr>
                <w:sz w:val="20"/>
                <w:szCs w:val="20"/>
                <w:color w:val="auto"/>
              </w:rPr>
            </w:pPr>
            <w:r>
              <w:rPr>
                <w:rFonts w:ascii="Arial" w:cs="Arial" w:eastAsia="Arial" w:hAnsi="Arial"/>
                <w:sz w:val="18"/>
                <w:szCs w:val="18"/>
                <w:b w:val="1"/>
                <w:bCs w:val="1"/>
                <w:color w:val="auto"/>
              </w:rPr>
              <w:t>PART I. FINANCIAL INFORMATION</w:t>
            </w:r>
          </w:p>
        </w:tc>
        <w:tc>
          <w:tcPr>
            <w:tcW w:w="1060" w:type="dxa"/>
            <w:vAlign w:val="bottom"/>
            <w:gridSpan w:val="2"/>
          </w:tcPr>
          <w:p>
            <w:pPr>
              <w:ind w:left="6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Arial" w:cs="Arial" w:eastAsia="Arial" w:hAnsi="Arial"/>
                <w:sz w:val="18"/>
                <w:szCs w:val="18"/>
                <w:color w:val="auto"/>
              </w:rPr>
              <w:t>ITEM 1. Condensed Consolidated Financial Statements (Unaudited)</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4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October 27, 2017 and July 28, 2017</w:t>
              </w:r>
            </w:hyperlink>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40" w:type="dxa"/>
            <w:vAlign w:val="bottom"/>
            <w:gridSpan w:val="1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 Condensed Consolidated Statements of Income for the Quarters Ended October 27, 2017 and October 28, 2016</w:t>
              </w:r>
            </w:hyperlink>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40" w:type="dxa"/>
            <w:vAlign w:val="bottom"/>
            <w:gridSpan w:val="14"/>
            <w:shd w:val="clear" w:color="auto" w:fill="CCEEFF"/>
          </w:tcPr>
          <w:p>
            <w:pPr>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 Condensed Consolidated Statements of Comprehensive Income for the Quarters Ended October 27, 2017 and October 28, 2016</w:t>
              </w:r>
            </w:hyperlink>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40" w:type="dxa"/>
            <w:vAlign w:val="bottom"/>
            <w:gridSpan w:val="1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d) Condensed Consolidated Statements of Cash Flows for the Three Months Ended October 27, 2017 and October 28, 2016</w:t>
              </w:r>
            </w:hyperlink>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4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e) Notes to Condensed Consolidated Financial Statements</w:t>
              </w:r>
            </w:hyperlink>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9540" w:type="dxa"/>
            <w:vAlign w:val="bottom"/>
            <w:gridSpan w:val="13"/>
            <w:shd w:val="clear" w:color="auto" w:fill="CCEEFF"/>
          </w:tcPr>
          <w:p>
            <w:pPr>
              <w:ind w:left="4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9540" w:type="dxa"/>
            <w:vAlign w:val="bottom"/>
            <w:gridSpan w:val="13"/>
            <w:shd w:val="clear" w:color="auto" w:fill="CCEEFF"/>
          </w:tcPr>
          <w:p>
            <w:pPr>
              <w:ind w:left="4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0" w:type="dxa"/>
            <w:vAlign w:val="bottom"/>
            <w:gridSpan w:val="15"/>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PART II. OTHER INFORMATION</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0" w:type="dxa"/>
            <w:vAlign w:val="bottom"/>
            <w:gridSpan w:val="15"/>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0" w:type="dxa"/>
            <w:vAlign w:val="bottom"/>
            <w:gridSpan w:val="15"/>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2.  Unregistered Sales of Equity Securities and Use of Proceeds</w:t>
              </w:r>
            </w:hyperlink>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0" w:type="dxa"/>
            <w:vAlign w:val="bottom"/>
            <w:gridSpan w:val="15"/>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6. Exhibits</w:t>
              </w:r>
            </w:hyperlink>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60" w:type="dxa"/>
            <w:vAlign w:val="bottom"/>
            <w:gridSpan w:val="16"/>
            <w:shd w:val="clear" w:color="auto" w:fill="CCEEFF"/>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300" w:type="dxa"/>
            <w:vAlign w:val="bottom"/>
            <w:tcBorders>
              <w:top w:val="single" w:sz="8" w:color="CCEEFF"/>
            </w:tcBorders>
            <w:gridSpan w:val="7"/>
          </w:tcPr>
          <w:p>
            <w:pPr>
              <w:jc w:val="center"/>
              <w:ind w:left="3728"/>
              <w:spacing w:after="0"/>
              <w:rPr>
                <w:sz w:val="20"/>
                <w:szCs w:val="20"/>
                <w:color w:val="auto"/>
              </w:rPr>
            </w:pPr>
            <w:r>
              <w:rPr>
                <w:rFonts w:ascii="Arial" w:cs="Arial" w:eastAsia="Arial" w:hAnsi="Arial"/>
                <w:sz w:val="14"/>
                <w:szCs w:val="14"/>
                <w:color w:val="auto"/>
                <w:w w:val="76"/>
              </w:rPr>
              <w:t>2</w:t>
            </w:r>
          </w:p>
        </w:tc>
        <w:tc>
          <w:tcPr>
            <w:tcW w:w="86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color w:val="auto"/>
                <w:w w:val="87"/>
              </w:rPr>
              <w:t>(In thousands, except share data)</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October 27,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July 28,</w:t>
            </w:r>
          </w:p>
        </w:tc>
        <w:tc>
          <w:tcPr>
            <w:tcW w:w="0" w:type="dxa"/>
            <w:vAlign w:val="bottom"/>
          </w:tcPr>
          <w:p>
            <w:pPr>
              <w:spacing w:after="0"/>
              <w:rPr>
                <w:sz w:val="1"/>
                <w:szCs w:val="1"/>
                <w:color w:val="auto"/>
              </w:rPr>
            </w:pPr>
          </w:p>
        </w:tc>
      </w:tr>
      <w:tr>
        <w:trPr>
          <w:trHeight w:val="122"/>
        </w:trPr>
        <w:tc>
          <w:tcPr>
            <w:tcW w:w="88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120,193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18,078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191,481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349,231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2,118,446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2,093,448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1,012,665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995,351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1,105,781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1,098,097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66,920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1,521,932</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1,521,942</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130,127</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257,433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375,786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Long-term interest rate swap liability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63,117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65,421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spacing w:after="0" w:line="201" w:lineRule="exact"/>
              <w:rPr>
                <w:sz w:val="20"/>
                <w:szCs w:val="20"/>
                <w:color w:val="auto"/>
              </w:rPr>
            </w:pPr>
            <w:r>
              <w:rPr>
                <w:rFonts w:ascii="Arial" w:cs="Arial" w:eastAsia="Arial" w:hAnsi="Arial"/>
                <w:sz w:val="18"/>
                <w:szCs w:val="18"/>
                <w:color w:val="auto"/>
                <w:w w:val="96"/>
              </w:rPr>
              <w:t>Preferred stock – 100,000,000 shares of $.01 par value authorized; 300,000 shares designated as Series A Junior</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Participating Preferred Stock; no shares issued</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 400,000,000 shares of $.01 par value authorized; 23,994,793 shares issued and outstanding at October</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 2017, and 24,055,682 shares issued and outstanding at July 28, 2017</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39,540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510,264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492,836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547,702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1,521,932</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1,521,942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ind w:firstLine="8"/>
        <w:spacing w:after="0" w:line="277" w:lineRule="auto"/>
        <w:tabs>
          <w:tab w:leader="none" w:pos="13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Condensed Consolidated Balance Sheet has been derived from the audited Consolidated Balance Sheet as of July 28, 2017, as filed with the Securities and Exchange Commission in the Company’s Annual Report on Form 10-K for the fiscal year ended July 28, 2017.</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8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color w:val="auto"/>
                <w:w w:val="87"/>
              </w:rPr>
              <w:t>(In thousands, except share data)</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October 27,</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710,368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210,749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213,109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Other store operating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143,820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107,731</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70,838</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67,220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23,713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46,380</w:t>
            </w:r>
          </w:p>
        </w:tc>
        <w:tc>
          <w:tcPr>
            <w:tcW w:w="2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24,035,202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24,001,708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24,105,187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24,099,013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40" w:type="dxa"/>
            <w:vAlign w:val="bottom"/>
            <w:gridSpan w:val="3"/>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CRACKER BARREL OLD COUNTRY STORE, INC. CONDENSED CONSOLIDATED STATEMENTS OF COMPREHENSIVE INCOME </w:t>
      </w:r>
      <w:r>
        <w:rPr>
          <w:rFonts w:ascii="Arial" w:cs="Arial" w:eastAsia="Arial" w:hAnsi="Arial"/>
          <w:sz w:val="18"/>
          <w:szCs w:val="18"/>
          <w:color w:val="auto"/>
        </w:rPr>
        <w:t>(Unaudited and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ind w:left="60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40"/>
              <w:spacing w:after="0" w:line="201" w:lineRule="exact"/>
              <w:rPr>
                <w:sz w:val="20"/>
                <w:szCs w:val="20"/>
                <w:color w:val="auto"/>
              </w:rPr>
            </w:pPr>
            <w:r>
              <w:rPr>
                <w:rFonts w:ascii="Arial" w:cs="Arial" w:eastAsia="Arial" w:hAnsi="Arial"/>
                <w:sz w:val="18"/>
                <w:szCs w:val="18"/>
                <w:color w:val="auto"/>
                <w:w w:val="91"/>
              </w:rPr>
              <w:t>October 27,</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24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income tax expense: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52,126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color w:val="auto"/>
                <w:w w:val="89"/>
              </w:rPr>
              <w:t>(Unaudited and 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7"/>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jc w:val="right"/>
              <w:ind w:right="280"/>
              <w:spacing w:after="0" w:line="201" w:lineRule="exact"/>
              <w:rPr>
                <w:sz w:val="20"/>
                <w:szCs w:val="20"/>
                <w:color w:val="auto"/>
              </w:rPr>
            </w:pPr>
            <w:r>
              <w:rPr>
                <w:rFonts w:ascii="Arial" w:cs="Arial" w:eastAsia="Arial" w:hAnsi="Arial"/>
                <w:sz w:val="18"/>
                <w:szCs w:val="18"/>
                <w:color w:val="auto"/>
                <w:w w:val="91"/>
              </w:rPr>
              <w:t>October 27,</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46,380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Loss on disposition of 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(35,114)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(10,169)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Other long-term assets and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38,277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(30,613)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insurance recoveries of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Proceeds from sale of property and equipment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(30,417)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(Taxes withheld) and proceeds from issuance of share-based compensation awards,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(3,383)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and retirement of common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(14,772)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Dividends on common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(30,513)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Excess tax benefit from share-based compensation</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(48,668)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(40,808)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(25,858)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161,001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120,193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125,108</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Interest, net of amounts capitalized</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Capital expenditures accrued in accounts payable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(1,168)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Dividends declared but not yet paid</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(In thousands, except percentages, share and per share data) (Unaudited)</w:t>
      </w:r>
    </w:p>
    <w:p>
      <w:pPr>
        <w:spacing w:after="0" w:line="20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condensed consolidated balance sheets at October 27, 2017 and July 28, 2017 and the related condensed consolidated statements of income, comprehensive income and cash flows for the quarters ended October 27, 2017 and October 28, 2016, respectively, have been prepared by the Company in accordance with accounting principles generally accepted in the United States of America and pursuant to the rules and regulations of the Securities and Exchange Commission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July 28, 2017 (the “2017 Form 10-K”). The accounting policies used in preparing these condensed consolidated financial statements are the same as described in the 2017 Form 10-K. References to a year in these Notes to Condensed Consolidated Financial Statements are to the Company’s fiscal year unless otherwise noted.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2015, the Financial Accounting Standards Board (“FASB”) issued accounting guidance which requires companies to measure certain inventory at the lower of cost and net realizable value. This accounting guidance does not apply to inventories measured by using either the last-in, first-out method or the retail inventory method. This accounting guidance is effective for fiscal years beginning after December 15, 2016, and interim periods within those fiscal years on a prospective basis. The adoption of this accounting guidance in the first quarter of 2018 did not have a significant impact on the Company’s consolidated financial position or results of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Deferred Taxes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November 2015, in order to simplify the presentation of deferred income taxes, the FASB issued accounting guidance which requires deferred tax liabilities and assets to be classified as noncurrent in the balance sheet. This accounting guidance is effective for fiscal years beginning after December 15, 2016, and interim periods within those fiscal years. This accounting guidance may be applied either prospectively to all deferred tax liabilities and assets or retrospectively to all periods presented. Other than the revised balance sheet presentation of deferred tax liabilities and assets, the adoption of this accounting guidance on a prospective basis in the first quarter of 2018 did not have a significant impact on the Company’s consolidated financial position or results of operations. Prior periods were not retrospectively adjusted for the adoption of this accounting guidance.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March 2016, the FASB issued accounting guidance in order to simplify certain aspects of the accounting and presentation of share-based payments, including the income tax consequences, classification of awards as either equity or liabilities, and classification on the statement of cash flows. This accounting guidance is effective for fiscal periods beginning after December 15, 2016, and interim periods within those fiscal years. This guidance may be applied either on a prospective basis, retrospective basis or a modified retrospective basis depending on the specific accounting topic covered in the accounting guidance. The Company adopted this accounting guidance in the first quarter of 2018. The impact of recognizing excess tax benefits of $759 as a reduction to the provision for income taxes on a prospective basis resulted in a benefit of $0.03 per diluted share in the first quarter of 2018. The Company elected to apply the presentation of excess tax benefits on the statement of cash flows on a prospective basis; prior periods were not retrospectively adjusted. The Company also elected to continue estimating forfeitures of share-based awards.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a company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2017, and interim periods within those fiscal years. Early application is permitted for fiscal years beginning after December 15, 2016. A company may apply this accounting guidance either retrospectively or by using the cumulative effect transition method. The Company is currently evaluating the impact of adopting this accounting guidance in the first quarter of 2019.</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2016, the FASB issued accounting guidance which requires the recognition of lease assets and lease liabilities on the balance sheet and disclosure of key information about leasing arrangements. The accounting guidance is effective for fiscal years beginning after December 15, 2018, and interim periods within those fiscal years on a modified retrospective basis. Early adoption is permitted. The Company is currently evaluating the impact of adopting this accounting guidance in the first quarter of 2020.</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Recognition of Breakage for Certain Prepaid Stored-Value Products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March 2016, in order to address diversity in practice related to the derecognition of a prepaid stored-value product liability, the FASB issued accounting guidance requiring breakage for prepaid stored-value product liabilities to be accounted for consistent with the breakage guidance in the revenue recognition standard (see “Revenue Recognition” above). This accounting guidance is effective for fiscal years beginning after December 15, 2017, and interim periods within those fiscal years. This accounting guidance may be applied either on a modified retrospective basis or on a retrospective basis. Early application is permitted. The Company is currently evaluating the impact of adopting this accounting guidance in the first quarter of 2019.</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Modification of Share-Based Payment Awards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2017, the FASB issued accounting guidance to provide clarity, reduce the diversity in practice and to simplify the accounting guidance related to a change to the terms or conditions of a share-based payment award. This new standard provides guidance for evaluating which changes to the terms or conditions of a share-based payment award are substantive and require modification accounting to be applied. This accounting guidance is effective for fiscal periods beginning after December 15, 2017, and interim periods within those fiscal years on a prospective basis. Early adoption is permitted. The Company is currently evaluating the impact of adopting this accounting guidance in the first quarter of 2019.</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Accounting for Hedging Activities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2017, the FASB issued accounting guidance which amends the recognition, presentation and disclosure requirements of hedge accounting in order to better portray the economics of entities’ risk management activities, increase transparency and understandability of hedging relationships and simplify the application of hedge accounting. This accounting guidance is effective for fiscal years beginning after December 15, 2018, and interim periods within those fiscal years. Early application is permitted. The recognition requirements for cash flow and net investment hedges existing at the date of adoption will be applied using a cumulative-effect adjustment to retained earnings. The amended presentation and disclosure requirements will be applied on a prospective basis. The Company is currently evaluating the impact of adopting this accounting guidance in the first quarter of 2020.</w:t>
      </w:r>
    </w:p>
    <w:p>
      <w:pPr>
        <w:spacing w:after="0" w:line="18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assets and liabilities measured at fair value on a recurring basis at October 27, 2017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73,491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73,778</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and liabilities measured at fair value on a recurring basis at July 28, 2017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113,720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113,752</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6,880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Condensed Consolidated Balance Sheets as other assets.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values of the Company’s interest rate swap assets and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October 27, 2017 and July 28, 2017.</w:t>
      </w:r>
    </w:p>
    <w:p>
      <w:pPr>
        <w:spacing w:after="0" w:line="17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Inventories were comprised of the following at:</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color w:val="auto"/>
                <w:w w:val="97"/>
              </w:rPr>
              <w:t>October 27, 2017</w:t>
            </w:r>
          </w:p>
        </w:tc>
        <w:tc>
          <w:tcPr>
            <w:tcW w:w="100" w:type="dxa"/>
            <w:vAlign w:val="bottom"/>
          </w:tcPr>
          <w:p>
            <w:pPr>
              <w:spacing w:after="0"/>
              <w:rPr>
                <w:sz w:val="20"/>
                <w:szCs w:val="20"/>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color w:val="auto"/>
              </w:rPr>
              <w:t>July 28, 2017</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42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Restaurant</w:t>
            </w:r>
          </w:p>
        </w:tc>
        <w:tc>
          <w:tcPr>
            <w:tcW w:w="4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23,304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20,252</w:t>
            </w:r>
          </w:p>
        </w:tc>
      </w:tr>
      <w:tr>
        <w:trPr>
          <w:trHeight w:val="223"/>
        </w:trPr>
        <w:tc>
          <w:tcPr>
            <w:tcW w:w="20" w:type="dxa"/>
            <w:vAlign w:val="bottom"/>
          </w:tcPr>
          <w:p>
            <w:pPr>
              <w:spacing w:after="0"/>
              <w:rPr>
                <w:sz w:val="19"/>
                <w:szCs w:val="19"/>
                <w:color w:val="auto"/>
              </w:rPr>
            </w:pPr>
          </w:p>
        </w:tc>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Supplies</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ind w:right="26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191,481</w:t>
            </w:r>
          </w:p>
        </w:tc>
        <w:tc>
          <w:tcPr>
            <w:tcW w:w="80" w:type="dxa"/>
            <w:vAlign w:val="bottom"/>
          </w:tcPr>
          <w:p>
            <w:pPr>
              <w:spacing w:after="0"/>
              <w:rPr>
                <w:sz w:val="18"/>
                <w:szCs w:val="18"/>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156,367</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has a $750,000 revolving credit facility (the “Revolving Credit Facility”), which expires on January 8, 2020. At both October 27, 2017 and July 28, 2017, the Company had $400,000 of outstanding borrowings under the Revolving Credit Facility. At October 27, 2017, the Company had $9,455 of standby letters of credit, which reduce the Company’s borrowing availability under the Revolving Credit Facility (see Note 11 for more information on the Company’s standby letters of credit). At October 27, 2017, the Company had $340,545 in borrowing availability under the Revolving Credit Facility.</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Revolving Credit Facility, outstanding borrowings bear interest, at the Company’s election, either at LIBOR or prime plus a percentage point spread based on certain specified financial ratios under the Revolving Credit Facility. As of October 27, 2017 and October 28, 2016, the Company’s outstanding borrowings were swapped at a weighted average interest rate of 3.21% and 3.10%, respectively, (see Note 5 for information on the Company’s interest rate swaps).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Revolving Credit Facility contains customary financial covenants, which include maintenance of a maximum consolidated total leverage ratio and a minimum consolidated interest coverage ratio. At October 27, 2017, the Company was in compliance with all financial covenants.</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Revolving Credit Facility also imposes restrictions on the amount of dividends the Company is permitted to pay and the amount of shares the Company is permitted to repurchase. Under the Revolving Credit Facility, provided there is no default existing and the total of the Company’s availability under the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20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interest rate risk relative to its outstanding borrowings (see Note 4 for information on the Company’s outstanding borrowings). The Company’s policy has been to manage interest cost using a mix of fixed and variable rate debt. To manage this risk in a cost-efficient manner, the Company uses derivative instruments, specifically interest rate swaps.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at October 27, 2017 was 1.00%. All of the Company’s interest rate swaps are accounted for as cash flow hedges.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interest rate swaps at October 27, 2017 is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Term</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7"/>
        </w:trPr>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Trade Date</w:t>
            </w:r>
          </w:p>
        </w:tc>
        <w:tc>
          <w:tcPr>
            <w:tcW w:w="18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Effective Date</w:t>
            </w: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(in Years)</w:t>
            </w:r>
          </w:p>
        </w:tc>
        <w:tc>
          <w:tcPr>
            <w:tcW w:w="16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Notional Amount</w:t>
            </w: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Fixed Rate</w:t>
            </w:r>
          </w:p>
        </w:tc>
        <w:tc>
          <w:tcPr>
            <w:tcW w:w="180" w:type="dxa"/>
            <w:vAlign w:val="bottom"/>
          </w:tcPr>
          <w:p>
            <w:pPr>
              <w:spacing w:after="0"/>
              <w:rPr>
                <w:sz w:val="20"/>
                <w:szCs w:val="20"/>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18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May 3, 2015</w:t>
            </w: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50,000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April 22, 2013</w:t>
            </w:r>
          </w:p>
        </w:tc>
        <w:tc>
          <w:tcPr>
            <w:tcW w:w="1820" w:type="dxa"/>
            <w:vAlign w:val="bottom"/>
          </w:tcPr>
          <w:p>
            <w:pPr>
              <w:ind w:left="880"/>
              <w:spacing w:after="0"/>
              <w:rPr>
                <w:sz w:val="20"/>
                <w:szCs w:val="20"/>
                <w:color w:val="auto"/>
              </w:rPr>
            </w:pPr>
            <w:r>
              <w:rPr>
                <w:rFonts w:ascii="Arial" w:cs="Arial" w:eastAsia="Arial" w:hAnsi="Arial"/>
                <w:sz w:val="18"/>
                <w:szCs w:val="18"/>
                <w:color w:val="auto"/>
                <w:w w:val="92"/>
              </w:rPr>
              <w:t>May 3, 2015</w:t>
            </w:r>
          </w:p>
        </w:tc>
        <w:tc>
          <w:tcPr>
            <w:tcW w:w="172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25,000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18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May 3, 2015</w:t>
            </w: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25,000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June 18, 2014</w:t>
            </w:r>
          </w:p>
        </w:tc>
        <w:tc>
          <w:tcPr>
            <w:tcW w:w="1820" w:type="dxa"/>
            <w:vAlign w:val="bottom"/>
          </w:tcPr>
          <w:p>
            <w:pPr>
              <w:ind w:left="880"/>
              <w:spacing w:after="0"/>
              <w:rPr>
                <w:sz w:val="20"/>
                <w:szCs w:val="20"/>
                <w:color w:val="auto"/>
              </w:rPr>
            </w:pPr>
            <w:r>
              <w:rPr>
                <w:rFonts w:ascii="Arial" w:cs="Arial" w:eastAsia="Arial" w:hAnsi="Arial"/>
                <w:sz w:val="18"/>
                <w:szCs w:val="18"/>
                <w:color w:val="auto"/>
                <w:w w:val="92"/>
              </w:rPr>
              <w:t>May 3, 2015</w:t>
            </w:r>
          </w:p>
        </w:tc>
        <w:tc>
          <w:tcPr>
            <w:tcW w:w="172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120,000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June 24, 2014</w:t>
            </w:r>
          </w:p>
        </w:tc>
        <w:tc>
          <w:tcPr>
            <w:tcW w:w="18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May 3, 2015</w:t>
            </w: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90,000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July 1, 2014</w:t>
            </w:r>
          </w:p>
        </w:tc>
        <w:tc>
          <w:tcPr>
            <w:tcW w:w="1820" w:type="dxa"/>
            <w:vAlign w:val="bottom"/>
          </w:tcPr>
          <w:p>
            <w:pPr>
              <w:ind w:left="880"/>
              <w:spacing w:after="0"/>
              <w:rPr>
                <w:sz w:val="20"/>
                <w:szCs w:val="20"/>
                <w:color w:val="auto"/>
              </w:rPr>
            </w:pPr>
            <w:r>
              <w:rPr>
                <w:rFonts w:ascii="Arial" w:cs="Arial" w:eastAsia="Arial" w:hAnsi="Arial"/>
                <w:sz w:val="18"/>
                <w:szCs w:val="18"/>
                <w:color w:val="auto"/>
                <w:w w:val="92"/>
              </w:rPr>
              <w:t>May 5, 2015</w:t>
            </w:r>
          </w:p>
        </w:tc>
        <w:tc>
          <w:tcPr>
            <w:tcW w:w="172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90,000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18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May 3, 2019</w:t>
            </w: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80,000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January 30, 2015</w:t>
            </w:r>
          </w:p>
        </w:tc>
        <w:tc>
          <w:tcPr>
            <w:tcW w:w="1820" w:type="dxa"/>
            <w:vAlign w:val="bottom"/>
          </w:tcPr>
          <w:p>
            <w:pPr>
              <w:ind w:left="880"/>
              <w:spacing w:after="0"/>
              <w:rPr>
                <w:sz w:val="20"/>
                <w:szCs w:val="20"/>
                <w:color w:val="auto"/>
              </w:rPr>
            </w:pPr>
            <w:r>
              <w:rPr>
                <w:rFonts w:ascii="Arial" w:cs="Arial" w:eastAsia="Arial" w:hAnsi="Arial"/>
                <w:sz w:val="18"/>
                <w:szCs w:val="18"/>
                <w:color w:val="auto"/>
                <w:w w:val="92"/>
              </w:rPr>
              <w:t>May 3, 2019</w:t>
            </w:r>
          </w:p>
        </w:tc>
        <w:tc>
          <w:tcPr>
            <w:tcW w:w="172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60,000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18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May 4, 2021</w:t>
            </w: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120,000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January 30, 2015</w:t>
            </w:r>
          </w:p>
        </w:tc>
        <w:tc>
          <w:tcPr>
            <w:tcW w:w="1820" w:type="dxa"/>
            <w:vAlign w:val="bottom"/>
          </w:tcPr>
          <w:p>
            <w:pPr>
              <w:ind w:left="880"/>
              <w:spacing w:after="0"/>
              <w:rPr>
                <w:sz w:val="20"/>
                <w:szCs w:val="20"/>
                <w:color w:val="auto"/>
              </w:rPr>
            </w:pPr>
            <w:r>
              <w:rPr>
                <w:rFonts w:ascii="Arial" w:cs="Arial" w:eastAsia="Arial" w:hAnsi="Arial"/>
                <w:sz w:val="18"/>
                <w:szCs w:val="18"/>
                <w:color w:val="auto"/>
                <w:w w:val="92"/>
              </w:rPr>
              <w:t>May 3, 2019</w:t>
            </w:r>
          </w:p>
        </w:tc>
        <w:tc>
          <w:tcPr>
            <w:tcW w:w="172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60,000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18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May 4, 2021</w:t>
            </w: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80,000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notional amount for the interest rate swap entered into on June 18, 2014 increases by $40,000 each May over the four-year term of the interest rate swap until the notional amount reaches $160,000 in May 2018. The notional amounts for the interest rate swaps entered into on June 24, 2014 and July 1, 2014 increase by $30,000 each May over the four-year terms of the interest rate swaps until the notional amounts each reach $120,000 in May 2018.</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9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derivative instruments as of October 27, 2017 and July 28, 2017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gridSpan w:val="2"/>
          </w:tcPr>
          <w:p>
            <w:pPr>
              <w:spacing w:after="0"/>
              <w:rPr>
                <w:sz w:val="20"/>
                <w:szCs w:val="20"/>
                <w:color w:val="auto"/>
              </w:rPr>
            </w:pPr>
            <w:r>
              <w:rPr>
                <w:rFonts w:ascii="Arial" w:cs="Arial" w:eastAsia="Arial" w:hAnsi="Arial"/>
                <w:sz w:val="18"/>
                <w:szCs w:val="18"/>
                <w:color w:val="auto"/>
              </w:rPr>
              <w:t>(See Note 3)</w:t>
            </w:r>
          </w:p>
        </w:tc>
        <w:tc>
          <w:tcPr>
            <w:tcW w:w="5200" w:type="dxa"/>
            <w:vAlign w:val="bottom"/>
          </w:tcPr>
          <w:p>
            <w:pPr>
              <w:ind w:left="2780"/>
              <w:spacing w:after="0"/>
              <w:rPr>
                <w:sz w:val="20"/>
                <w:szCs w:val="20"/>
                <w:color w:val="auto"/>
              </w:rPr>
            </w:pPr>
            <w:r>
              <w:rPr>
                <w:rFonts w:ascii="Arial" w:cs="Arial" w:eastAsia="Arial" w:hAnsi="Arial"/>
                <w:sz w:val="18"/>
                <w:szCs w:val="18"/>
                <w:color w:val="auto"/>
              </w:rPr>
              <w:t>Balance Sheet Location</w:t>
            </w:r>
          </w:p>
        </w:tc>
        <w:tc>
          <w:tcPr>
            <w:tcW w:w="2060" w:type="dxa"/>
            <w:vAlign w:val="bottom"/>
            <w:gridSpan w:val="2"/>
          </w:tcPr>
          <w:p>
            <w:pPr>
              <w:ind w:left="700"/>
              <w:spacing w:after="0"/>
              <w:rPr>
                <w:sz w:val="20"/>
                <w:szCs w:val="20"/>
                <w:color w:val="auto"/>
              </w:rPr>
            </w:pPr>
            <w:r>
              <w:rPr>
                <w:rFonts w:ascii="Arial" w:cs="Arial" w:eastAsia="Arial" w:hAnsi="Arial"/>
                <w:sz w:val="18"/>
                <w:szCs w:val="18"/>
                <w:color w:val="auto"/>
                <w:w w:val="96"/>
              </w:rPr>
              <w:t>October 27, 2017</w:t>
            </w:r>
          </w:p>
        </w:tc>
        <w:tc>
          <w:tcPr>
            <w:tcW w:w="1340" w:type="dxa"/>
            <w:vAlign w:val="bottom"/>
            <w:gridSpan w:val="3"/>
          </w:tcPr>
          <w:p>
            <w:pPr>
              <w:ind w:left="180"/>
              <w:spacing w:after="0"/>
              <w:rPr>
                <w:sz w:val="20"/>
                <w:szCs w:val="20"/>
                <w:color w:val="auto"/>
              </w:rPr>
            </w:pPr>
            <w:r>
              <w:rPr>
                <w:rFonts w:ascii="Arial" w:cs="Arial" w:eastAsia="Arial" w:hAnsi="Arial"/>
                <w:sz w:val="18"/>
                <w:szCs w:val="18"/>
                <w:color w:val="auto"/>
              </w:rPr>
              <w:t>July 28, 2017</w:t>
            </w:r>
          </w:p>
        </w:tc>
      </w:tr>
      <w:tr>
        <w:trPr>
          <w:trHeight w:val="216"/>
        </w:trPr>
        <w:tc>
          <w:tcPr>
            <w:tcW w:w="2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0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5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rate swaps</w:t>
            </w:r>
          </w:p>
        </w:tc>
        <w:tc>
          <w:tcPr>
            <w:tcW w:w="520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Other assets</w:t>
            </w:r>
          </w:p>
        </w:tc>
        <w:tc>
          <w:tcPr>
            <w:tcW w:w="1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2820" w:type="dxa"/>
            <w:vAlign w:val="bottom"/>
            <w:gridSpan w:val="2"/>
          </w:tcPr>
          <w:p>
            <w:pPr>
              <w:spacing w:after="0"/>
              <w:rPr>
                <w:sz w:val="18"/>
                <w:szCs w:val="18"/>
                <w:color w:val="auto"/>
              </w:rPr>
            </w:pPr>
          </w:p>
        </w:tc>
        <w:tc>
          <w:tcPr>
            <w:tcW w:w="5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0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Other current liabilities</w:t>
            </w:r>
          </w:p>
        </w:tc>
        <w:tc>
          <w:tcPr>
            <w:tcW w:w="11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5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rate swaps</w:t>
            </w:r>
          </w:p>
        </w:tc>
        <w:tc>
          <w:tcPr>
            <w:tcW w:w="520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Long-term interest rate swap liability</w:t>
            </w:r>
          </w:p>
        </w:tc>
        <w:tc>
          <w:tcPr>
            <w:tcW w:w="1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4,077</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4,080</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offsetting of the Company’s derivative assets in the Condensed Consolidated Balance Sheets at October 27,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28,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Net Asset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4"/>
          </w:tcPr>
          <w:p>
            <w:pPr>
              <w:jc w:val="right"/>
              <w:ind w:right="135"/>
              <w:spacing w:after="0"/>
              <w:rPr>
                <w:sz w:val="20"/>
                <w:szCs w:val="20"/>
                <w:color w:val="auto"/>
              </w:rPr>
            </w:pPr>
            <w:r>
              <w:rPr>
                <w:rFonts w:ascii="Arial" w:cs="Arial" w:eastAsia="Arial" w:hAnsi="Arial"/>
                <w:sz w:val="18"/>
                <w:szCs w:val="18"/>
                <w:color w:val="auto"/>
              </w:rPr>
              <w:t>Gross Asset Amounts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4"/>
          </w:tcPr>
          <w:p>
            <w:pPr>
              <w:ind w:left="260"/>
              <w:spacing w:after="0"/>
              <w:rPr>
                <w:sz w:val="20"/>
                <w:szCs w:val="20"/>
                <w:color w:val="auto"/>
              </w:rPr>
            </w:pPr>
            <w:r>
              <w:rPr>
                <w:rFonts w:ascii="Arial" w:cs="Arial" w:eastAsia="Arial" w:hAnsi="Arial"/>
                <w:sz w:val="18"/>
                <w:szCs w:val="18"/>
                <w:color w:val="auto"/>
              </w:rPr>
              <w:t>Liability Amount Offset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8"/>
                <w:szCs w:val="18"/>
                <w:color w:val="auto"/>
                <w:w w:val="87"/>
              </w:rPr>
              <w:t>in the Balance Sheets</w:t>
            </w: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91"/>
              </w:rPr>
              <w:t>October 27,</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left="195"/>
              <w:spacing w:after="0" w:line="201" w:lineRule="exact"/>
              <w:rPr>
                <w:sz w:val="20"/>
                <w:szCs w:val="20"/>
                <w:color w:val="auto"/>
              </w:rPr>
            </w:pPr>
            <w:r>
              <w:rPr>
                <w:rFonts w:ascii="Arial" w:cs="Arial" w:eastAsia="Arial" w:hAnsi="Arial"/>
                <w:sz w:val="18"/>
                <w:szCs w:val="18"/>
                <w:color w:val="auto"/>
                <w:w w:val="90"/>
              </w:rPr>
              <w:t>July 28,</w:t>
            </w:r>
          </w:p>
        </w:tc>
        <w:tc>
          <w:tcPr>
            <w:tcW w:w="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October 27,</w:t>
            </w: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left="115"/>
              <w:spacing w:after="0" w:line="201" w:lineRule="exact"/>
              <w:rPr>
                <w:sz w:val="20"/>
                <w:szCs w:val="20"/>
                <w:color w:val="auto"/>
              </w:rPr>
            </w:pPr>
            <w:r>
              <w:rPr>
                <w:rFonts w:ascii="Arial" w:cs="Arial" w:eastAsia="Arial" w:hAnsi="Arial"/>
                <w:sz w:val="18"/>
                <w:szCs w:val="18"/>
                <w:color w:val="auto"/>
                <w:w w:val="90"/>
              </w:rPr>
              <w:t>July 28,</w:t>
            </w:r>
          </w:p>
        </w:tc>
        <w:tc>
          <w:tcPr>
            <w:tcW w:w="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1"/>
              </w:rPr>
              <w:t>October 27,</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0"/>
              </w:rPr>
              <w:t>July 28,</w:t>
            </w:r>
          </w:p>
        </w:tc>
        <w:tc>
          <w:tcPr>
            <w:tcW w:w="100" w:type="dxa"/>
            <w:vAlign w:val="bottom"/>
          </w:tcPr>
          <w:p>
            <w:pPr>
              <w:spacing w:after="0"/>
              <w:rPr>
                <w:sz w:val="17"/>
                <w:szCs w:val="17"/>
                <w:color w:val="auto"/>
              </w:rPr>
            </w:pPr>
          </w:p>
        </w:tc>
      </w:tr>
      <w:tr>
        <w:trPr>
          <w:trHeight w:val="237"/>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Note 2)</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57"/>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1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5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2"/>
                <w:szCs w:val="22"/>
                <w:color w:val="auto"/>
              </w:rPr>
            </w:pPr>
          </w:p>
        </w:tc>
      </w:tr>
      <w:tr>
        <w:trPr>
          <w:trHeight w:val="562"/>
        </w:trPr>
        <w:tc>
          <w:tcPr>
            <w:tcW w:w="3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4"/>
                <w:szCs w:val="14"/>
                <w:color w:val="auto"/>
                <w:w w:val="89"/>
              </w:rPr>
              <w:t>11</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3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liabilities in the Condensed Consolidated Balance Sheets at October 27, 2017 and July 28,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93"/>
              </w:rPr>
              <w:t>Net Liability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ind w:left="260"/>
              <w:spacing w:after="0"/>
              <w:rPr>
                <w:sz w:val="20"/>
                <w:szCs w:val="20"/>
                <w:color w:val="auto"/>
              </w:rPr>
            </w:pPr>
            <w:r>
              <w:rPr>
                <w:rFonts w:ascii="Arial" w:cs="Arial" w:eastAsia="Arial" w:hAnsi="Arial"/>
                <w:sz w:val="18"/>
                <w:szCs w:val="18"/>
                <w:color w:val="auto"/>
              </w:rPr>
              <w:t>Gross Liability Amounts</w:t>
            </w:r>
          </w:p>
        </w:tc>
        <w:tc>
          <w:tcPr>
            <w:tcW w:w="120" w:type="dxa"/>
            <w:vAlign w:val="bottom"/>
          </w:tcPr>
          <w:p>
            <w:pPr>
              <w:spacing w:after="0"/>
              <w:rPr>
                <w:sz w:val="20"/>
                <w:szCs w:val="20"/>
                <w:color w:val="auto"/>
              </w:rPr>
            </w:pPr>
          </w:p>
        </w:tc>
        <w:tc>
          <w:tcPr>
            <w:tcW w:w="2160" w:type="dxa"/>
            <w:vAlign w:val="bottom"/>
            <w:gridSpan w:val="4"/>
          </w:tcPr>
          <w:p>
            <w:pPr>
              <w:jc w:val="right"/>
              <w:ind w:right="177"/>
              <w:spacing w:after="0"/>
              <w:rPr>
                <w:sz w:val="20"/>
                <w:szCs w:val="20"/>
                <w:color w:val="auto"/>
              </w:rPr>
            </w:pPr>
            <w:r>
              <w:rPr>
                <w:rFonts w:ascii="Arial" w:cs="Arial" w:eastAsia="Arial" w:hAnsi="Arial"/>
                <w:sz w:val="18"/>
                <w:szCs w:val="18"/>
                <w:color w:val="auto"/>
              </w:rPr>
              <w:t>Asset Amount Offset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87"/>
              </w:rPr>
              <w:t>in the Balance Sheets</w:t>
            </w: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October 27,</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0"/>
              </w:rPr>
              <w:t>July 28,</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1"/>
              </w:rPr>
              <w:t>October 27,</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left="117"/>
              <w:spacing w:after="0" w:line="201" w:lineRule="exact"/>
              <w:rPr>
                <w:sz w:val="20"/>
                <w:szCs w:val="20"/>
                <w:color w:val="auto"/>
              </w:rPr>
            </w:pPr>
            <w:r>
              <w:rPr>
                <w:rFonts w:ascii="Arial" w:cs="Arial" w:eastAsia="Arial" w:hAnsi="Arial"/>
                <w:sz w:val="18"/>
                <w:szCs w:val="18"/>
                <w:color w:val="auto"/>
                <w:w w:val="90"/>
              </w:rPr>
              <w:t>July 28,</w:t>
            </w:r>
          </w:p>
        </w:tc>
        <w:tc>
          <w:tcPr>
            <w:tcW w:w="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line="201" w:lineRule="exact"/>
              <w:rPr>
                <w:sz w:val="20"/>
                <w:szCs w:val="20"/>
                <w:color w:val="auto"/>
              </w:rPr>
            </w:pPr>
            <w:r>
              <w:rPr>
                <w:rFonts w:ascii="Arial" w:cs="Arial" w:eastAsia="Arial" w:hAnsi="Arial"/>
                <w:sz w:val="18"/>
                <w:szCs w:val="18"/>
                <w:color w:val="auto"/>
                <w:w w:val="91"/>
              </w:rPr>
              <w:t>October 27,</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0"/>
              </w:rPr>
              <w:t>July 28,</w:t>
            </w:r>
          </w:p>
        </w:tc>
        <w:tc>
          <w:tcPr>
            <w:tcW w:w="100" w:type="dxa"/>
            <w:vAlign w:val="bottom"/>
          </w:tcPr>
          <w:p>
            <w:pPr>
              <w:spacing w:after="0"/>
              <w:rPr>
                <w:sz w:val="17"/>
                <w:szCs w:val="17"/>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20" w:type="dxa"/>
            <w:vAlign w:val="bottom"/>
          </w:tcPr>
          <w:p>
            <w:pPr>
              <w:spacing w:after="0"/>
              <w:rPr>
                <w:sz w:val="20"/>
                <w:szCs w:val="20"/>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040" w:type="dxa"/>
            <w:vAlign w:val="bottom"/>
            <w:gridSpan w:val="2"/>
          </w:tcPr>
          <w:p>
            <w:pPr>
              <w:jc w:val="right"/>
              <w:ind w:right="97"/>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estimated fair value of the Company’s interest rate swap assets and liabilities incorporates the Company’s non-performance risk (see Note 2). The adjustment related to the Company’s non-performance risk at October 27, 2017 and July 28, 2017 resulted in reductions of $18 and $103, respectively, in the fair value of the interest rate swap liabilities. The offset to the interest rate swap asset and liabilities is recorded in accumulated other comprehensive loss (“AOCL”), net of the deferred tax asset, and will be reclassified into earnings over the term of the underlying debt. As of October 27, 2017, the estimated pre-tax portion of AOCL that is expected to be reclassified into earnings over the next twelve months is $2,305. Cash flows related to the interest rate swaps are included in interest expense and in operating activities.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pre-tax effects of the Company’s derivative instruments on AOCL for the three months ended October 27, 2017 and the year ended July 28,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18"/>
                <w:szCs w:val="18"/>
                <w:color w:val="auto"/>
              </w:rPr>
            </w:pPr>
          </w:p>
        </w:tc>
        <w:tc>
          <w:tcPr>
            <w:tcW w:w="3340" w:type="dxa"/>
            <w:vAlign w:val="bottom"/>
            <w:gridSpan w:val="7"/>
          </w:tcPr>
          <w:p>
            <w:pPr>
              <w:ind w:left="20"/>
              <w:spacing w:after="0"/>
              <w:rPr>
                <w:sz w:val="20"/>
                <w:szCs w:val="20"/>
                <w:color w:val="auto"/>
              </w:rPr>
            </w:pPr>
            <w:r>
              <w:rPr>
                <w:rFonts w:ascii="Arial" w:cs="Arial" w:eastAsia="Arial" w:hAnsi="Arial"/>
                <w:sz w:val="18"/>
                <w:szCs w:val="18"/>
                <w:color w:val="auto"/>
                <w:w w:val="95"/>
              </w:rPr>
              <w:t>Amount of Income Recognized in AOCL on</w:t>
            </w:r>
          </w:p>
        </w:tc>
      </w:tr>
      <w:tr>
        <w:trPr>
          <w:trHeight w:val="237"/>
        </w:trPr>
        <w:tc>
          <w:tcPr>
            <w:tcW w:w="8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6"/>
          </w:tcPr>
          <w:p>
            <w:pPr>
              <w:ind w:left="380"/>
              <w:spacing w:after="0"/>
              <w:rPr>
                <w:sz w:val="20"/>
                <w:szCs w:val="20"/>
                <w:color w:val="auto"/>
              </w:rPr>
            </w:pPr>
            <w:r>
              <w:rPr>
                <w:rFonts w:ascii="Arial" w:cs="Arial" w:eastAsia="Arial" w:hAnsi="Arial"/>
                <w:sz w:val="18"/>
                <w:szCs w:val="18"/>
                <w:color w:val="auto"/>
              </w:rPr>
              <w:t>Derivatives (Effective Portion)</w:t>
            </w:r>
          </w:p>
        </w:tc>
      </w:tr>
      <w:tr>
        <w:trPr>
          <w:trHeight w:val="202"/>
        </w:trPr>
        <w:tc>
          <w:tcPr>
            <w:tcW w:w="8080" w:type="dxa"/>
            <w:vAlign w:val="bottom"/>
          </w:tcPr>
          <w:p>
            <w:pPr>
              <w:spacing w:after="0"/>
              <w:rPr>
                <w:sz w:val="17"/>
                <w:szCs w:val="17"/>
                <w:color w:val="auto"/>
              </w:rPr>
            </w:pPr>
          </w:p>
        </w:tc>
        <w:tc>
          <w:tcPr>
            <w:tcW w:w="16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7"/>
              </w:rPr>
              <w:t>Three Months Ended</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86"/>
              </w:rPr>
              <w:t>Year Ended</w:t>
            </w:r>
          </w:p>
        </w:tc>
        <w:tc>
          <w:tcPr>
            <w:tcW w:w="100" w:type="dxa"/>
            <w:vAlign w:val="bottom"/>
          </w:tcPr>
          <w:p>
            <w:pPr>
              <w:spacing w:after="0"/>
              <w:rPr>
                <w:sz w:val="17"/>
                <w:szCs w:val="17"/>
                <w:color w:val="auto"/>
              </w:rPr>
            </w:pPr>
          </w:p>
        </w:tc>
      </w:tr>
      <w:tr>
        <w:trPr>
          <w:trHeight w:val="237"/>
        </w:trPr>
        <w:tc>
          <w:tcPr>
            <w:tcW w:w="8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October 27, 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July 28, 2017</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Cash flow hedges:</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pre-tax effects of the Company’s derivative instruments on income for the quarters ended October 27,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28, 2016: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1"/>
              </w:rPr>
              <w:t>Location of Loss Reclassified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8"/>
                <w:szCs w:val="18"/>
                <w:color w:val="auto"/>
                <w:w w:val="92"/>
              </w:rPr>
              <w:t>Amount of Loss Reclassified</w:t>
            </w:r>
          </w:p>
        </w:tc>
      </w:tr>
      <w:tr>
        <w:trPr>
          <w:trHeight w:val="216"/>
        </w:trPr>
        <w:tc>
          <w:tcPr>
            <w:tcW w:w="436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4"/>
              </w:rPr>
              <w:t>from AOCL into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8"/>
                <w:szCs w:val="18"/>
                <w:color w:val="auto"/>
                <w:w w:val="94"/>
              </w:rPr>
              <w:t>from AOCL into Income</w:t>
            </w:r>
          </w:p>
        </w:tc>
      </w:tr>
      <w:tr>
        <w:trPr>
          <w:trHeight w:val="237"/>
        </w:trPr>
        <w:tc>
          <w:tcPr>
            <w:tcW w:w="436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3"/>
              </w:rPr>
              <w:t>(Effective Portion)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8"/>
                <w:szCs w:val="18"/>
                <w:color w:val="auto"/>
                <w:w w:val="93"/>
              </w:rPr>
              <w:t>(Effective Portion)</w:t>
            </w:r>
          </w:p>
        </w:tc>
      </w:tr>
      <w:tr>
        <w:trPr>
          <w:trHeight w:val="223"/>
        </w:trPr>
        <w:tc>
          <w:tcPr>
            <w:tcW w:w="4360" w:type="dxa"/>
            <w:vAlign w:val="bottom"/>
          </w:tcPr>
          <w:p>
            <w:pPr>
              <w:spacing w:after="0"/>
              <w:rPr>
                <w:sz w:val="19"/>
                <w:szCs w:val="19"/>
                <w:color w:val="auto"/>
              </w:rPr>
            </w:pPr>
          </w:p>
        </w:tc>
        <w:tc>
          <w:tcPr>
            <w:tcW w:w="4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5"/>
          </w:tcPr>
          <w:p>
            <w:pPr>
              <w:jc w:val="center"/>
              <w:ind w:right="30"/>
              <w:spacing w:after="0"/>
              <w:rPr>
                <w:sz w:val="20"/>
                <w:szCs w:val="20"/>
                <w:color w:val="auto"/>
              </w:rPr>
            </w:pPr>
            <w:r>
              <w:rPr>
                <w:rFonts w:ascii="Arial" w:cs="Arial" w:eastAsia="Arial" w:hAnsi="Arial"/>
                <w:sz w:val="18"/>
                <w:szCs w:val="18"/>
                <w:color w:val="auto"/>
                <w:w w:val="89"/>
              </w:rPr>
              <w:t>Quarter Ended</w:t>
            </w:r>
          </w:p>
        </w:tc>
        <w:tc>
          <w:tcPr>
            <w:tcW w:w="100" w:type="dxa"/>
            <w:vAlign w:val="bottom"/>
          </w:tcPr>
          <w:p>
            <w:pPr>
              <w:spacing w:after="0"/>
              <w:rPr>
                <w:sz w:val="19"/>
                <w:szCs w:val="19"/>
                <w:color w:val="auto"/>
              </w:rPr>
            </w:pPr>
          </w:p>
        </w:tc>
      </w:tr>
      <w:tr>
        <w:trPr>
          <w:trHeight w:val="202"/>
        </w:trPr>
        <w:tc>
          <w:tcPr>
            <w:tcW w:w="43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October 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October 28,</w:t>
            </w:r>
          </w:p>
        </w:tc>
        <w:tc>
          <w:tcPr>
            <w:tcW w:w="100" w:type="dxa"/>
            <w:vAlign w:val="bottom"/>
          </w:tcPr>
          <w:p>
            <w:pPr>
              <w:spacing w:after="0"/>
              <w:rPr>
                <w:sz w:val="17"/>
                <w:szCs w:val="17"/>
                <w:color w:val="auto"/>
              </w:rPr>
            </w:pPr>
          </w:p>
        </w:tc>
      </w:tr>
      <w:tr>
        <w:trPr>
          <w:trHeight w:val="237"/>
        </w:trPr>
        <w:tc>
          <w:tcPr>
            <w:tcW w:w="43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Cash flow hedges:</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r>
      <w:tr>
        <w:trPr>
          <w:trHeight w:val="20"/>
        </w:trPr>
        <w:tc>
          <w:tcPr>
            <w:tcW w:w="436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portion of the fair value of the swaps determined to be ineffective will be recognized currently in earnings. No ineffectiveness has been recorded in the three-month periods ended October 27, 2017 and October 28, 2016.</w:t>
      </w:r>
    </w:p>
    <w:p>
      <w:pPr>
        <w:spacing w:after="0" w:line="19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Shareholders’ Equity</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months ended October 27, 2017, the Company issued 39,111 shares of its common stock resulting from the vesting of share-based compensation awards and stock option exercises. Related tax withholding payments on these share-based compensation awards exceeded proceeds received from the exercise of stock options, which resulted in a net reduction to shareholders’ equity of $3,383.</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months ended October 27, 2017, the Company repurchased 100,000 shares of its common stock in the open market at an aggregate cost of $14,772.</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October 27, 2017, total share-based compensation expense was $2,035.</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three months ended October 27, 2017, the Company paid regular dividends of $1.20 per share of its common stock and declared a regular dividend of $1.20 per share of its common stock that was paid on November 6, 2017 to shareholders of record on October 13, 2017.</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changes in AOCL, net of tax, related to the Company’s interest rate swaps for the three months ended October 27, 2017 (see Notes 2 and 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99"/>
              </w:rPr>
              <w:t>Changes in AOCL</w:t>
            </w:r>
          </w:p>
        </w:tc>
      </w:tr>
      <w:tr>
        <w:trPr>
          <w:trHeight w:val="223"/>
        </w:trPr>
        <w:tc>
          <w:tcPr>
            <w:tcW w:w="20" w:type="dxa"/>
            <w:vAlign w:val="bottom"/>
          </w:tcPr>
          <w:p>
            <w:pPr>
              <w:spacing w:after="0"/>
              <w:rPr>
                <w:sz w:val="19"/>
                <w:szCs w:val="19"/>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AOCL balance at July 28, 2017</w:t>
            </w: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Other comprehensive income before reclassifications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AOCL</w:t>
            </w: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w:t>
            </w:r>
          </w:p>
        </w:tc>
      </w:tr>
      <w:tr>
        <w:trPr>
          <w:trHeight w:val="223"/>
        </w:trPr>
        <w:tc>
          <w:tcPr>
            <w:tcW w:w="20" w:type="dxa"/>
            <w:vAlign w:val="bottom"/>
          </w:tcPr>
          <w:p>
            <w:pPr>
              <w:spacing w:after="0"/>
              <w:rPr>
                <w:sz w:val="19"/>
                <w:szCs w:val="19"/>
                <w:color w:val="auto"/>
              </w:rPr>
            </w:pPr>
          </w:p>
        </w:tc>
        <w:tc>
          <w:tcPr>
            <w:tcW w:w="99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Other comprehensive income, net of tax</w:t>
            </w:r>
          </w:p>
        </w:tc>
        <w:tc>
          <w:tcPr>
            <w:tcW w:w="4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AOCL balance at October 27, 2017</w:t>
            </w: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summarizes the amounts reclassified out of AOCL related to the Company’s interest rate swaps for the quarter ended October 27,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tcPr>
          <w:p>
            <w:pPr>
              <w:jc w:val="center"/>
              <w:ind w:left="10"/>
              <w:spacing w:after="0"/>
              <w:rPr>
                <w:sz w:val="20"/>
                <w:szCs w:val="20"/>
                <w:color w:val="auto"/>
              </w:rPr>
            </w:pPr>
            <w:r>
              <w:rPr>
                <w:rFonts w:ascii="Arial" w:cs="Arial" w:eastAsia="Arial" w:hAnsi="Arial"/>
                <w:sz w:val="18"/>
                <w:szCs w:val="18"/>
                <w:color w:val="auto"/>
                <w:w w:val="93"/>
              </w:rPr>
              <w:t>Affected Line Item in the</w:t>
            </w: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Amount Reclassified</w:t>
            </w:r>
          </w:p>
        </w:tc>
        <w:tc>
          <w:tcPr>
            <w:tcW w:w="4840" w:type="dxa"/>
            <w:vAlign w:val="bottom"/>
          </w:tcPr>
          <w:p>
            <w:pPr>
              <w:jc w:val="center"/>
              <w:ind w:left="10"/>
              <w:spacing w:after="0"/>
              <w:rPr>
                <w:sz w:val="20"/>
                <w:szCs w:val="20"/>
                <w:color w:val="auto"/>
              </w:rPr>
            </w:pPr>
            <w:r>
              <w:rPr>
                <w:rFonts w:ascii="Arial" w:cs="Arial" w:eastAsia="Arial" w:hAnsi="Arial"/>
                <w:sz w:val="18"/>
                <w:szCs w:val="18"/>
                <w:color w:val="auto"/>
                <w:w w:val="88"/>
              </w:rPr>
              <w:t>Condensed Consolidated</w:t>
            </w: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Details about AOCL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from AOCL</w:t>
            </w:r>
          </w:p>
        </w:tc>
        <w:tc>
          <w:tcPr>
            <w:tcW w:w="4840" w:type="dxa"/>
            <w:vAlign w:val="bottom"/>
          </w:tcPr>
          <w:p>
            <w:pPr>
              <w:jc w:val="center"/>
              <w:ind w:left="10"/>
              <w:spacing w:after="0"/>
              <w:rPr>
                <w:sz w:val="20"/>
                <w:szCs w:val="20"/>
                <w:color w:val="auto"/>
              </w:rPr>
            </w:pPr>
            <w:r>
              <w:rPr>
                <w:rFonts w:ascii="Arial" w:cs="Arial" w:eastAsia="Arial" w:hAnsi="Arial"/>
                <w:sz w:val="18"/>
                <w:szCs w:val="18"/>
                <w:color w:val="auto"/>
                <w:w w:val="90"/>
              </w:rPr>
              <w:t>Statement of Income</w:t>
            </w:r>
          </w:p>
        </w:tc>
      </w:tr>
      <w:tr>
        <w:trPr>
          <w:trHeight w:val="216"/>
        </w:trPr>
        <w:tc>
          <w:tcPr>
            <w:tcW w:w="48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Loss on cash flow hedges: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tcBorders>
              <w:top w:val="single" w:sz="8" w:color="auto"/>
            </w:tcBorders>
          </w:tcPr>
          <w:p>
            <w:pPr>
              <w:spacing w:after="0"/>
              <w:rPr>
                <w:sz w:val="18"/>
                <w:szCs w:val="18"/>
                <w:color w:val="auto"/>
              </w:rPr>
            </w:pPr>
          </w:p>
        </w:tc>
      </w:tr>
      <w:tr>
        <w:trPr>
          <w:trHeight w:val="216"/>
        </w:trPr>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(1,064)</w:t>
            </w: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r>
      <w:tr>
        <w:trPr>
          <w:trHeight w:val="223"/>
        </w:trPr>
        <w:tc>
          <w:tcPr>
            <w:tcW w:w="4840" w:type="dxa"/>
            <w:vAlign w:val="bottom"/>
          </w:tcPr>
          <w:p>
            <w:pPr>
              <w:ind w:left="180"/>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Provision for income taxes</w:t>
            </w:r>
          </w:p>
        </w:tc>
      </w:tr>
      <w:tr>
        <w:trPr>
          <w:trHeight w:val="257"/>
        </w:trPr>
        <w:tc>
          <w:tcPr>
            <w:tcW w:w="4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of tax</w:t>
            </w:r>
          </w:p>
        </w:tc>
      </w:tr>
    </w:tbl>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Historically, the net income of the Company has been lower in the first and third quarters and higher in the second and fourth quarters. Management attributes these variations to the holiday shopping season and the summer vacation and travel season. The Company's retail sales, which are made substantially to the Company’s restaurant customers, historically have been highest in the Company's second quarter, which includes the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20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for the specified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r>
      <w:tr>
        <w:trPr>
          <w:trHeight w:val="202"/>
        </w:trPr>
        <w:tc>
          <w:tcPr>
            <w:tcW w:w="49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1"/>
              </w:rPr>
              <w:t>October 27,</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28,</w:t>
            </w:r>
          </w:p>
        </w:tc>
        <w:tc>
          <w:tcPr>
            <w:tcW w:w="100" w:type="dxa"/>
            <w:vAlign w:val="bottom"/>
          </w:tcPr>
          <w:p>
            <w:pPr>
              <w:spacing w:after="0"/>
              <w:rPr>
                <w:sz w:val="17"/>
                <w:szCs w:val="17"/>
                <w:color w:val="auto"/>
              </w:rPr>
            </w:pPr>
          </w:p>
        </w:tc>
      </w:tr>
      <w:tr>
        <w:trPr>
          <w:trHeight w:val="237"/>
        </w:trPr>
        <w:tc>
          <w:tcPr>
            <w:tcW w:w="49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Revenue:</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573,677</w:t>
            </w:r>
          </w:p>
        </w:tc>
      </w:tr>
      <w:tr>
        <w:trPr>
          <w:trHeight w:val="223"/>
        </w:trPr>
        <w:tc>
          <w:tcPr>
            <w:tcW w:w="4980" w:type="dxa"/>
            <w:vAlign w:val="bottom"/>
          </w:tcPr>
          <w:p>
            <w:pPr>
              <w:ind w:left="180"/>
              <w:spacing w:after="0"/>
              <w:rPr>
                <w:sz w:val="20"/>
                <w:szCs w:val="20"/>
                <w:color w:val="auto"/>
              </w:rPr>
            </w:pPr>
            <w:r>
              <w:rPr>
                <w:rFonts w:ascii="Arial" w:cs="Arial" w:eastAsia="Arial" w:hAnsi="Arial"/>
                <w:sz w:val="18"/>
                <w:szCs w:val="18"/>
                <w:color w:val="auto"/>
              </w:rPr>
              <w:t>Retail</w:t>
            </w: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132,131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136,294</w:t>
            </w:r>
          </w:p>
        </w:tc>
      </w:tr>
      <w:tr>
        <w:trPr>
          <w:trHeight w:val="257"/>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710,368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709,971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Share-based compensation is recorded in general and administrative expenses in the accompanying Condensed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was comprised of the following for the specified periods: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r>
      <w:tr>
        <w:trPr>
          <w:trHeight w:val="202"/>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60"/>
              <w:spacing w:after="0" w:line="201" w:lineRule="exact"/>
              <w:rPr>
                <w:sz w:val="20"/>
                <w:szCs w:val="20"/>
                <w:color w:val="auto"/>
              </w:rPr>
            </w:pPr>
            <w:r>
              <w:rPr>
                <w:rFonts w:ascii="Arial" w:cs="Arial" w:eastAsia="Arial" w:hAnsi="Arial"/>
                <w:sz w:val="18"/>
                <w:szCs w:val="18"/>
                <w:color w:val="auto"/>
                <w:w w:val="91"/>
              </w:rPr>
              <w:t>October 27,</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28,</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 and units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Performance-based market stock units (“MSU Grants”)</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units and MSU Grants issued by the Company are calculated using the treasury stock method. The outstanding stock options, nonvested stock awards and units and MSU Grants issued by the Company represent the only dilutive effects on diluted consolidated net income per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The following table reconciles the components of diluted earnings per share computations: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1"/>
              </w:rPr>
              <w:t>October 27,</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Weighted average shares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24,035,202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24,001,708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Stock options, nonvested stock awards and units and MSU Grants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69,985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97,305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24,105,187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24,099,013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Related to its workers’ compensation insurance coverage, the Company is contingently liable pursuant to standby letters of credit as credit guarantees to certain insurers. As of October 27, 2017, the Company had $9,455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October 27, 2017, the Company is secondarily liable for lease payments associated with two properties occupied by a third party. The Company is not aware of any non-performance under these lease arrangements that would result in the Company having to perform in accordance with the terms of these guarantees; and therefore, no provision has been recorded in the Condensed Consolidated Balance Sheets for amounts to be paid in case of non-performance by the primary obligor under such lease arrangements.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that no such liability has been recorded in the Condensed Consolidated Balance Sheet as of October 27, 2017.</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Cracker Barrel Old Country Store, Inc. and its subsidiaries (collectively, the “Company,” “our” or “we”) are principally engaged in the operation and development in the United States of the Cracker Barrel Old Country StoreÒ (“Cracker Barrel”) concept. At October 27, 2017, we operated 645 Cracker Barrel stores in 44 states and six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locations in four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audited consolidated financial statements and the notes thereto included in the Company’s Annual Report on Form 10-K for the fiscal year ended July 28, 2017 (the “2017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such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2017 Form 10-K, which is incorporated herein by this reference, as well as the factors described under “Critical Accounting Estimates” on pages 22-25 of this report or, from time to time, in our filings with the Securities and Exchange Commission (“SEC”), press releases and other communications.</w:t>
      </w:r>
    </w:p>
    <w:p>
      <w:pPr>
        <w:spacing w:after="0" w:line="198"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and we plan to continue to leverage that strength throughout 2018 to grow sales and profits. Our priorities for 2018 consist of the following:</w:t>
      </w:r>
    </w:p>
    <w:p>
      <w:pPr>
        <w:spacing w:after="0" w:line="17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Enhancing the core business by focusing on value, culinary enhancements and speed of service.</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the footprint in new and developing markets while replenishing our store opening pipeline to accelerate future growth. We anticipate opening eight to nine Cracker Barrel stores during 2018; and</w:t>
      </w:r>
    </w:p>
    <w:p>
      <w:pPr>
        <w:spacing w:after="0" w:line="187" w:lineRule="exact"/>
        <w:rPr>
          <w:rFonts w:ascii="Arial" w:cs="Arial" w:eastAsia="Arial" w:hAnsi="Arial"/>
          <w:sz w:val="18"/>
          <w:szCs w:val="18"/>
          <w:color w:val="auto"/>
        </w:rPr>
      </w:pPr>
    </w:p>
    <w:p>
      <w:pPr>
        <w:ind w:left="660" w:right="20" w:hanging="328"/>
        <w:spacing w:after="0" w:line="22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Extending the brand by optimizing on long-term drivers, such as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to further drive shareholder value. We currently plan to open three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locations during 2018, of which two opened in the first quarter of 2018.</w:t>
      </w:r>
    </w:p>
    <w:p>
      <w:pPr>
        <w:spacing w:after="0" w:line="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continue to be focused on the delivery of our 2018 priorities. We introduced new initiatives tied to our 2018 priorities at our bi-annual manager conference and training event.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highlights our operating results by percentage relationships to total revenue for the quarter ended October 27, 2017 as compared to the same period in the prior year:</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700" w:type="dxa"/>
            <w:vAlign w:val="bottom"/>
            <w:gridSpan w:val="4"/>
          </w:tcPr>
          <w:p>
            <w:pPr>
              <w:jc w:val="right"/>
              <w:ind w:right="92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00"/>
              <w:spacing w:after="0" w:line="201" w:lineRule="exact"/>
              <w:rPr>
                <w:sz w:val="20"/>
                <w:szCs w:val="20"/>
                <w:color w:val="auto"/>
              </w:rPr>
            </w:pPr>
            <w:r>
              <w:rPr>
                <w:rFonts w:ascii="Arial" w:cs="Arial" w:eastAsia="Arial" w:hAnsi="Arial"/>
                <w:sz w:val="18"/>
                <w:szCs w:val="18"/>
                <w:color w:val="auto"/>
              </w:rPr>
              <w:t>October 27,</w:t>
            </w:r>
          </w:p>
        </w:tc>
        <w:tc>
          <w:tcPr>
            <w:tcW w:w="114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October 28,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c>
          <w:tcPr>
            <w:tcW w:w="2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number of stores in operation at the beginning and end of the quarters ended October 27, 2017 and October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600" w:type="dxa"/>
            <w:vAlign w:val="bottom"/>
            <w:gridSpan w:val="4"/>
          </w:tcPr>
          <w:p>
            <w:pPr>
              <w:ind w:left="720"/>
              <w:spacing w:after="0"/>
              <w:rPr>
                <w:sz w:val="20"/>
                <w:szCs w:val="20"/>
                <w:color w:val="auto"/>
              </w:rPr>
            </w:pPr>
            <w:r>
              <w:rPr>
                <w:rFonts w:ascii="Arial" w:cs="Arial" w:eastAsia="Arial" w:hAnsi="Arial"/>
                <w:sz w:val="18"/>
                <w:szCs w:val="18"/>
                <w:color w:val="auto"/>
              </w:rPr>
              <w:t>Quarter Ended</w:t>
            </w:r>
          </w:p>
        </w:tc>
      </w:tr>
      <w:tr>
        <w:trPr>
          <w:trHeight w:val="202"/>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1340" w:type="dxa"/>
            <w:vAlign w:val="bottom"/>
            <w:tcBorders>
              <w:top w:val="single" w:sz="8" w:color="auto"/>
            </w:tcBorders>
            <w:gridSpan w:val="2"/>
          </w:tcPr>
          <w:p>
            <w:pPr>
              <w:ind w:left="140"/>
              <w:spacing w:after="0" w:line="201" w:lineRule="exact"/>
              <w:rPr>
                <w:sz w:val="20"/>
                <w:szCs w:val="20"/>
                <w:color w:val="auto"/>
              </w:rPr>
            </w:pPr>
            <w:r>
              <w:rPr>
                <w:rFonts w:ascii="Arial" w:cs="Arial" w:eastAsia="Arial" w:hAnsi="Arial"/>
                <w:sz w:val="18"/>
                <w:szCs w:val="18"/>
                <w:color w:val="auto"/>
              </w:rPr>
              <w:t>October 27,</w:t>
            </w:r>
          </w:p>
        </w:tc>
        <w:tc>
          <w:tcPr>
            <w:tcW w:w="116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October 28,</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Open at beginning of period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Opened during period</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 at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 for the first quarter of 2018 increased 0.1% compared to the first quarter of 2017.</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highlights the key components of revenue for the quarter ended October 27, 2017 as compared to the quarter ended October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jc w:val="right"/>
              <w:ind w:right="98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w w:val="91"/>
              </w:rPr>
              <w:t>October 27,</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1"/>
              </w:rPr>
              <w:t>October 28,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Revenue in dollars: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578,237</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Retail</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132,131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136,294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2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710,368</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709,971</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Total revenue by percentage relationships: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Retail</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Average unit volumes</w:t>
            </w:r>
            <w:r>
              <w:rPr>
                <w:rFonts w:ascii="Arial" w:cs="Arial" w:eastAsia="Arial" w:hAnsi="Arial"/>
                <w:sz w:val="25"/>
                <w:szCs w:val="25"/>
                <w:color w:val="auto"/>
                <w:vertAlign w:val="superscript"/>
              </w:rPr>
              <w:t>(1):</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889.5</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1,092.7</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increase (decrease):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Pr>
          <w:p>
            <w:pPr>
              <w:ind w:left="480"/>
              <w:spacing w:after="0"/>
              <w:rPr>
                <w:sz w:val="20"/>
                <w:szCs w:val="20"/>
                <w:color w:val="auto"/>
              </w:rPr>
            </w:pPr>
            <w:r>
              <w:rPr>
                <w:rFonts w:ascii="Arial" w:cs="Arial" w:eastAsia="Arial" w:hAnsi="Arial"/>
                <w:sz w:val="18"/>
                <w:szCs w:val="18"/>
                <w:color w:val="auto"/>
              </w:rPr>
              <w:t>Restaurant and retail</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Average unit volumes include sales of all stores.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first quarter of 2018, our comparable store restaurant sales increase consisted of a 2.0% average check increase (including a 2.2% average menu price increase) partially offset by a 1.8% guest traffic decline as compared to the prior year period. We believe that adverse weather had a negative impact on comparable store traffic of approximately 0.3%.</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first quarter of 2018, our comparable store retail sales decrease resulted primarily from the decrease in guest traffic and lower performance in the bed and bath, apparel and accessories, décor, toys and media merchandise categories as compared to the prior year period. We believe that adverse weather had a negative impact on comparable store retail sales of approximately 0.6%.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(Exclusive of Depreciation and Rent)</w:t>
      </w:r>
    </w:p>
    <w:p>
      <w:pPr>
        <w:spacing w:after="0" w:line="256" w:lineRule="exact"/>
        <w:rPr>
          <w:sz w:val="20"/>
          <w:szCs w:val="20"/>
          <w:color w:val="auto"/>
        </w:rPr>
      </w:pPr>
    </w:p>
    <w:p>
      <w:pPr>
        <w:jc w:val="both"/>
        <w:ind w:firstLine="664"/>
        <w:spacing w:after="0" w:line="277" w:lineRule="auto"/>
        <w:rPr>
          <w:sz w:val="20"/>
          <w:szCs w:val="20"/>
          <w:color w:val="auto"/>
        </w:rPr>
      </w:pPr>
      <w:r>
        <w:rPr>
          <w:rFonts w:ascii="Arial" w:cs="Arial" w:eastAsia="Arial" w:hAnsi="Arial"/>
          <w:sz w:val="18"/>
          <w:szCs w:val="18"/>
          <w:color w:val="auto"/>
        </w:rPr>
        <w:t>The following table highlights the components of cost of goods sold (exclusive of depreciation and rent) in dollar amounts and as percentages of revenues for the first quarter of 2018 as compared to the same period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6"/>
          </w:tcPr>
          <w:p>
            <w:pPr>
              <w:ind w:left="620"/>
              <w:spacing w:after="0"/>
              <w:rPr>
                <w:sz w:val="20"/>
                <w:szCs w:val="20"/>
                <w:color w:val="auto"/>
              </w:rPr>
            </w:pPr>
            <w:r>
              <w:rPr>
                <w:rFonts w:ascii="Arial" w:cs="Arial" w:eastAsia="Arial" w:hAnsi="Arial"/>
                <w:sz w:val="18"/>
                <w:szCs w:val="18"/>
                <w:color w:val="auto"/>
              </w:rPr>
              <w:t>Quarter Ended</w:t>
            </w:r>
          </w:p>
        </w:tc>
      </w:tr>
      <w:tr>
        <w:trPr>
          <w:trHeight w:val="202"/>
        </w:trPr>
        <w:tc>
          <w:tcPr>
            <w:tcW w:w="87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October 27,</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1"/>
              </w:rPr>
              <w:t>October 28,</w:t>
            </w:r>
          </w:p>
        </w:tc>
        <w:tc>
          <w:tcPr>
            <w:tcW w:w="160" w:type="dxa"/>
            <w:vAlign w:val="bottom"/>
          </w:tcPr>
          <w:p>
            <w:pPr>
              <w:spacing w:after="0"/>
              <w:rPr>
                <w:sz w:val="17"/>
                <w:szCs w:val="17"/>
                <w:color w:val="auto"/>
              </w:rPr>
            </w:pPr>
          </w:p>
        </w:tc>
      </w:tr>
      <w:tr>
        <w:trPr>
          <w:trHeight w:val="237"/>
        </w:trPr>
        <w:tc>
          <w:tcPr>
            <w:tcW w:w="8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Cost of Goods Sold in dollars: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143,850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145,536</w:t>
            </w:r>
          </w:p>
        </w:tc>
      </w:tr>
      <w:tr>
        <w:trPr>
          <w:trHeight w:val="223"/>
        </w:trPr>
        <w:tc>
          <w:tcPr>
            <w:tcW w:w="8720" w:type="dxa"/>
            <w:vAlign w:val="bottom"/>
          </w:tcPr>
          <w:p>
            <w:pPr>
              <w:ind w:left="18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66,899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67,573</w:t>
            </w:r>
          </w:p>
        </w:tc>
      </w:tr>
      <w:tr>
        <w:trPr>
          <w:trHeight w:val="257"/>
        </w:trPr>
        <w:tc>
          <w:tcPr>
            <w:tcW w:w="8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213,109</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Cost of Goods Sold by percentage of revenue:</w:t>
            </w:r>
          </w:p>
        </w:tc>
        <w:tc>
          <w:tcPr>
            <w:tcW w:w="4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4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ind w:left="180"/>
              <w:spacing w:after="0"/>
              <w:rPr>
                <w:sz w:val="20"/>
                <w:szCs w:val="20"/>
                <w:color w:val="auto"/>
              </w:rPr>
            </w:pPr>
            <w:r>
              <w:rPr>
                <w:rFonts w:ascii="Arial" w:cs="Arial" w:eastAsia="Arial" w:hAnsi="Arial"/>
                <w:sz w:val="18"/>
                <w:szCs w:val="18"/>
                <w:color w:val="auto"/>
              </w:rPr>
              <w:t>Retail</w:t>
            </w:r>
          </w:p>
        </w:tc>
        <w:tc>
          <w:tcPr>
            <w:tcW w:w="4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4240" w:type="dxa"/>
            <w:vAlign w:val="bottom"/>
            <w:vMerge w:val="restart"/>
          </w:tcPr>
          <w:p>
            <w:pPr>
              <w:jc w:val="right"/>
              <w:ind w:right="2868"/>
              <w:spacing w:after="0"/>
              <w:rPr>
                <w:sz w:val="20"/>
                <w:szCs w:val="20"/>
                <w:color w:val="auto"/>
              </w:rPr>
            </w:pPr>
            <w:r>
              <w:rPr>
                <w:rFonts w:ascii="Arial" w:cs="Arial" w:eastAsia="Arial" w:hAnsi="Arial"/>
                <w:sz w:val="14"/>
                <w:szCs w:val="14"/>
                <w:color w:val="auto"/>
              </w:rPr>
              <w:t>17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4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48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decrease in restaurant cost of goods sold as a percentage of restaurant revenue in the first quarter of 2018 as compared to the same period in the prior year was primarily the result of our menu price increase referenced above and a shift to lower cost menu items partially offset by higher food waste. Lower cost menu items accounted for a decrease of 0.2% in restaurant cost of goods sold as a percentage of restaurant revenue for the first quarter of 2018 as compared to the same period in the prior year. Higher food waste accounted for an increase of 0.1% in restaurant cost of goods sold as a percentage of restaurant revenue for the first quarter of 2018 as compared to the same period in the prior year.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presently expect the rate of commodity inflation to be approximately 2.0% to 2.5% in 2018 as compared to 2017.</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retail cost of goods sold as a percentage of retail revenue in the first quarter of 2018 as compared to the prior year quarter resulted primarily from a lower initial margin and an increase in the provision for obsolete inventory.</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First Quarter</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Increase as a Percentage</w:t>
            </w:r>
          </w:p>
        </w:tc>
      </w:tr>
      <w:tr>
        <w:trPr>
          <w:trHeight w:val="237"/>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Retail Revenue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Lower initial margin</w:t>
            </w: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Provision for obsolete inventory</w:t>
            </w: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and Related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Labor and related expenses include all direct and indirect labor and related costs incurred in store operations. Labor and related expenses as a percentage of total revenue decreased to 34.9% in the first quarter of 2018 as compared to 35.1% in the first quarter of 2017. This percentage change resulted from the following:</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4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First Quarter</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4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(Decrease) Increase as a</w:t>
            </w:r>
          </w:p>
        </w:tc>
      </w:tr>
      <w:tr>
        <w:trPr>
          <w:trHeight w:val="237"/>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Workers’ compensation expense</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Other wages</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Lower store bonus expense as a percentage of total revenue for the first quarter of 2018 as compared to the same period in the prior year resulted from lower performance against financial objectives in the first quarter of 2018 as compared to the same period in the prior year.</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Lower workers’ compensation expense as a percentage of total revenue for the first quarter of 2018 as compared to the same period in the prior year resulted primarily from a reduction in reserves based on lower expected future claims activity.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store hourly labor costs as a percentage of total revenue for the first quarter of 2018 as compared to the same period in the prior year resulted primarily from wage inflation exceeding menu price increases.</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increase in other wages as a percentage of total revenue for the first quarter of 2018 as compared to the same period in the prior year resulted primarily from the payment of discretionary pay to employees due to store closures caused by adverse weather in the first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 Operating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bi-annual manager conference and training event.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increased to 20.2% in the first quarter of 2018 as compared to 19.4% in the first quarter of 2017. This percentage change resulted from the following:</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4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First Quarter</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4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Increase (Decrease) as a</w:t>
            </w:r>
          </w:p>
        </w:tc>
      </w:tr>
      <w:tr>
        <w:trPr>
          <w:trHeight w:val="237"/>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Bi-annual manager conference and training event expense</w:t>
            </w: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Supplies expense</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Maintenance expense</w:t>
            </w: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Depreciation expense</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Advertising expense</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General insurance</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first quarter of 2018, we held a bi-annual manager conference and training event which was attended by our store operations management team. We did not hold a manager’s conference and training event in 2017.</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increases in supplies and maintenance expenses as a percentage of total revenue for the first quarter of 2018 as compared to the same period in the prior year resulted primarily from the implementation of previously announced initiatives.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increase in depreciation expense as a percentage of total revenue for the first quarter of 2018 as compared to the same period in the prior year resulted from higher capital expenditures in the first quarter of 2018 as compared to the same period in the prior year.</w:t>
      </w:r>
    </w:p>
    <w:p>
      <w:pPr>
        <w:spacing w:after="0" w:line="19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decrease in advertising expense as a percentage of total revenue for the first quarter 2018 as compared to the same period in the prior year resulted primarily from fewer weeks of national television advertising in the first quarter of 2018 as compared to the same period in the prior year.</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decrease in general insurance expense as a percentage of total revenue for the first quarter of 2018 as compared to the same period in the prior year resulted primarily from a reduction in reserves based on lower expected future claims activity.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General and administrative expenses as a percentage of total revenue increased to 5.2% in the first quarter of 2018 as compared to 4.8% in the same period in the prior year. This percentage change resulted primarily from the following:</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First Quarter</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Increase as a Percentage</w:t>
            </w:r>
          </w:p>
        </w:tc>
      </w:tr>
      <w:tr>
        <w:trPr>
          <w:trHeight w:val="237"/>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Travel and meeting expenses</w:t>
            </w: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increase in payroll and related expenses as a percentage of total revenue for the first quarter of 2018 as compared to the same period in the prior year resulted primarily from higher staffing levels and higher average wages.</w:t>
      </w:r>
    </w:p>
    <w:p>
      <w:pPr>
        <w:spacing w:after="0" w:line="19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increase in travel and meeting expenses as a percentage of total revenue for the first quarter of 2018 as compared to the same period in the prior year resulted primarily from travel associated with new store openings and the implementation of previously announced initiatives.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for the first quarter of 2018 remained relatively constant at $3,618 as compared to $3,676 in the first quarter of 2017.</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Provision for income taxes as a percentage of income before income taxes (the “effective tax rate”) was 31.0% and 32.9% in the first quarters of 2018 and 2017, respectively. The reduction in the effective tax rate from the first quarter of 2017 to the first quarter of 2018 resulted primarily from the adoption of new accounting guidance in the first quarter of 2018 which requires the recognition of tax benefits for share-based compensation in the provision for income taxes.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primary sources of liquidity are cash generated from our operations and our borrowing capacity under our $750,000 revolving credit facility (the “Revolving Credit Facility”). Our internally generated cash, along with cash on hand at July 28, 2017, was sufficient to finance all of our growth, dividend payments, share repurchases, working capital needs and other cash payment obligations in the first three months of 2018.</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cash on hand at October 27, 2017, along with cash generated from our operating activities and the borrowing capacity under our Revolving Credit Facility, will be sufficient to finance our continuing operations, expected dividend payments and our continuing expansion plans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Generated From Operations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operating activities provided net cash of $38,277 for the first three months of 2018, which represented an increase from the $34,938 net cash provided during the first three months of 2017. This increase primarily reflected the timing of payments for accounts payable, the timing of payroll payments as compared to the prior year period due to our quarter end dates and lower spending on advertising.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Debt Covenants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October 27, 2017, we had $400,000 of outstanding borrowings under the Revolving Credit Facility and we had $9,455 of standby letters of credit related to securing reserved claims under our workers’ compensation insurance which reduce our borrowing availability under the Revolving Credit Facility. At October 27, 2017, we had $340,545 in borrowing availability under our Revolving Credit Facility. See Note 4 to our Condensed Consolidated Financial Statements for further information on our long-term debt.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Revolving Credit Facility contains customary financial covenants, which include maintenance of a maximum consolidated total leverage ratio and a minimum consolidated interest coverage ratio. We presently are in compliance with all financial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p>
      <w:pPr>
        <w:jc w:val="both"/>
        <w:ind w:firstLine="735"/>
        <w:spacing w:after="0" w:line="234" w:lineRule="auto"/>
        <w:rPr>
          <w:sz w:val="20"/>
          <w:szCs w:val="20"/>
          <w:color w:val="auto"/>
        </w:rPr>
      </w:pPr>
      <w:r>
        <w:rPr>
          <w:rFonts w:ascii="Arial" w:cs="Arial" w:eastAsia="Arial" w:hAnsi="Arial"/>
          <w:sz w:val="18"/>
          <w:szCs w:val="18"/>
          <w:color w:val="auto"/>
        </w:rPr>
        <w:t>Capital expenditures (purchase of property and equipment) net of proceeds from insurance recoveries were $30,527 for the first three months of 2018 as compared to $26,336 for the same period in the prior year. Our capital expenditures consisted primarily of capital investments for existing stores, new store locations and capital expenditures for strategic initiatives. The increase in capital expenditures from the first three months of 2017 to the first three months of 2018 resulted primarily from an increase in the number of new store locations. We estimate that our capital expenditures during 2018 will be between $150,000 and $160,000. This estimate includes the acquisition of sites and construction costs of eight to nine new Cracker Barrel stores and three new Holler &amp; 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locations that we have opened or are expected to open during 2018, as well as for acquisition and construction costs for store locations to be opened in 2019. We also expect to increase capital expenditures for technology and strategic initiatives, which are intended to improve the guest experience and improve margins. We intend to fund our capital expenditures with cash flows from operations and borrowings under our Revolving Credit Facility, as necessary.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Share Repurchases and Share-Based Compensation Awards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Revolving Credit Facility imposes restrictions on the amount of dividends we are permitted to pay and the amount of shares we are permitted to repurchase. Under the Revolving Credit Facility, provided there is no default existing and the total of our availability under the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first quarter of 2018, we paid a regular dividend of $1.20 per share and declared a dividend of $1.20 per share that was paid on November 6, 2017 to shareholders of record on October 13, 2017.</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authorized by our Board of Directors to repurchase shares at management’s discretion up to $25,000 during 2018. During the first quarter of 2018, we repurchased 100,000 shares of our common stock in the open market at an aggregate cost of $14,772.</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quarter of 2018, we issued 39,111 shares of our common stock resulting from the vesting of share-based compensation awards and stock option exercises. Related tax withholding payments on these share-based compensation awards exceeded proceeds received from the exercise of stock options, which resulted in a net use of cash of $3,383.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restaurant industry, virtually all sales are either for cash or second-party credit or debit card. Restaurant inventories purchased through our principal food distributor are on terms of net zero days, while restaurant inventories purchased locally are generally financed from normal trade credit. Because of our retail gift shops, which have a lower product turnover than the restaurant business, we carry larger inventories than many other companies in the restaurant industry. Retail inventories purchased domestically are generally financed from normal trade credit, while imported retail inventories are generally purchased through wire transfers. These various trade terms are aided by the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negative working capital of $26,555 at October 27, 2017 versus negative working capital of $16,971 at July 28, 2017. The change in working capital from July 28, 2017 to October 27, 2017 primarily resulted from the use of cash to build retail inventories as well as the decrease in cash resulting from the payment of dividends, share repurchases and capital spending.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2017 Form 10-K for additional information regarding our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Commitments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material changes in our material commitments other than in the ordinary course of business since the end of 2017. Refer to the sub-section entitled “Material Commitments” under the section entitled “Liquidity and Capital Resources” presented in the MD&amp;A of our 2017 Form 10-K for additional information regarding our material commitments.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 Adopted and Not Adopted</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See Note 1 to the accompanying Condensed Consolidated Financial Statements for a discussion of recent accounting guidance adopted and not yet adopted. The adopted accounting guidance discussed in Note 1 did not have a significant impact on our consolidated financial position or results of operations. Regarding the accounting guidance not yet adopted, we are either still evaluating the impact of adopting the accounting guidance or the accounting guidance is not expected to have a significant impact on our consolidated financial position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of America.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the 2017 Form 10-K. Judgments and uncertainties affecting the application of those policies may result in materially different amounts being reported under different conditions or using different assumptions.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1000" w:hanging="330"/>
        <w:spacing w:after="0" w:line="26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and Provision for Asset Dispositions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first three months of 2018,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$750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incidence or settlement of individual large claims during the interim periods between actuarial studies as another means of estimating the adequacy of our reserves.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Additionally, we record a liability for unpaid prescription drug claims based on historical experience.</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three months of 2018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Inventory Valuation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quarter based upon a cyclical inventory schedule. An estimate of shrinkage is recorded for the time period between physical inventory counts by using a three-year average of the physical inventories’ results on a store-by-store basis.</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three months of 2018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Provision</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must make estimates of certain items that comprise our income tax provision. These estimates include effective state and local income tax rates, employer tax credits for items such as FICA taxes paid on employee tip income, WOTC, as well as estimates related to certain depreciation and capitalization policies. Our estimates are made based on current tax laws, the best available information at the time of the provision and historical experience.</w:t>
      </w:r>
    </w:p>
    <w:p>
      <w:pPr>
        <w:spacing w:after="0" w:line="1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13 to our Consolidated Financial Statements contained in the 2017 Form 10-K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share-based compensation consists of nonvested stock awards and units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share-based compensation awards accrue dividends. Dividends will be forfeited for any share-based compensation awards that do not vest.</w:t>
      </w:r>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nonvested stock awards which accrue dividends is equal to the market price of our common stock at the date of grant. Our nonvested stock awards are time vested except for certain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requiring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second business day of the performance period. This model also incorporates the following ranges of assumptions:</w:t>
      </w:r>
    </w:p>
    <w:p>
      <w:pPr>
        <w:spacing w:after="0" w:line="214" w:lineRule="exact"/>
        <w:rPr>
          <w:sz w:val="20"/>
          <w:szCs w:val="20"/>
          <w:color w:val="auto"/>
        </w:rPr>
      </w:pPr>
    </w:p>
    <w:p>
      <w:pPr>
        <w:ind w:left="660" w:right="2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performance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expected dividend yield is assumed to be zero since the award holders are entitled to any dividends paid over the performance period.</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update the historical and implied components of the expected volatility assumption when new grants are made. No MSU Grants have been awarded in 2017 or in 2018.</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Beginning in 2017, we adopted long-term incentive plans that award nonvested stock units based upon relative total shareholder return. In addition to requiring the requisite service, these nonvested stock units contain both a market condition based on relative total shareholder return and a performance condition based on operating income. Relative total shareholder return is defined as increases in our stock price plus dividends paid during the performance period as compared to the total shareholder return of a group of peer companies determined by the Compensation Committee. The number of shares awarded at the end of the performance period for each nonvested stock unit may range from 75% to 125% of the target award.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these nonvested stock units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second business day of the performance period. This model also incorporates the following ranges of assumptions:</w:t>
      </w:r>
    </w:p>
    <w:p>
      <w:pPr>
        <w:spacing w:after="0" w:line="214"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expected volatility is the historical volatility of our stock and the members of the peer group over the period commensurate with the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performance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expected dividend yield is assumed to be zero since the award holders are entitled to any dividends paid over the performance period.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We will update the expected volatility assumption when new grants are made.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first three months of 2018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parties to various legal and regulatory proceedings and claims incidental to our business from time to time. We review outstanding claims and proceedings internally and with external counsel, as necessary and appropriate, to assess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than the amount of the recorded reserve. Although we believe that the judgments and estimates used in establishing our legal reserves are reasonable, an unsuccessful legal proceeding or a settlement could result in material adjustments to our Consolidated Financial Statements and our consolidated financial position.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II, Item 7A of the 2017 Form 10-K is incorporated in this item of this Quarterly Report on Form 10-Q by this reference. There have been no material changes in our quantitative and qualitative market risks since July 28, 2017.</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October 27, 2017, our disclosure controls and procedures were effective for the purposes set forth in the definition thereof in Exchange Act Rule 13a-15(e).</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October 27, 2017 in our internal control over financial reporting (as defined in Exchange Act Rule 13a-15(f)) that have materially affected, or are reasonably likely to materially affect, our internal control over financial reporting.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the risk factors previously disclosed in “Item 1A. Risk Factors” of our 2017 Form 10-K.</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 were no equity securities sold by the Company during the period covered by this Form 10-Q that were not registered under the Securities Act of 1933,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with respect to purchases of shares of the Company’s common stock made during the quarter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 by or on behalf of the Company or any “affiliated purchaser,” as defined by Rule 10b-18(a)(3) of the Exchange Act: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2"/>
              </w:rPr>
              <w:t>Total Number of</w:t>
            </w:r>
          </w:p>
        </w:tc>
        <w:tc>
          <w:tcPr>
            <w:tcW w:w="3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 as</w:t>
            </w: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Shares (or Approximate</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Part of Publicly</w:t>
            </w: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Dollar Value) that May</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Total Number</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Average Price</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Announced</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Yet Be Purchased</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of Shares</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Paid Per</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Plans or</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Under the Plans or</w:t>
            </w:r>
          </w:p>
        </w:tc>
      </w:tr>
      <w:tr>
        <w:trPr>
          <w:trHeight w:val="237"/>
        </w:trPr>
        <w:tc>
          <w:tcPr>
            <w:tcW w:w="20" w:type="dxa"/>
            <w:vAlign w:val="bottom"/>
          </w:tcPr>
          <w:p>
            <w:pPr>
              <w:spacing w:after="0"/>
              <w:rPr>
                <w:sz w:val="20"/>
                <w:szCs w:val="20"/>
                <w:color w:val="auto"/>
              </w:rPr>
            </w:pPr>
          </w:p>
        </w:tc>
        <w:tc>
          <w:tcPr>
            <w:tcW w:w="3640" w:type="dxa"/>
            <w:vAlign w:val="bottom"/>
          </w:tcPr>
          <w:p>
            <w:pPr>
              <w:ind w:left="158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Share (1)</w:t>
            </w:r>
          </w:p>
        </w:tc>
        <w:tc>
          <w:tcPr>
            <w:tcW w:w="12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Programs</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Programs</w:t>
            </w: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7/29/17 – 8/25/17</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Indeterminate (2)</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8/26/17 – 9/22/17</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94,200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147.74</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94,200</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Indeterminate (2)</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9/23/17 – 10/27/17</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147.39</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5,800</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Indeterminate (2)</w:t>
            </w: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for the quarter</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147.72</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100,000</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Indeterminate (2)</w:t>
            </w:r>
          </w:p>
        </w:tc>
      </w:tr>
    </w:tbl>
    <w:p>
      <w:pPr>
        <w:spacing w:after="0" w:line="21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price paid per share is calculated on a settlement basis and includes commissions and fees.</w:t>
      </w:r>
    </w:p>
    <w:p>
      <w:pPr>
        <w:spacing w:after="0" w:line="252"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September 22, 2016, our Board of Directors approved the repurchase of up to $25,000 of our common stock, with such authorization to expire on October 6, 2017 to the extent it remained unused. On September 29, 2017, we announced our Board of Directors had authorized new share repurchases for up to $25,000 of our common stock, with such authorization to expire on October 5, 2018. The share repurchase authorization was effective immediately and replaced the prior share repurchase authorization.</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immediately prior to the signature page 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INDEX TO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900" w:type="dxa"/>
            <w:vAlign w:val="bottom"/>
            <w:gridSpan w:val="2"/>
            <w:shd w:val="clear" w:color="auto" w:fill="CCEEFF"/>
          </w:tcPr>
          <w:p>
            <w:pPr>
              <w:spacing w:after="0"/>
              <w:rPr>
                <w:rFonts w:ascii="Arial" w:cs="Arial" w:eastAsia="Arial" w:hAnsi="Arial"/>
                <w:sz w:val="18"/>
                <w:szCs w:val="18"/>
                <w:color w:val="0000EE"/>
              </w:rPr>
            </w:pPr>
            <w:hyperlink r:id="rId3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 xml:space="preserve">Cracker Barrel Old Country Store, Inc. and Subsidiaries FY2018 Annual Bonus Plan </w:t>
            </w:r>
            <w:r>
              <w:rPr>
                <w:rFonts w:ascii="Arial" w:cs="Arial" w:eastAsia="Arial" w:hAnsi="Arial"/>
                <w:sz w:val="30"/>
                <w:szCs w:val="30"/>
                <w:color w:val="auto"/>
                <w:w w:val="95"/>
                <w:vertAlign w:val="superscript"/>
              </w:rPr>
              <w:t>†</w:t>
            </w:r>
            <w:r>
              <w:rPr>
                <w:rFonts w:ascii="Arial" w:cs="Arial" w:eastAsia="Arial" w:hAnsi="Arial"/>
                <w:sz w:val="18"/>
                <w:szCs w:val="18"/>
                <w:color w:val="auto"/>
                <w:w w:val="95"/>
              </w:rPr>
              <w:t xml:space="preserve"> (incorporated by reference to Exhibit 10.1 to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Company’s Current Report on Form 8-K filed on October 3,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r:id="rId3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3"/>
                <w:szCs w:val="13"/>
                <w:color w:val="auto"/>
              </w:rPr>
              <w:t>Cracker Barrel Old Country Store, Inc. and Subsidiaries FY2018 Long-Term Incentive Program</w:t>
            </w:r>
            <w:r>
              <w:rPr>
                <w:rFonts w:ascii="Arial" w:cs="Arial" w:eastAsia="Arial" w:hAnsi="Arial"/>
                <w:sz w:val="20"/>
                <w:szCs w:val="20"/>
                <w:color w:val="auto"/>
                <w:vertAlign w:val="superscript"/>
              </w:rPr>
              <w:t>†</w:t>
            </w:r>
            <w:r>
              <w:rPr>
                <w:rFonts w:ascii="Arial" w:cs="Arial" w:eastAsia="Arial" w:hAnsi="Arial"/>
                <w:sz w:val="13"/>
                <w:szCs w:val="13"/>
                <w:color w:val="auto"/>
              </w:rPr>
              <w:t xml:space="preserve"> (incorporated by reference to Exhibit 10.2 to</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the Company’s Current Report on Form 8-K filed on October 3,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Instance Document (filed herewith)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(filed herewith)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(filed herewith)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(filed herewith)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(filed herewith)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(filed herewith)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Denotes management contract or compensatory plan, contract or arrangement.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540" w:type="dxa"/>
            <w:vAlign w:val="bottom"/>
            <w:gridSpan w:val="4"/>
          </w:tcPr>
          <w:p>
            <w:pPr>
              <w:ind w:left="2700"/>
              <w:spacing w:after="0"/>
              <w:rPr>
                <w:sz w:val="20"/>
                <w:szCs w:val="20"/>
                <w:color w:val="auto"/>
              </w:rPr>
            </w:pPr>
            <w:r>
              <w:rPr>
                <w:rFonts w:ascii="Arial" w:cs="Arial" w:eastAsia="Arial" w:hAnsi="Arial"/>
                <w:sz w:val="18"/>
                <w:szCs w:val="18"/>
                <w:b w:val="1"/>
                <w:bCs w:val="1"/>
                <w:color w:val="auto"/>
              </w:rPr>
              <w:t>CRACKER BARREL OLD COUNTRY STORE, INC.</w:t>
            </w:r>
          </w:p>
        </w:tc>
      </w:tr>
      <w:tr>
        <w:trPr>
          <w:trHeight w:val="392"/>
        </w:trPr>
        <w:tc>
          <w:tcPr>
            <w:tcW w:w="1880" w:type="dxa"/>
            <w:vAlign w:val="bottom"/>
            <w:gridSpan w:val="2"/>
          </w:tcPr>
          <w:p>
            <w:pPr>
              <w:spacing w:after="0"/>
              <w:rPr>
                <w:sz w:val="20"/>
                <w:szCs w:val="20"/>
                <w:color w:val="auto"/>
              </w:rPr>
            </w:pPr>
            <w:r>
              <w:rPr>
                <w:rFonts w:ascii="Arial" w:cs="Arial" w:eastAsia="Arial" w:hAnsi="Arial"/>
                <w:sz w:val="18"/>
                <w:szCs w:val="18"/>
                <w:color w:val="auto"/>
                <w:w w:val="90"/>
              </w:rPr>
              <w:t>Date: November 21, 2017</w:t>
            </w:r>
          </w:p>
        </w:tc>
        <w:tc>
          <w:tcPr>
            <w:tcW w:w="3280" w:type="dxa"/>
            <w:vAlign w:val="bottom"/>
          </w:tcPr>
          <w:p>
            <w:pPr>
              <w:ind w:left="2700"/>
              <w:spacing w:after="0"/>
              <w:rPr>
                <w:sz w:val="20"/>
                <w:szCs w:val="20"/>
                <w:color w:val="auto"/>
              </w:rPr>
            </w:pPr>
            <w:r>
              <w:rPr>
                <w:rFonts w:ascii="Arial" w:cs="Arial" w:eastAsia="Arial" w:hAnsi="Arial"/>
                <w:sz w:val="18"/>
                <w:szCs w:val="18"/>
                <w:color w:val="auto"/>
              </w:rPr>
              <w:t>By:</w:t>
            </w:r>
          </w:p>
        </w:tc>
        <w:tc>
          <w:tcPr>
            <w:tcW w:w="6260" w:type="dxa"/>
            <w:vAlign w:val="bottom"/>
            <w:gridSpan w:val="3"/>
          </w:tcPr>
          <w:p>
            <w:pPr>
              <w:spacing w:after="0"/>
              <w:rPr>
                <w:sz w:val="20"/>
                <w:szCs w:val="20"/>
                <w:color w:val="auto"/>
              </w:rPr>
            </w:pPr>
            <w:r>
              <w:rPr>
                <w:rFonts w:ascii="Arial" w:cs="Arial" w:eastAsia="Arial" w:hAnsi="Arial"/>
                <w:sz w:val="18"/>
                <w:szCs w:val="18"/>
                <w:color w:val="auto"/>
              </w:rPr>
              <w:t>/s/Jill M. Golder</w:t>
            </w:r>
          </w:p>
        </w:tc>
      </w:tr>
      <w:tr>
        <w:trPr>
          <w:trHeight w:val="20"/>
        </w:trPr>
        <w:tc>
          <w:tcPr>
            <w:tcW w:w="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Jill M. Golder, Senior Vice President and</w:t>
            </w: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392"/>
        </w:trPr>
        <w:tc>
          <w:tcPr>
            <w:tcW w:w="1880" w:type="dxa"/>
            <w:vAlign w:val="bottom"/>
            <w:gridSpan w:val="2"/>
          </w:tcPr>
          <w:p>
            <w:pPr>
              <w:spacing w:after="0"/>
              <w:rPr>
                <w:sz w:val="20"/>
                <w:szCs w:val="20"/>
                <w:color w:val="auto"/>
              </w:rPr>
            </w:pPr>
            <w:r>
              <w:rPr>
                <w:rFonts w:ascii="Arial" w:cs="Arial" w:eastAsia="Arial" w:hAnsi="Arial"/>
                <w:sz w:val="18"/>
                <w:szCs w:val="18"/>
                <w:color w:val="auto"/>
                <w:w w:val="90"/>
              </w:rPr>
              <w:t>Date: November 21, 2017</w:t>
            </w:r>
          </w:p>
        </w:tc>
        <w:tc>
          <w:tcPr>
            <w:tcW w:w="3280" w:type="dxa"/>
            <w:vAlign w:val="bottom"/>
          </w:tcPr>
          <w:p>
            <w:pPr>
              <w:ind w:left="2700"/>
              <w:spacing w:after="0"/>
              <w:rPr>
                <w:sz w:val="20"/>
                <w:szCs w:val="20"/>
                <w:color w:val="auto"/>
              </w:rPr>
            </w:pPr>
            <w:r>
              <w:rPr>
                <w:rFonts w:ascii="Arial" w:cs="Arial" w:eastAsia="Arial" w:hAnsi="Arial"/>
                <w:sz w:val="18"/>
                <w:szCs w:val="18"/>
                <w:color w:val="auto"/>
              </w:rPr>
              <w:t>By:</w:t>
            </w:r>
          </w:p>
        </w:tc>
        <w:tc>
          <w:tcPr>
            <w:tcW w:w="6260" w:type="dxa"/>
            <w:vAlign w:val="bottom"/>
            <w:gridSpan w:val="3"/>
          </w:tcPr>
          <w:p>
            <w:pPr>
              <w:spacing w:after="0"/>
              <w:rPr>
                <w:sz w:val="20"/>
                <w:szCs w:val="20"/>
                <w:color w:val="auto"/>
              </w:rPr>
            </w:pPr>
            <w:r>
              <w:rPr>
                <w:rFonts w:ascii="Arial" w:cs="Arial" w:eastAsia="Arial" w:hAnsi="Arial"/>
                <w:sz w:val="18"/>
                <w:szCs w:val="18"/>
                <w:color w:val="auto"/>
              </w:rPr>
              <w:t>/s/Jeffrey M. Wilson</w:t>
            </w:r>
          </w:p>
        </w:tc>
      </w:tr>
      <w:tr>
        <w:trPr>
          <w:trHeight w:val="20"/>
        </w:trPr>
        <w:tc>
          <w:tcPr>
            <w:tcW w:w="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w w:val="97"/>
              </w:rPr>
              <w:t>Jeffrey M. Wilson, Vice President, Corporate Controller and Principal Accounting</w:t>
            </w: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260" w:type="dxa"/>
            <w:vAlign w:val="bottom"/>
            <w:gridSpan w:val="3"/>
          </w:tcPr>
          <w:p>
            <w:pPr>
              <w:ind w:left="180"/>
              <w:spacing w:after="0"/>
              <w:rPr>
                <w:sz w:val="20"/>
                <w:szCs w:val="20"/>
                <w:color w:val="auto"/>
              </w:rPr>
            </w:pPr>
            <w:r>
              <w:rPr>
                <w:rFonts w:ascii="Arial" w:cs="Arial" w:eastAsia="Arial" w:hAnsi="Arial"/>
                <w:sz w:val="18"/>
                <w:szCs w:val="18"/>
                <w:color w:val="auto"/>
              </w:rPr>
              <w:t>Officer</w:t>
            </w:r>
          </w:p>
        </w:tc>
      </w:tr>
      <w:tr>
        <w:trPr>
          <w:trHeight w:val="650"/>
        </w:trPr>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80" w:type="dxa"/>
            <w:vAlign w:val="bottom"/>
          </w:tcPr>
          <w:p>
            <w:pPr>
              <w:ind w:left="480"/>
              <w:spacing w:after="0"/>
              <w:rPr>
                <w:sz w:val="20"/>
                <w:szCs w:val="20"/>
                <w:color w:val="auto"/>
              </w:rPr>
            </w:pPr>
            <w:r>
              <w:rPr>
                <w:rFonts w:ascii="Arial" w:cs="Arial" w:eastAsia="Arial" w:hAnsi="Arial"/>
                <w:sz w:val="14"/>
                <w:szCs w:val="14"/>
                <w:color w:val="auto"/>
              </w:rPr>
              <w:t>28</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0"/>
        </w:trPr>
        <w:tc>
          <w:tcPr>
            <w:tcW w:w="4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tabs>
          <w:tab w:leader="none" w:pos="504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620" w:hanging="478"/>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620" w:hanging="478"/>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620" w:right="20" w:hanging="478"/>
        <w:spacing w:after="0" w:line="342" w:lineRule="auto"/>
        <w:tabs>
          <w:tab w:leader="none" w:pos="1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620" w:hanging="478"/>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2120" w:hanging="491"/>
        <w:spacing w:after="0" w:line="286" w:lineRule="auto"/>
        <w:tabs>
          <w:tab w:leader="none" w:pos="21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2120" w:right="20" w:hanging="491"/>
        <w:spacing w:after="0" w:line="286" w:lineRule="auto"/>
        <w:tabs>
          <w:tab w:leader="none" w:pos="21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jc w:val="both"/>
        <w:ind w:left="2120" w:hanging="491"/>
        <w:spacing w:after="0" w:line="264" w:lineRule="auto"/>
        <w:tabs>
          <w:tab w:leader="none" w:pos="2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2120" w:hanging="491"/>
        <w:spacing w:after="0" w:line="286" w:lineRule="auto"/>
        <w:tabs>
          <w:tab w:leader="none" w:pos="21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620" w:hanging="478"/>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jc w:val="both"/>
        <w:ind w:left="2120" w:hanging="491"/>
        <w:spacing w:after="0" w:line="264" w:lineRule="auto"/>
        <w:tabs>
          <w:tab w:leader="none" w:pos="2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8"/>
          <w:szCs w:val="18"/>
          <w:color w:val="auto"/>
        </w:rPr>
      </w:pPr>
    </w:p>
    <w:p>
      <w:pPr>
        <w:ind w:left="2120" w:right="20" w:hanging="491"/>
        <w:spacing w:after="0" w:line="277" w:lineRule="auto"/>
        <w:tabs>
          <w:tab w:leader="none" w:pos="2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21,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29" w:name="page30"/>
    <w:bookmarkEnd w:id="29"/>
    <w:p>
      <w:pPr>
        <w:spacing w:after="0"/>
        <w:tabs>
          <w:tab w:leader="none" w:pos="504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Jill M. Golder, certify that:</w:t>
      </w:r>
    </w:p>
    <w:p>
      <w:pPr>
        <w:spacing w:after="0" w:line="252" w:lineRule="exact"/>
        <w:rPr>
          <w:sz w:val="20"/>
          <w:szCs w:val="20"/>
          <w:color w:val="auto"/>
        </w:rPr>
      </w:pPr>
    </w:p>
    <w:p>
      <w:pPr>
        <w:ind w:left="1620" w:hanging="47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620" w:hanging="478"/>
        <w:spacing w:after="0" w:line="264"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620" w:right="20" w:hanging="478"/>
        <w:spacing w:after="0" w:line="342" w:lineRule="auto"/>
        <w:tabs>
          <w:tab w:leader="none" w:pos="1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620" w:hanging="478"/>
        <w:spacing w:after="0" w:line="264"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2120" w:hanging="491"/>
        <w:spacing w:after="0" w:line="286" w:lineRule="auto"/>
        <w:tabs>
          <w:tab w:leader="none" w:pos="21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2120" w:right="20" w:hanging="491"/>
        <w:spacing w:after="0" w:line="286" w:lineRule="auto"/>
        <w:tabs>
          <w:tab w:leader="none" w:pos="21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jc w:val="both"/>
        <w:ind w:left="2120" w:hanging="491"/>
        <w:spacing w:after="0" w:line="264" w:lineRule="auto"/>
        <w:tabs>
          <w:tab w:leader="none" w:pos="2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2120" w:hanging="491"/>
        <w:spacing w:after="0" w:line="286" w:lineRule="auto"/>
        <w:tabs>
          <w:tab w:leader="none" w:pos="21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620" w:hanging="478"/>
        <w:spacing w:after="0" w:line="264"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jc w:val="both"/>
        <w:ind w:left="2120" w:hanging="491"/>
        <w:spacing w:after="0" w:line="264" w:lineRule="auto"/>
        <w:tabs>
          <w:tab w:leader="none" w:pos="2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8"/>
          <w:szCs w:val="18"/>
          <w:color w:val="auto"/>
        </w:rPr>
      </w:pPr>
    </w:p>
    <w:p>
      <w:pPr>
        <w:ind w:left="2120" w:right="20" w:hanging="491"/>
        <w:spacing w:after="0" w:line="277" w:lineRule="auto"/>
        <w:tabs>
          <w:tab w:leader="none" w:pos="2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21,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/s/Jill M. Golder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Jill M. Golder,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25" w:lineRule="exact"/>
        <w:rPr>
          <w:sz w:val="20"/>
          <w:szCs w:val="20"/>
          <w:color w:val="auto"/>
        </w:rPr>
      </w:pPr>
    </w:p>
    <w:p>
      <w:pPr>
        <w:jc w:val="center"/>
        <w:ind w:left="300" w:right="280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October 27, 2017,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spacing w:after="0"/>
              <w:rPr>
                <w:sz w:val="20"/>
                <w:szCs w:val="20"/>
                <w:color w:val="auto"/>
              </w:rPr>
            </w:pPr>
            <w:r>
              <w:rPr>
                <w:rFonts w:ascii="Arial" w:cs="Arial" w:eastAsia="Arial" w:hAnsi="Arial"/>
                <w:sz w:val="18"/>
                <w:szCs w:val="18"/>
                <w:color w:val="auto"/>
                <w:w w:val="90"/>
              </w:rPr>
              <w:t>Date: November 21, 2017</w:t>
            </w:r>
          </w:p>
        </w:tc>
        <w:tc>
          <w:tcPr>
            <w:tcW w:w="9540" w:type="dxa"/>
            <w:vAlign w:val="bottom"/>
            <w:gridSpan w:val="3"/>
          </w:tcPr>
          <w:p>
            <w:pPr>
              <w:ind w:left="3500"/>
              <w:spacing w:after="0"/>
              <w:rPr>
                <w:sz w:val="20"/>
                <w:szCs w:val="20"/>
                <w:color w:val="auto"/>
              </w:rPr>
            </w:pPr>
            <w:r>
              <w:rPr>
                <w:rFonts w:ascii="Arial" w:cs="Arial" w:eastAsia="Arial" w:hAnsi="Arial"/>
                <w:sz w:val="18"/>
                <w:szCs w:val="18"/>
                <w:color w:val="auto"/>
              </w:rPr>
              <w:t>By: /s/Sandra B. Cochran</w:t>
            </w:r>
          </w:p>
        </w:tc>
      </w:tr>
      <w:tr>
        <w:trPr>
          <w:trHeight w:val="222"/>
        </w:trPr>
        <w:tc>
          <w:tcPr>
            <w:tcW w:w="4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84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Sandra B. Cochran</w:t>
            </w:r>
          </w:p>
        </w:tc>
        <w:tc>
          <w:tcPr>
            <w:tcW w:w="416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October 27, 2017, as filed with the Securities and Exchange Commission on the date hereof (the “Report”), I, Jill M. Golder, Senior Vice President and Chief Financial Officer of the Issuer, certify, pursuant to 18 U.S.C. Section 1350, as adopted pursuant to Section 906 of the Sarbanes-Oxley Act of 2002, that:</w:t>
      </w:r>
    </w:p>
    <w:p>
      <w:pPr>
        <w:spacing w:after="0" w:line="174"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spacing w:after="0"/>
              <w:rPr>
                <w:sz w:val="20"/>
                <w:szCs w:val="20"/>
                <w:color w:val="auto"/>
              </w:rPr>
            </w:pPr>
            <w:r>
              <w:rPr>
                <w:rFonts w:ascii="Arial" w:cs="Arial" w:eastAsia="Arial" w:hAnsi="Arial"/>
                <w:sz w:val="18"/>
                <w:szCs w:val="18"/>
                <w:color w:val="auto"/>
                <w:w w:val="90"/>
              </w:rPr>
              <w:t>Date: November 21, 2017</w:t>
            </w:r>
          </w:p>
        </w:tc>
        <w:tc>
          <w:tcPr>
            <w:tcW w:w="9540" w:type="dxa"/>
            <w:vAlign w:val="bottom"/>
            <w:gridSpan w:val="3"/>
          </w:tcPr>
          <w:p>
            <w:pPr>
              <w:ind w:left="3500"/>
              <w:spacing w:after="0"/>
              <w:rPr>
                <w:sz w:val="20"/>
                <w:szCs w:val="20"/>
                <w:color w:val="auto"/>
              </w:rPr>
            </w:pPr>
            <w:r>
              <w:rPr>
                <w:rFonts w:ascii="Arial" w:cs="Arial" w:eastAsia="Arial" w:hAnsi="Arial"/>
                <w:sz w:val="18"/>
                <w:szCs w:val="18"/>
                <w:color w:val="auto"/>
              </w:rPr>
              <w:t>By: /s/Jill M. Golder</w:t>
            </w:r>
          </w:p>
        </w:tc>
      </w:tr>
      <w:tr>
        <w:trPr>
          <w:trHeight w:val="222"/>
        </w:trPr>
        <w:tc>
          <w:tcPr>
            <w:tcW w:w="4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840" w:type="dxa"/>
            <w:vAlign w:val="bottom"/>
          </w:tcPr>
          <w:p>
            <w:pPr>
              <w:spacing w:after="0"/>
              <w:rPr>
                <w:sz w:val="19"/>
                <w:szCs w:val="19"/>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Jill M. Golder,</w:t>
            </w:r>
          </w:p>
        </w:tc>
        <w:tc>
          <w:tcPr>
            <w:tcW w:w="452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0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0"/>
    </w:lvl>
  </w:abstractNum>
  <w:abstractNum w:abstractNumId="13">
    <w:nsid w:val="7C83E458"/>
    <w:multiLevelType w:val="hybridMultilevel"/>
    <w:lvl w:ilvl="0">
      <w:lvlJc w:val="left"/>
      <w:lvlText w:val="%1."/>
      <w:numFmt w:val="decimal"/>
      <w:start w:val="1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37" Type="http://schemas.openxmlformats.org/officeDocument/2006/relationships/hyperlink" Target="http://www.sec.gov/Archives/edgar/data/1067294/000119312517302422/d379699dex101.htm" TargetMode="External"/><Relationship Id="rId38" Type="http://schemas.openxmlformats.org/officeDocument/2006/relationships/hyperlink" Target="http://www.sec.gov/Archives/edgar/data/1067294/000119312517302422/d37969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2019-12-29T02:25:29Z</dcterms:created>
  <dcterms:modified xsi:type="dcterms:W3CDTF">2019-12-29T02:25:29Z</dcterms:modified>
</cp:coreProperties>
</file>