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120" w:right="2900" w:hanging="815"/>
        <w:spacing w:after="0" w:line="266" w:lineRule="auto"/>
        <w:tabs>
          <w:tab w:leader="none" w:pos="2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April 29, 2016</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2120" w:right="2940" w:hanging="815"/>
        <w:spacing w:after="0" w:line="277" w:lineRule="auto"/>
        <w:tabs>
          <w:tab w:leader="none" w:pos="2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spacing w:after="0" w:line="17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218440</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sectPr>
      </w:pPr>
    </w:p>
    <w:p>
      <w:pPr>
        <w:spacing w:after="0" w:line="165" w:lineRule="exact"/>
        <w:rPr>
          <w:sz w:val="24"/>
          <w:szCs w:val="24"/>
          <w:color w:val="auto"/>
        </w:rPr>
      </w:pPr>
    </w:p>
    <w:p>
      <w:pPr>
        <w:ind w:left="1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580" w:space="720"/>
            <w:col w:w="1200" w:space="100"/>
            <w:col w:w="3820"/>
          </w:cols>
          <w:pgMar w:left="240" w:top="541" w:right="239" w:bottom="1440" w:gutter="0" w:footer="0" w:header="0"/>
          <w:type w:val="continuous"/>
        </w:sectPr>
      </w:pPr>
    </w:p>
    <w:p>
      <w:pPr>
        <w:spacing w:after="0" w:line="48"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680" w:space="180"/>
            <w:col w:w="2720" w:space="720"/>
            <w:col w:w="1980" w:space="80"/>
            <w:col w:w="306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23,941,998 Shares of Common Stock</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Outstanding as of May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100" w:type="dxa"/>
            <w:vAlign w:val="bottom"/>
            <w:gridSpan w:val="9"/>
          </w:tcPr>
          <w:p>
            <w:pPr>
              <w:jc w:val="center"/>
              <w:ind w:right="186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w w:val="99"/>
              </w:rPr>
              <w:t>FORM 10-Q</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00" w:type="dxa"/>
            <w:vAlign w:val="bottom"/>
            <w:gridSpan w:val="9"/>
          </w:tcPr>
          <w:p>
            <w:pPr>
              <w:jc w:val="center"/>
              <w:ind w:right="1860"/>
              <w:spacing w:after="0"/>
              <w:rPr>
                <w:sz w:val="20"/>
                <w:szCs w:val="20"/>
                <w:color w:val="auto"/>
              </w:rPr>
            </w:pPr>
            <w:r>
              <w:rPr>
                <w:rFonts w:ascii="Arial" w:cs="Arial" w:eastAsia="Arial" w:hAnsi="Arial"/>
                <w:sz w:val="18"/>
                <w:szCs w:val="18"/>
                <w:b w:val="1"/>
                <w:bCs w:val="1"/>
                <w:color w:val="auto"/>
                <w:w w:val="93"/>
              </w:rPr>
              <w:t>For the Quarter Ended April 29, 2016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70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74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19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April 29, 2016 and July 31, 2015</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and Nine Months Ended April 29, 2016 and May 1, 2015</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4"/>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 Condensed Consolidated Statements of Comprehensive Income for the Quarters and Nine Months Ended April 29, 2016 and May 1, 2015</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Nine Months Ended April 29, 2016 and May 1, 2015</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ITEM 2.</w:t>
              </w:r>
            </w:hyperlink>
          </w:p>
        </w:tc>
        <w:tc>
          <w:tcPr>
            <w:tcW w:w="988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ITEM 3.</w:t>
              </w:r>
            </w:hyperlink>
          </w:p>
        </w:tc>
        <w:tc>
          <w:tcPr>
            <w:tcW w:w="988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ITEM 4.</w:t>
              </w:r>
            </w:hyperlink>
          </w:p>
        </w:tc>
        <w:tc>
          <w:tcPr>
            <w:tcW w:w="988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5"/>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ITEM 6.</w:t>
              </w:r>
            </w:hyperlink>
          </w:p>
        </w:tc>
        <w:tc>
          <w:tcPr>
            <w:tcW w:w="988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8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100" w:type="dxa"/>
            <w:vAlign w:val="bottom"/>
            <w:tcBorders>
              <w:top w:val="single" w:sz="8" w:color="CCEEFF"/>
            </w:tcBorders>
            <w:gridSpan w:val="7"/>
          </w:tcPr>
          <w:p>
            <w:pPr>
              <w:jc w:val="center"/>
              <w:ind w:left="3928"/>
              <w:spacing w:after="0"/>
              <w:rPr>
                <w:sz w:val="20"/>
                <w:szCs w:val="20"/>
                <w:color w:val="auto"/>
              </w:rPr>
            </w:pPr>
            <w:r>
              <w:rPr>
                <w:rFonts w:ascii="Arial" w:cs="Arial" w:eastAsia="Arial" w:hAnsi="Arial"/>
                <w:sz w:val="14"/>
                <w:szCs w:val="14"/>
                <w:color w:val="auto"/>
                <w:w w:val="76"/>
              </w:rPr>
              <w:t>2</w:t>
            </w:r>
          </w:p>
        </w:tc>
        <w:tc>
          <w:tcPr>
            <w:tcW w:w="10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color w:val="auto"/>
                <w:w w:val="87"/>
              </w:rPr>
              <w:t>(In thousands, except share data)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April 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July 31,</w:t>
            </w:r>
          </w:p>
        </w:tc>
        <w:tc>
          <w:tcPr>
            <w:tcW w:w="0" w:type="dxa"/>
            <w:vAlign w:val="bottom"/>
          </w:tcPr>
          <w:p>
            <w:pPr>
              <w:spacing w:after="0"/>
              <w:rPr>
                <w:sz w:val="1"/>
                <w:szCs w:val="1"/>
                <w:color w:val="auto"/>
              </w:rPr>
            </w:pPr>
          </w:p>
        </w:tc>
      </w:tr>
      <w:tr>
        <w:trPr>
          <w:trHeight w:val="202"/>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6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372,784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1,982,155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1,931,060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1,060,513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1,052,636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1,495,953</w:t>
            </w:r>
          </w:p>
        </w:tc>
        <w:tc>
          <w:tcPr>
            <w:tcW w:w="14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1,576,208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27,782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interest rate swap liability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23,941,998 shares issued and outstanding at April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ind w:left="120"/>
              <w:spacing w:after="0"/>
              <w:rPr>
                <w:sz w:val="20"/>
                <w:szCs w:val="20"/>
                <w:color w:val="auto"/>
              </w:rPr>
            </w:pPr>
            <w:r>
              <w:rPr>
                <w:rFonts w:ascii="Arial" w:cs="Arial" w:eastAsia="Arial" w:hAnsi="Arial"/>
                <w:sz w:val="18"/>
                <w:szCs w:val="18"/>
                <w:color w:val="auto"/>
              </w:rPr>
              <w:t>29, 2016, and 23,975,755 shares issued and outstanding at July 31, 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1,495,953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77" w:lineRule="auto"/>
        <w:tabs>
          <w:tab w:leader="none" w:pos="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31, 2015, as filed with the Securities and Exchange Commission in the Company’s Annual Report on Form 10-K for the fiscal year ended July 31,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29,</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700,136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683,705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2,166,767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216,142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249,324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246,805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745,581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740,806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309,078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202,861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49,169</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138,276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116,504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23,941,188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23,937,844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23,945,184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24,073,778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24,066,061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24,064,624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24,033,296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April 29,</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138,276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(loss) income before income tax (benefit) expense: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8,035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(11,508)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color w:val="auto"/>
                <w:w w:val="89"/>
              </w:rPr>
              <w:t>(Unaudited and in thousands)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April 29,</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138,276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(45,106)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149,358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(69,994)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(169,256)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265,455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119,361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176,692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58,684</w:t>
            </w:r>
          </w:p>
        </w:tc>
        <w:tc>
          <w:tcPr>
            <w:tcW w:w="10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46,374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(11,508)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Dividends declared but not yet paid</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28,289</w:t>
            </w:r>
          </w:p>
        </w:tc>
        <w:tc>
          <w:tcPr>
            <w:tcW w:w="10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April 29, 2016 and July 31, 2015 and the related condensed consolidated statements of income, comprehensive income and cash flows for the quarters and nine months ended April 29, 2016 and May 1, 2015,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31, 2015 (the “2015 Form 10-K”). The accounting policies used in preparing these condensed consolidated financial statements are the same as described in the 2015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Reporting Discontinued Operations and Disclosures of Disposals of Components of an Entity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2014, the Financial Accounting Standards Board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adoption of this accounting guidance in the first quarter of 2016 did not have a significant impact on the Company’s consolidated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by using the cumulative effect transition method. The Company is currently evaluating the impact of adopting this accounting guidance in the first quarter of 2018.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accounting guidance which requires debt issuance costs to be presented in the balance sheet as a reduction of the related debt liability rather than as an asset. This accounting guidance is effective for fiscal years beginning after December 15, 2015, and interim periods within those years on a retrospective basis. Early application is permitted. Since this accounting guidance does not provide guidance on debt issuance costs related to revolving debt agreements, this accounting guidance is not expected to have a significant impact on the Company’s consolidated financial position or results of operations upon adoption in the first quarter of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quarter of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Early application is permitted. The Company is currently evaluating the impact of adopting this accounting guidance in the first quarter of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years. This guidance may be applied either on a prospective basis, retrospective basis or a modified retrospective basis depending on the specific accounting topic covered in the accounting guidance. Early adoption is permitted. The Company is currently evaluating the impact of adopting this accounting guidance in the first quarter of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April 29, 2016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129,123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129,123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17,570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31, 2015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218,031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221,790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April 29, 2016 and July 31, 2015.</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April 29, 2016</w:t>
            </w:r>
          </w:p>
        </w:tc>
        <w:tc>
          <w:tcPr>
            <w:tcW w:w="1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July 31, 2015</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Restaurant</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22,212</w:t>
            </w: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15,069</w:t>
            </w:r>
          </w:p>
        </w:tc>
      </w:tr>
      <w:tr>
        <w:trPr>
          <w:trHeight w:val="216"/>
        </w:trPr>
        <w:tc>
          <w:tcPr>
            <w:tcW w:w="20" w:type="dxa"/>
            <w:vAlign w:val="bottom"/>
          </w:tcPr>
          <w:p>
            <w:pPr>
              <w:spacing w:after="0"/>
              <w:rPr>
                <w:sz w:val="18"/>
                <w:szCs w:val="18"/>
                <w:color w:val="auto"/>
              </w:rPr>
            </w:pPr>
          </w:p>
        </w:tc>
        <w:tc>
          <w:tcPr>
            <w:tcW w:w="760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145,882</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153,058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a $750,000 revolving credit facility (the “Revolving Credit Facility”), which expires on January 8, 2020. At both April 29, 2016 and July 31, 2015, the Company had $400,000 of outstanding borrowings under the Revolving Credit Facility. At April 29, 2016, the Company had $11,195 of standby letters of credit, which reduce the Company’s borrowing availability under the Revolving Credit Facility (see Note 11 for more information on the Company’s standby letters of credit). At April 29, 2016, the Company had $338,805 in borrowing availability under the Revolving Credit Facility.</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April 29, 2016, the Company’s outstanding borrowings were swapped at a weighted average interest rate of 2.96% (see Note 5 for information on the Company’s interest rate swaps).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At April 29, 2016, the Company was in compliance with all debt covenants.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7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April 29, 2016 was 1.25%. All of the Company’s interest rate swaps are accounted for as cash flow hedges.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April 29, 2016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Arial" w:cs="Arial" w:eastAsia="Arial" w:hAnsi="Arial"/>
                <w:sz w:val="18"/>
                <w:szCs w:val="18"/>
                <w:color w:val="auto"/>
                <w:w w:val="85"/>
              </w:rPr>
              <w:t>Term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Fixed</w:t>
            </w:r>
          </w:p>
        </w:tc>
      </w:tr>
      <w:tr>
        <w:trPr>
          <w:trHeight w:val="237"/>
        </w:trPr>
        <w:tc>
          <w:tcPr>
            <w:tcW w:w="2960" w:type="dxa"/>
            <w:vAlign w:val="bottom"/>
          </w:tcPr>
          <w:p>
            <w:pPr>
              <w:ind w:left="1080"/>
              <w:spacing w:after="0"/>
              <w:rPr>
                <w:sz w:val="20"/>
                <w:szCs w:val="20"/>
                <w:color w:val="auto"/>
              </w:rPr>
            </w:pPr>
            <w:r>
              <w:rPr>
                <w:rFonts w:ascii="Arial" w:cs="Arial" w:eastAsia="Arial" w:hAnsi="Arial"/>
                <w:sz w:val="18"/>
                <w:szCs w:val="18"/>
                <w:color w:val="auto"/>
              </w:rPr>
              <w:t>Trade Date</w:t>
            </w:r>
          </w:p>
        </w:tc>
        <w:tc>
          <w:tcPr>
            <w:tcW w:w="80" w:type="dxa"/>
            <w:vAlign w:val="bottom"/>
          </w:tcPr>
          <w:p>
            <w:pPr>
              <w:spacing w:after="0"/>
              <w:rPr>
                <w:sz w:val="20"/>
                <w:szCs w:val="20"/>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color w:val="auto"/>
              </w:rPr>
              <w:t>Effective Date</w:t>
            </w:r>
          </w:p>
        </w:tc>
        <w:tc>
          <w:tcPr>
            <w:tcW w:w="1420" w:type="dxa"/>
            <w:vAlign w:val="bottom"/>
          </w:tcPr>
          <w:p>
            <w:pPr>
              <w:jc w:val="center"/>
              <w:ind w:left="170"/>
              <w:spacing w:after="0"/>
              <w:rPr>
                <w:sz w:val="20"/>
                <w:szCs w:val="20"/>
                <w:color w:val="auto"/>
              </w:rPr>
            </w:pPr>
            <w:r>
              <w:rPr>
                <w:rFonts w:ascii="Arial" w:cs="Arial" w:eastAsia="Arial" w:hAnsi="Arial"/>
                <w:sz w:val="18"/>
                <w:szCs w:val="18"/>
                <w:color w:val="auto"/>
                <w:w w:val="92"/>
              </w:rPr>
              <w:t>(in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Notional Amount</w:t>
            </w:r>
          </w:p>
        </w:tc>
        <w:tc>
          <w:tcPr>
            <w:tcW w:w="1740" w:type="dxa"/>
            <w:vAlign w:val="bottom"/>
          </w:tcPr>
          <w:p>
            <w:pPr>
              <w:jc w:val="right"/>
              <w:ind w:right="630"/>
              <w:spacing w:after="0"/>
              <w:rPr>
                <w:sz w:val="20"/>
                <w:szCs w:val="20"/>
                <w:color w:val="auto"/>
              </w:rPr>
            </w:pPr>
            <w:r>
              <w:rPr>
                <w:rFonts w:ascii="Arial" w:cs="Arial" w:eastAsia="Arial" w:hAnsi="Arial"/>
                <w:sz w:val="18"/>
                <w:szCs w:val="18"/>
                <w:color w:val="auto"/>
              </w:rPr>
              <w:t>Rate</w:t>
            </w:r>
          </w:p>
        </w:tc>
      </w:tr>
      <w:tr>
        <w:trPr>
          <w:trHeight w:val="216"/>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25, 2011</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w w:val="71"/>
              </w:rPr>
              <w:t>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December 7, 2011</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3, 2013</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April 8, 2013</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April 22, 2013</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June 18, 2014</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July 1, 2014</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5,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3, 2019</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January 30, 2015</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3, 2019</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4, 2021</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January 30, 2015</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May 3, 2019</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1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4, 2021</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April 29, 2016 and July 31,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0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6300" w:type="dxa"/>
            <w:vAlign w:val="bottom"/>
          </w:tcPr>
          <w:p>
            <w:pPr>
              <w:ind w:left="2780"/>
              <w:spacing w:after="0"/>
              <w:rPr>
                <w:sz w:val="20"/>
                <w:szCs w:val="20"/>
                <w:color w:val="auto"/>
              </w:rPr>
            </w:pPr>
            <w:r>
              <w:rPr>
                <w:rFonts w:ascii="Arial" w:cs="Arial" w:eastAsia="Arial" w:hAnsi="Arial"/>
                <w:sz w:val="18"/>
                <w:szCs w:val="18"/>
                <w:color w:val="auto"/>
              </w:rPr>
              <w:t>Balance Sheet Location</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7"/>
              </w:rPr>
              <w:t>April 29, 2016</w:t>
            </w:r>
          </w:p>
        </w:tc>
        <w:tc>
          <w:tcPr>
            <w:tcW w:w="22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July 31, 2015</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3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30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Current interest rate swap liability</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Interest rate swaps</w:t>
            </w:r>
          </w:p>
        </w:tc>
        <w:tc>
          <w:tcPr>
            <w:tcW w:w="6300" w:type="dxa"/>
            <w:vAlign w:val="bottom"/>
          </w:tcPr>
          <w:p>
            <w:pPr>
              <w:ind w:left="1040"/>
              <w:spacing w:after="0"/>
              <w:rPr>
                <w:sz w:val="20"/>
                <w:szCs w:val="20"/>
                <w:color w:val="auto"/>
              </w:rPr>
            </w:pPr>
            <w:r>
              <w:rPr>
                <w:rFonts w:ascii="Arial" w:cs="Arial" w:eastAsia="Arial" w:hAnsi="Arial"/>
                <w:sz w:val="18"/>
                <w:szCs w:val="18"/>
                <w:color w:val="auto"/>
              </w:rPr>
              <w:t>Long-term interest rate swap liability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17,559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6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Condensed Consolidated Balance Sheets at April 29, 2016 and July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Arial" w:cs="Arial" w:eastAsia="Arial" w:hAnsi="Arial"/>
                <w:sz w:val="18"/>
                <w:szCs w:val="18"/>
                <w:color w:val="auto"/>
              </w:rPr>
              <w:t>Gross Asset Amounts</w:t>
            </w:r>
          </w:p>
        </w:tc>
        <w:tc>
          <w:tcPr>
            <w:tcW w:w="180" w:type="dxa"/>
            <w:vAlign w:val="bottom"/>
          </w:tcPr>
          <w:p>
            <w:pPr>
              <w:spacing w:after="0"/>
              <w:rPr>
                <w:sz w:val="20"/>
                <w:szCs w:val="20"/>
                <w:color w:val="auto"/>
              </w:rPr>
            </w:pPr>
          </w:p>
        </w:tc>
        <w:tc>
          <w:tcPr>
            <w:tcW w:w="2520" w:type="dxa"/>
            <w:vAlign w:val="bottom"/>
            <w:gridSpan w:val="5"/>
          </w:tcPr>
          <w:p>
            <w:pPr>
              <w:ind w:left="200"/>
              <w:spacing w:after="0"/>
              <w:rPr>
                <w:sz w:val="20"/>
                <w:szCs w:val="20"/>
                <w:color w:val="auto"/>
              </w:rPr>
            </w:pPr>
            <w:r>
              <w:rPr>
                <w:rFonts w:ascii="Arial" w:cs="Arial" w:eastAsia="Arial" w:hAnsi="Arial"/>
                <w:sz w:val="18"/>
                <w:szCs w:val="18"/>
                <w:color w:val="auto"/>
              </w:rPr>
              <w:t>Liability Amount Offset</w:t>
            </w:r>
          </w:p>
        </w:tc>
        <w:tc>
          <w:tcPr>
            <w:tcW w:w="160" w:type="dxa"/>
            <w:vAlign w:val="bottom"/>
          </w:tcPr>
          <w:p>
            <w:pPr>
              <w:spacing w:after="0"/>
              <w:rPr>
                <w:sz w:val="20"/>
                <w:szCs w:val="20"/>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jc w:val="center"/>
              <w:ind w:left="94"/>
              <w:spacing w:after="0" w:line="201" w:lineRule="exact"/>
              <w:rPr>
                <w:sz w:val="20"/>
                <w:szCs w:val="20"/>
                <w:color w:val="auto"/>
              </w:rPr>
            </w:pPr>
            <w:r>
              <w:rPr>
                <w:rFonts w:ascii="Arial" w:cs="Arial" w:eastAsia="Arial" w:hAnsi="Arial"/>
                <w:sz w:val="18"/>
                <w:szCs w:val="18"/>
                <w:color w:val="auto"/>
                <w:w w:val="99"/>
              </w:rPr>
              <w:t>April 29,</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4"/>
              <w:spacing w:after="0" w:line="201" w:lineRule="exact"/>
              <w:rPr>
                <w:sz w:val="20"/>
                <w:szCs w:val="20"/>
                <w:color w:val="auto"/>
              </w:rPr>
            </w:pPr>
            <w:r>
              <w:rPr>
                <w:rFonts w:ascii="Arial" w:cs="Arial" w:eastAsia="Arial" w:hAnsi="Arial"/>
                <w:sz w:val="18"/>
                <w:szCs w:val="18"/>
                <w:color w:val="auto"/>
                <w:w w:val="90"/>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ind w:left="60"/>
              <w:spacing w:after="0" w:line="201" w:lineRule="exact"/>
              <w:rPr>
                <w:sz w:val="20"/>
                <w:szCs w:val="20"/>
                <w:color w:val="auto"/>
              </w:rPr>
            </w:pPr>
            <w:r>
              <w:rPr>
                <w:rFonts w:ascii="Arial" w:cs="Arial" w:eastAsia="Arial" w:hAnsi="Arial"/>
                <w:sz w:val="18"/>
                <w:szCs w:val="18"/>
                <w:color w:val="auto"/>
              </w:rPr>
              <w:t>April 29,</w:t>
            </w: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31,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center"/>
              <w:ind w:right="485"/>
              <w:spacing w:after="0" w:line="201" w:lineRule="exact"/>
              <w:rPr>
                <w:sz w:val="20"/>
                <w:szCs w:val="20"/>
                <w:color w:val="auto"/>
              </w:rPr>
            </w:pPr>
            <w:r>
              <w:rPr>
                <w:rFonts w:ascii="Arial" w:cs="Arial" w:eastAsia="Arial" w:hAnsi="Arial"/>
                <w:sz w:val="18"/>
                <w:szCs w:val="18"/>
                <w:color w:val="auto"/>
                <w:w w:val="99"/>
              </w:rPr>
              <w:t>April 29,</w:t>
            </w: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31,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April 29, 2016 and July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220"/>
              <w:spacing w:after="0"/>
              <w:rPr>
                <w:sz w:val="20"/>
                <w:szCs w:val="20"/>
                <w:color w:val="auto"/>
              </w:rPr>
            </w:pPr>
            <w:r>
              <w:rPr>
                <w:rFonts w:ascii="Arial" w:cs="Arial" w:eastAsia="Arial" w:hAnsi="Arial"/>
                <w:sz w:val="18"/>
                <w:szCs w:val="18"/>
                <w:color w:val="auto"/>
              </w:rPr>
              <w:t>Gross Liability Amounts</w:t>
            </w:r>
          </w:p>
        </w:tc>
        <w:tc>
          <w:tcPr>
            <w:tcW w:w="180" w:type="dxa"/>
            <w:vAlign w:val="bottom"/>
          </w:tcPr>
          <w:p>
            <w:pPr>
              <w:spacing w:after="0"/>
              <w:rPr>
                <w:sz w:val="20"/>
                <w:szCs w:val="20"/>
                <w:color w:val="auto"/>
              </w:rPr>
            </w:pPr>
          </w:p>
        </w:tc>
        <w:tc>
          <w:tcPr>
            <w:tcW w:w="2100" w:type="dxa"/>
            <w:vAlign w:val="bottom"/>
            <w:gridSpan w:val="4"/>
          </w:tcPr>
          <w:p>
            <w:pPr>
              <w:jc w:val="right"/>
              <w:ind w:right="177"/>
              <w:spacing w:after="0"/>
              <w:rPr>
                <w:sz w:val="20"/>
                <w:szCs w:val="20"/>
                <w:color w:val="auto"/>
              </w:rPr>
            </w:pPr>
            <w:r>
              <w:rPr>
                <w:rFonts w:ascii="Arial" w:cs="Arial" w:eastAsia="Arial" w:hAnsi="Arial"/>
                <w:sz w:val="18"/>
                <w:szCs w:val="18"/>
                <w:color w:val="auto"/>
              </w:rPr>
              <w:t>Asset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29,</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0"/>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29,</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7"/>
              <w:spacing w:after="0" w:line="201" w:lineRule="exact"/>
              <w:rPr>
                <w:sz w:val="20"/>
                <w:szCs w:val="20"/>
                <w:color w:val="auto"/>
              </w:rPr>
            </w:pPr>
            <w:r>
              <w:rPr>
                <w:rFonts w:ascii="Arial" w:cs="Arial" w:eastAsia="Arial" w:hAnsi="Arial"/>
                <w:sz w:val="18"/>
                <w:szCs w:val="18"/>
                <w:color w:val="auto"/>
                <w:w w:val="90"/>
              </w:rPr>
              <w:t>July 31,</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9"/>
              </w:rPr>
              <w:t>April 29,</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31,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6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040" w:type="dxa"/>
            <w:vAlign w:val="bottom"/>
            <w:gridSpan w:val="2"/>
          </w:tcPr>
          <w:p>
            <w:pPr>
              <w:jc w:val="right"/>
              <w:ind w:right="97"/>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assets and liabilities incorporates the Company’s non-performance risk (see Note 2). The adjustment related to the Company’s non-performance risk at April 29, 2016 and July 31, 2015 resulted in reductions of $831 and $209,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April 29, 2016, the estimated pre-tax portion of AOCL that is expected to be reclassified into earnings over the next twelve months is $3,475. Cash flows related to the interest rate swap are included in interest expense and in operating activities.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nine months ended April 29, 2016 and the year ended July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680" w:type="dxa"/>
            <w:vAlign w:val="bottom"/>
            <w:gridSpan w:val="8"/>
          </w:tcPr>
          <w:p>
            <w:pPr>
              <w:ind w:left="3420"/>
              <w:spacing w:after="0"/>
              <w:rPr>
                <w:sz w:val="20"/>
                <w:szCs w:val="20"/>
                <w:color w:val="auto"/>
              </w:rPr>
            </w:pPr>
            <w:r>
              <w:rPr>
                <w:rFonts w:ascii="Arial" w:cs="Arial" w:eastAsia="Arial" w:hAnsi="Arial"/>
                <w:sz w:val="18"/>
                <w:szCs w:val="18"/>
                <w:color w:val="auto"/>
                <w:w w:val="94"/>
              </w:rPr>
              <w:t>Amount of Income Recognized in AOCL on</w:t>
            </w:r>
          </w:p>
        </w:tc>
      </w:tr>
      <w:tr>
        <w:trPr>
          <w:trHeight w:val="237"/>
        </w:trPr>
        <w:tc>
          <w:tcPr>
            <w:tcW w:w="4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ind w:left="320"/>
              <w:spacing w:after="0"/>
              <w:rPr>
                <w:sz w:val="20"/>
                <w:szCs w:val="20"/>
                <w:color w:val="auto"/>
              </w:rPr>
            </w:pPr>
            <w:r>
              <w:rPr>
                <w:rFonts w:ascii="Arial" w:cs="Arial" w:eastAsia="Arial" w:hAnsi="Arial"/>
                <w:sz w:val="18"/>
                <w:szCs w:val="18"/>
                <w:color w:val="auto"/>
              </w:rPr>
              <w:t>Derivatives (Effective Portion)</w:t>
            </w:r>
          </w:p>
        </w:tc>
      </w:tr>
      <w:tr>
        <w:trPr>
          <w:trHeight w:val="202"/>
        </w:trPr>
        <w:tc>
          <w:tcPr>
            <w:tcW w:w="4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8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8"/>
              </w:rPr>
              <w:t>Nine Months Ended</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7"/>
                <w:szCs w:val="17"/>
                <w:color w:val="auto"/>
              </w:rPr>
            </w:pPr>
          </w:p>
        </w:tc>
      </w:tr>
      <w:tr>
        <w:trPr>
          <w:trHeight w:val="237"/>
        </w:trPr>
        <w:tc>
          <w:tcPr>
            <w:tcW w:w="4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April 29,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31, 2015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Cash flow hedges:</w:t>
            </w:r>
          </w:p>
        </w:tc>
        <w:tc>
          <w:tcPr>
            <w:tcW w:w="3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5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income for the quarters and nine-month periods ended April 29, 2016 and May 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AOCL into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gridSpan w:val="13"/>
          </w:tcPr>
          <w:p>
            <w:pPr>
              <w:jc w:val="center"/>
              <w:ind w:right="280"/>
              <w:spacing w:after="0"/>
              <w:rPr>
                <w:sz w:val="20"/>
                <w:szCs w:val="20"/>
                <w:color w:val="auto"/>
              </w:rPr>
            </w:pPr>
            <w:r>
              <w:rPr>
                <w:rFonts w:ascii="Arial" w:cs="Arial" w:eastAsia="Arial" w:hAnsi="Arial"/>
                <w:sz w:val="18"/>
                <w:szCs w:val="18"/>
                <w:color w:val="auto"/>
                <w:w w:val="93"/>
              </w:rPr>
              <w:t>Amount of Loss Reclassified from AOCL into Income</w:t>
            </w:r>
          </w:p>
        </w:tc>
      </w:tr>
      <w:tr>
        <w:trPr>
          <w:trHeight w:val="237"/>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3"/>
              </w:rPr>
              <w:t>(Effective Portion)</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19"/>
                <w:szCs w:val="19"/>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9"/>
                <w:szCs w:val="19"/>
                <w:color w:val="auto"/>
              </w:rPr>
            </w:pPr>
          </w:p>
        </w:tc>
      </w:tr>
      <w:tr>
        <w:trPr>
          <w:trHeight w:val="202"/>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9"/>
              </w:rPr>
              <w:t>April 29,</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6"/>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29,</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6"/>
              </w:rPr>
              <w:t>May 1,</w:t>
            </w:r>
          </w:p>
        </w:tc>
        <w:tc>
          <w:tcPr>
            <w:tcW w:w="10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nine-month periods ended April 29, 2016 and May 1, 2015.</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April 29, 2016, the Company issued 66,243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$5,281.</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April 29, 2016, the Company repurchased 100,000 shares of its common stock in the open market at an aggregate cost of $14,653.</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April 29, 2016, total share-based compensation expense was $8,893. The excess tax benefit realized upon exercise of share-based compensation awards was $2,063.</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April 29, 2016, the Company paid regular dividends of $3.30 per share of its common stock and a special dividend of $3.00 per share of its common stock and declared a regular dividend of $1.10 per share of its common stock that was paid on May 5, 2016 to shareholders of record on April 15, 2016.</w:t>
      </w:r>
    </w:p>
    <w:p>
      <w:pPr>
        <w:sectPr>
          <w:pgSz w:w="11900" w:h="16838" w:orient="portrait"/>
          <w:cols w:equalWidth="0" w:num="1">
            <w:col w:w="11420"/>
          </w:cols>
          <w:pgMar w:left="240" w:top="12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nine months ended April 29, 2016 (see Notes 2 and 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r>
      <w:tr>
        <w:trPr>
          <w:trHeight w:val="223"/>
        </w:trPr>
        <w:tc>
          <w:tcPr>
            <w:tcW w:w="20" w:type="dxa"/>
            <w:vAlign w:val="bottom"/>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July 31, 2015</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comprehensive loss before reclassifications</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(4,469)</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(2,656)</w:t>
            </w:r>
          </w:p>
        </w:tc>
      </w:tr>
      <w:tr>
        <w:trPr>
          <w:trHeight w:val="27"/>
        </w:trPr>
        <w:tc>
          <w:tcPr>
            <w:tcW w:w="20" w:type="dxa"/>
            <w:vAlign w:val="bottom"/>
          </w:tcPr>
          <w:p>
            <w:pPr>
              <w:spacing w:after="0"/>
              <w:rPr>
                <w:sz w:val="2"/>
                <w:szCs w:val="2"/>
                <w:color w:val="auto"/>
              </w:rPr>
            </w:pPr>
          </w:p>
        </w:tc>
        <w:tc>
          <w:tcPr>
            <w:tcW w:w="99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Other comprehensive loss, net of tax</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April 29, 2016</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and nine months ended April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right"/>
              <w:ind w:right="320"/>
              <w:spacing w:after="0"/>
              <w:rPr>
                <w:sz w:val="20"/>
                <w:szCs w:val="20"/>
                <w:color w:val="auto"/>
              </w:rPr>
            </w:pPr>
            <w:r>
              <w:rPr>
                <w:rFonts w:ascii="Arial" w:cs="Arial" w:eastAsia="Arial" w:hAnsi="Arial"/>
                <w:sz w:val="18"/>
                <w:szCs w:val="18"/>
                <w:color w:val="auto"/>
                <w:w w:val="95"/>
              </w:rPr>
              <w:t>Amount Reclassified from AOCL</w:t>
            </w:r>
          </w:p>
        </w:tc>
        <w:tc>
          <w:tcPr>
            <w:tcW w:w="6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r>
      <w:tr>
        <w:trPr>
          <w:trHeight w:val="202"/>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9"/>
              </w:rPr>
              <w:t>Condensed Consolidated</w:t>
            </w:r>
          </w:p>
        </w:tc>
      </w:tr>
      <w:tr>
        <w:trPr>
          <w:trHeight w:val="237"/>
        </w:trPr>
        <w:tc>
          <w:tcPr>
            <w:tcW w:w="3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Quarter Ended</w:t>
            </w:r>
          </w:p>
        </w:tc>
        <w:tc>
          <w:tcPr>
            <w:tcW w:w="1600" w:type="dxa"/>
            <w:vAlign w:val="bottom"/>
            <w:gridSpan w:val="3"/>
          </w:tcPr>
          <w:p>
            <w:pPr>
              <w:spacing w:after="0"/>
              <w:rPr>
                <w:sz w:val="20"/>
                <w:szCs w:val="20"/>
                <w:color w:val="auto"/>
              </w:rPr>
            </w:pPr>
            <w:r>
              <w:rPr>
                <w:rFonts w:ascii="Arial" w:cs="Arial" w:eastAsia="Arial" w:hAnsi="Arial"/>
                <w:sz w:val="18"/>
                <w:szCs w:val="18"/>
                <w:color w:val="auto"/>
                <w:w w:val="99"/>
              </w:rPr>
              <w:t>Nine Months Ended</w:t>
            </w:r>
          </w:p>
        </w:tc>
        <w:tc>
          <w:tcPr>
            <w:tcW w:w="6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(4,301)</w:t>
            </w:r>
          </w:p>
        </w:tc>
        <w:tc>
          <w:tcPr>
            <w:tcW w:w="3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Tax benefit</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auto"/>
              </w:rPr>
              <w:t>Provision for income taxes</w:t>
            </w:r>
          </w:p>
        </w:tc>
      </w:tr>
      <w:tr>
        <w:trPr>
          <w:trHeight w:val="257"/>
        </w:trPr>
        <w:tc>
          <w:tcPr>
            <w:tcW w:w="36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4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r>
      <w:tr>
        <w:trPr>
          <w:trHeight w:val="202"/>
        </w:trPr>
        <w:tc>
          <w:tcPr>
            <w:tcW w:w="3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rPr>
              <w:t>April 29,</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r>
      <w:tr>
        <w:trPr>
          <w:trHeight w:val="237"/>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570,477</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557,098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1,713,674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1,681,363</w:t>
            </w:r>
          </w:p>
        </w:tc>
      </w:tr>
      <w:tr>
        <w:trPr>
          <w:trHeight w:val="223"/>
        </w:trPr>
        <w:tc>
          <w:tcPr>
            <w:tcW w:w="3400" w:type="dxa"/>
            <w:vAlign w:val="bottom"/>
          </w:tcPr>
          <w:p>
            <w:pPr>
              <w:ind w:left="180"/>
              <w:spacing w:after="0"/>
              <w:rPr>
                <w:sz w:val="20"/>
                <w:szCs w:val="20"/>
                <w:color w:val="auto"/>
              </w:rPr>
            </w:pPr>
            <w:r>
              <w:rPr>
                <w:rFonts w:ascii="Arial" w:cs="Arial" w:eastAsia="Arial" w:hAnsi="Arial"/>
                <w:sz w:val="18"/>
                <w:szCs w:val="18"/>
                <w:color w:val="auto"/>
              </w:rPr>
              <w:t>Retail</w:t>
            </w: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129,659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126,607</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453,093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441,736</w:t>
            </w:r>
          </w:p>
        </w:tc>
      </w:tr>
      <w:tr>
        <w:trPr>
          <w:trHeight w:val="25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700,136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683,705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2,123,099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3400" w:type="dxa"/>
            <w:vAlign w:val="bottom"/>
          </w:tcPr>
          <w:p>
            <w:pPr>
              <w:spacing w:after="0"/>
              <w:rPr>
                <w:sz w:val="24"/>
                <w:szCs w:val="24"/>
                <w:color w:val="auto"/>
              </w:rPr>
            </w:pPr>
          </w:p>
        </w:tc>
        <w:tc>
          <w:tcPr>
            <w:tcW w:w="2680" w:type="dxa"/>
            <w:vAlign w:val="bottom"/>
          </w:tcPr>
          <w:p>
            <w:pPr>
              <w:jc w:val="right"/>
              <w:ind w:right="219"/>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40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2,320</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23,941,188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23,937,844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23,945,184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23,904,945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132,590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128,217</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119,440</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128,351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24,073,778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24,066,061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24,064,624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24,033,296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April 29, 2016, the Company had $11,195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April 29, 2016,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Condensed Consolidated Balance Sheets for amounts to be paid in case of non-performance by the primary obligor under such lease arrangement.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April 29, 2016.</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April 29, 2016, we operated 635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July 31, 2015 (the “2015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2015 Form 10-K, which is incorporated herein by this reference, as well as the factors described under “Critical Accounting Estimates” on pages 23-26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for the remainder of 2016 to grow guest sales and profits. Our long-term strategy includes the following:</w:t>
      </w:r>
    </w:p>
    <w:p>
      <w:pPr>
        <w:spacing w:after="0" w:line="174" w:lineRule="exact"/>
        <w:rPr>
          <w:sz w:val="20"/>
          <w:szCs w:val="20"/>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footprint through continued use of our proven site selection tools, introducing a new and more efficient building and equipment prototype and continuing our selective entry into new markets;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four priorities for 2016 are to: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Drive traffic and sales through advertising, menu strategies and targeted marketing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Apply technology and process improvements to enhance the overall guest experience;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cost savings initiatives to further drive store operating margins; and</w:t>
      </w:r>
    </w:p>
    <w:p>
      <w:pPr>
        <w:spacing w:after="0" w:line="252" w:lineRule="exact"/>
        <w:rPr>
          <w:rFonts w:ascii="Arial" w:cs="Arial" w:eastAsia="Arial" w:hAnsi="Arial"/>
          <w:sz w:val="18"/>
          <w:szCs w:val="18"/>
          <w:color w:val="auto"/>
        </w:rPr>
      </w:pPr>
    </w:p>
    <w:p>
      <w:pPr>
        <w:ind w:left="660" w:right="3460" w:hanging="328"/>
        <w:spacing w:after="0" w:line="49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long-term growth through new unit expansion and the development of a fast casual concept. We remain committed to our focus on these business priorities for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and nine-month period ended April 29, 2016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20" w:type="dxa"/>
            <w:vAlign w:val="bottom"/>
            <w:gridSpan w:val="4"/>
          </w:tcPr>
          <w:p>
            <w:pPr>
              <w:jc w:val="right"/>
              <w:ind w:right="1020"/>
              <w:spacing w:after="0"/>
              <w:rPr>
                <w:sz w:val="20"/>
                <w:szCs w:val="20"/>
                <w:color w:val="auto"/>
              </w:rPr>
            </w:pPr>
            <w:r>
              <w:rPr>
                <w:rFonts w:ascii="Arial" w:cs="Arial" w:eastAsia="Arial" w:hAnsi="Arial"/>
                <w:sz w:val="18"/>
                <w:szCs w:val="18"/>
                <w:color w:val="auto"/>
              </w:rPr>
              <w:t>Quarter Ended</w:t>
            </w:r>
          </w:p>
        </w:tc>
        <w:tc>
          <w:tcPr>
            <w:tcW w:w="2700" w:type="dxa"/>
            <w:vAlign w:val="bottom"/>
            <w:gridSpan w:val="4"/>
          </w:tcPr>
          <w:p>
            <w:pPr>
              <w:jc w:val="right"/>
              <w:ind w:right="700"/>
              <w:spacing w:after="0"/>
              <w:rPr>
                <w:sz w:val="20"/>
                <w:szCs w:val="20"/>
                <w:color w:val="auto"/>
              </w:rPr>
            </w:pPr>
            <w:r>
              <w:rPr>
                <w:rFonts w:ascii="Arial" w:cs="Arial" w:eastAsia="Arial" w:hAnsi="Arial"/>
                <w:sz w:val="18"/>
                <w:szCs w:val="18"/>
                <w:color w:val="auto"/>
              </w:rPr>
              <w:t>Nine Months Ended</w:t>
            </w: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April 29,</w:t>
            </w:r>
          </w:p>
        </w:tc>
        <w:tc>
          <w:tcPr>
            <w:tcW w:w="11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May 1,</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00"/>
              <w:spacing w:after="0" w:line="201" w:lineRule="exact"/>
              <w:rPr>
                <w:sz w:val="20"/>
                <w:szCs w:val="20"/>
                <w:color w:val="auto"/>
              </w:rPr>
            </w:pPr>
            <w:r>
              <w:rPr>
                <w:rFonts w:ascii="Arial" w:cs="Arial" w:eastAsia="Arial" w:hAnsi="Arial"/>
                <w:sz w:val="18"/>
                <w:szCs w:val="18"/>
                <w:color w:val="auto"/>
              </w:rPr>
              <w:t>April 29,</w:t>
            </w:r>
          </w:p>
        </w:tc>
        <w:tc>
          <w:tcPr>
            <w:tcW w:w="11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589"/>
        </w:trPr>
        <w:tc>
          <w:tcPr>
            <w:tcW w:w="2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33"/>
              <w:spacing w:after="0"/>
              <w:rPr>
                <w:sz w:val="20"/>
                <w:szCs w:val="20"/>
                <w:color w:val="auto"/>
              </w:rPr>
            </w:pPr>
            <w:r>
              <w:rPr>
                <w:rFonts w:ascii="Arial" w:cs="Arial" w:eastAsia="Arial" w:hAnsi="Arial"/>
                <w:sz w:val="14"/>
                <w:szCs w:val="14"/>
                <w:color w:val="auto"/>
              </w:rPr>
              <w:t>16</w:t>
            </w: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and nine-month periods ended April 29, 2016 and May 1, 2015, respectively:</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200" w:type="dxa"/>
            <w:vAlign w:val="bottom"/>
            <w:gridSpan w:val="4"/>
          </w:tcPr>
          <w:p>
            <w:pPr>
              <w:ind w:left="720"/>
              <w:spacing w:after="0"/>
              <w:rPr>
                <w:sz w:val="20"/>
                <w:szCs w:val="20"/>
                <w:color w:val="auto"/>
              </w:rPr>
            </w:pPr>
            <w:r>
              <w:rPr>
                <w:rFonts w:ascii="Arial" w:cs="Arial" w:eastAsia="Arial" w:hAnsi="Arial"/>
                <w:sz w:val="18"/>
                <w:szCs w:val="18"/>
                <w:color w:val="auto"/>
              </w:rPr>
              <w:t>Quarter Ended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5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60" w:type="dxa"/>
            <w:vAlign w:val="bottom"/>
            <w:tcBorders>
              <w:top w:val="single" w:sz="8" w:color="auto"/>
            </w:tcBorders>
            <w:gridSpan w:val="3"/>
          </w:tcPr>
          <w:p>
            <w:pPr>
              <w:jc w:val="center"/>
              <w:ind w:right="220"/>
              <w:spacing w:after="0" w:line="201" w:lineRule="exact"/>
              <w:rPr>
                <w:sz w:val="20"/>
                <w:szCs w:val="20"/>
                <w:color w:val="auto"/>
              </w:rPr>
            </w:pPr>
            <w:r>
              <w:rPr>
                <w:rFonts w:ascii="Arial" w:cs="Arial" w:eastAsia="Arial" w:hAnsi="Arial"/>
                <w:sz w:val="18"/>
                <w:szCs w:val="18"/>
                <w:color w:val="auto"/>
                <w:w w:val="99"/>
              </w:rPr>
              <w:t>April 29,</w:t>
            </w:r>
          </w:p>
        </w:tc>
        <w:tc>
          <w:tcPr>
            <w:tcW w:w="840" w:type="dxa"/>
            <w:vAlign w:val="bottom"/>
            <w:tcBorders>
              <w:top w:val="single" w:sz="8" w:color="auto"/>
            </w:tcBorders>
          </w:tcPr>
          <w:p>
            <w:pPr>
              <w:jc w:val="center"/>
              <w:ind w:left="210"/>
              <w:spacing w:after="0" w:line="201" w:lineRule="exact"/>
              <w:rPr>
                <w:sz w:val="20"/>
                <w:szCs w:val="20"/>
                <w:color w:val="auto"/>
              </w:rPr>
            </w:pPr>
            <w:r>
              <w:rPr>
                <w:rFonts w:ascii="Arial" w:cs="Arial" w:eastAsia="Arial" w:hAnsi="Arial"/>
                <w:sz w:val="18"/>
                <w:szCs w:val="18"/>
                <w:color w:val="auto"/>
                <w:w w:val="92"/>
              </w:rPr>
              <w:t>May 1,</w:t>
            </w: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9"/>
              </w:rPr>
              <w:t>April 29,</w:t>
            </w:r>
          </w:p>
        </w:tc>
        <w:tc>
          <w:tcPr>
            <w:tcW w:w="116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4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Opened during the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Closed during the period</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Open at end of the period</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635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 for the third quarter and first nine months of 2016 increased 2.4% and 2.1%, respectively, compared to the same periods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8" w:lineRule="exact"/>
        <w:rPr>
          <w:sz w:val="20"/>
          <w:szCs w:val="20"/>
          <w:color w:val="auto"/>
        </w:rPr>
      </w:pPr>
    </w:p>
    <w:p>
      <w:pPr>
        <w:jc w:val="both"/>
        <w:ind w:right="20"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nine-month period ended April 29, 2016 as compared to the quarter and nine-month period ended May 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254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May 1,</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rPr>
              <w:t>April 29,</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557,098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1,713,674</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1,681,363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Retail</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129,659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453,093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441,736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700,136</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683,705</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2,166,767</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2,123,099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Retail</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898.4</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878.7</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2,696.4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1,102.6</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1,078.4</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3,409.3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3,351.4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8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third quarter of 2016, our comparable store restaurant sales increase consisted of a 2.9% average check increase (including a 2.8% average menu price increase) partially offset by a 0.6% guest traffic decrease. For the third quarter of 2016, our comparable store retail sales increase resulted primarily from strong performance in media merchandise and food and convenience categories.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first nine months of 2016, our comparable store restaurant sales increase consisted of a 3.1% average check increase (including a 2.8% average menu price increase) partially offset by a 1.3% guest traffic decrease. For the first nine months of 2016, our comparable store retail sales increase resulted primarily from strong performance in apparel and accessories merchandise, food and convenience merchandise and media merchandise categories.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Restaurant and retail sales from newly opened stores accounted for the remainder of the total revenue increases in the third quarter and first nine months of 2016 as compared to the same periods in the prior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third quarter and first nine months of 2016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color w:val="auto"/>
              </w:rPr>
              <w:t>Nine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May 1,</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29,</w:t>
            </w:r>
          </w:p>
        </w:tc>
        <w:tc>
          <w:tcPr>
            <w:tcW w:w="1280" w:type="dxa"/>
            <w:vAlign w:val="bottom"/>
            <w:tcBorders>
              <w:top w:val="single" w:sz="8" w:color="auto"/>
            </w:tcBorders>
            <w:gridSpan w:val="3"/>
          </w:tcPr>
          <w:p>
            <w:pPr>
              <w:ind w:left="140"/>
              <w:spacing w:after="0" w:line="201" w:lineRule="exact"/>
              <w:rPr>
                <w:sz w:val="20"/>
                <w:szCs w:val="20"/>
                <w:color w:val="auto"/>
              </w:rPr>
            </w:pPr>
            <w:r>
              <w:rPr>
                <w:rFonts w:ascii="Arial" w:cs="Arial" w:eastAsia="Arial" w:hAnsi="Arial"/>
                <w:sz w:val="18"/>
                <w:szCs w:val="18"/>
                <w:color w:val="auto"/>
              </w:rPr>
              <w:t>May 1,</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469,050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470,511</w:t>
            </w: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62,791</w:t>
            </w:r>
          </w:p>
        </w:tc>
        <w:tc>
          <w:tcPr>
            <w:tcW w:w="16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231,237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230,081</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212,382</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216,142</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9"/>
              </w:rPr>
              <w:t>700,287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700,592</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Retail</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in restaurant cost of goods sold as a percentage of restaurant revenue in the third quarter of 2016 as compared to the same period in the prior year was primarily due to commodity deflation, our menu price increase referenced above and lower food waste, partially offset by higher cost menu items. Commodity deflation was 1.6% in the third quarter of 2016. Lower food waste accounted for a decrease of 0.1% in restaurant cost of goods sold as a percentage of restaurant revenue for the third quarter of 2016 as compared to the same period in the prior year. Higher cost menu items accounted for an increase of 0.3% in restaurant cost of goods sold as a percentage of restaurant revenue for the third quarter of 2016 as compared to the same period in the prior year.</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restaurant cost of goods sold as a percentage of restaurant revenue in the first nine months of 2016 as compared to the same period in the prior year was primarily due to our menu price increase for the first nine months of 2016 referenced above.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flat for 2016.</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retail cost of goods sold as a percentage of retail revenue in the third quarter of 2016 as compared to the prior year quarter resulted primarily from higher initial margin, a reduction in the provision for obsolete inventory, higher retail credits and lower freight expense partially offset by higher markdowns and damages.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Higher initial margin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Retail credits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Freight expense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Markdowns and damages</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the first nine months of 2016 as compared to the same period in the prior year resulted primarily from higher initial margin and lower freight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First Nine Months</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020" w:type="dxa"/>
            <w:vAlign w:val="bottom"/>
            <w:gridSpan w:val="3"/>
          </w:tcPr>
          <w:p>
            <w:pPr>
              <w:jc w:val="center"/>
              <w:ind w:left="4556"/>
              <w:spacing w:after="0"/>
              <w:rPr>
                <w:sz w:val="20"/>
                <w:szCs w:val="20"/>
                <w:color w:val="auto"/>
              </w:rPr>
            </w:pPr>
            <w:r>
              <w:rPr>
                <w:rFonts w:ascii="Arial" w:cs="Arial" w:eastAsia="Arial" w:hAnsi="Arial"/>
                <w:sz w:val="18"/>
                <w:szCs w:val="18"/>
                <w:color w:val="auto"/>
                <w:w w:val="86"/>
              </w:rPr>
              <w:t>(Decrease) as a Percentage</w:t>
            </w:r>
          </w:p>
        </w:tc>
        <w:tc>
          <w:tcPr>
            <w:tcW w:w="50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Retail Revenue</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Higher initial margin</w:t>
            </w:r>
          </w:p>
        </w:tc>
        <w:tc>
          <w:tcPr>
            <w:tcW w:w="48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Freight expense</w:t>
            </w:r>
          </w:p>
        </w:tc>
        <w:tc>
          <w:tcPr>
            <w:tcW w:w="70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20"/>
                <w:szCs w:val="20"/>
                <w:color w:val="auto"/>
              </w:rPr>
            </w:pPr>
          </w:p>
        </w:tc>
      </w:tr>
      <w:tr>
        <w:trPr>
          <w:trHeight w:val="581"/>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60" w:type="dxa"/>
            <w:vAlign w:val="bottom"/>
          </w:tcPr>
          <w:p>
            <w:pPr>
              <w:jc w:val="right"/>
              <w:ind w:right="2896"/>
              <w:spacing w:after="0"/>
              <w:rPr>
                <w:sz w:val="20"/>
                <w:szCs w:val="20"/>
                <w:color w:val="auto"/>
              </w:rPr>
            </w:pPr>
            <w:r>
              <w:rPr>
                <w:rFonts w:ascii="Arial" w:cs="Arial" w:eastAsia="Arial" w:hAnsi="Arial"/>
                <w:sz w:val="14"/>
                <w:szCs w:val="14"/>
                <w:color w:val="auto"/>
              </w:rPr>
              <w:t>18</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6"/>
        </w:trPr>
        <w:tc>
          <w:tcPr>
            <w:tcW w:w="66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35.6% in the third quarter of 2016 as compared to 36.1% in the third quarter of 2015. This percentage change resulted primarily from the following:</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080" w:type="dxa"/>
            <w:vAlign w:val="bottom"/>
            <w:gridSpan w:val="3"/>
          </w:tcPr>
          <w:p>
            <w:pPr>
              <w:jc w:val="center"/>
              <w:ind w:left="249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8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Payroll tax expense</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Store hourly labor</w:t>
            </w:r>
          </w:p>
        </w:tc>
        <w:tc>
          <w:tcPr>
            <w:tcW w:w="50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decreased to 34.4% in the first nine months of 2016 as compared to 34.9% in the same period in the prior year.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First Nine Months</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480" w:type="dxa"/>
            <w:vAlign w:val="bottom"/>
            <w:gridSpan w:val="3"/>
          </w:tcPr>
          <w:p>
            <w:pPr>
              <w:jc w:val="center"/>
              <w:ind w:left="3010"/>
              <w:spacing w:after="0"/>
              <w:rPr>
                <w:sz w:val="20"/>
                <w:szCs w:val="20"/>
                <w:color w:val="auto"/>
              </w:rPr>
            </w:pPr>
            <w:r>
              <w:rPr>
                <w:rFonts w:ascii="Arial" w:cs="Arial" w:eastAsia="Arial" w:hAnsi="Arial"/>
                <w:sz w:val="18"/>
                <w:szCs w:val="18"/>
                <w:color w:val="auto"/>
                <w:w w:val="86"/>
              </w:rPr>
              <w:t>(Decrease) as a Percentage</w:t>
            </w: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3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Payroll tax expense</w:t>
            </w:r>
          </w:p>
        </w:tc>
        <w:tc>
          <w:tcPr>
            <w:tcW w:w="548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Lower store bonus expense as a percentage of total revenue for the third quarter and first nine months of 2016 as compared to the same periods in the prior year resulted from lower performance against financial objectives in 2016 as compared to the prior year.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decreases in payroll tax expense as a percentage of total revenue for the third quarter and first nine months of 2016 as compared to the same periods in the prior year resulted primarily from lower unemployment tax rates.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decrease in store management compensation expense as a percentage of total revenue for the third quarter of 2016 as compared to the same period in the prior year resulted primarily from lower staffing levels in the third quarter of 2016 as compared to the same period in 2015.</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third quarter of 2016 as compared to the same period in the prior year resulted primarily from increases in hourly wage inflation and lower productivity.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19.3% in the third quarter of 2016 as compared to 18.5% in the third quarter of 2015. This percentage change resulted primarily from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Third Quarter</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000" w:type="dxa"/>
            <w:vAlign w:val="bottom"/>
            <w:gridSpan w:val="3"/>
          </w:tcPr>
          <w:p>
            <w:pPr>
              <w:jc w:val="center"/>
              <w:ind w:left="4414"/>
              <w:spacing w:after="0"/>
              <w:rPr>
                <w:sz w:val="20"/>
                <w:szCs w:val="20"/>
                <w:color w:val="auto"/>
              </w:rPr>
            </w:pPr>
            <w:r>
              <w:rPr>
                <w:rFonts w:ascii="Arial" w:cs="Arial" w:eastAsia="Arial" w:hAnsi="Arial"/>
                <w:sz w:val="18"/>
                <w:szCs w:val="18"/>
                <w:color w:val="auto"/>
                <w:w w:val="87"/>
              </w:rPr>
              <w:t>Percentage of Total Revenue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4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Maintenance expense</w:t>
            </w:r>
          </w:p>
        </w:tc>
        <w:tc>
          <w:tcPr>
            <w:tcW w:w="700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Supplies expense</w:t>
            </w:r>
          </w:p>
        </w:tc>
        <w:tc>
          <w:tcPr>
            <w:tcW w:w="7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Utilities expense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720" w:type="dxa"/>
            <w:vAlign w:val="bottom"/>
          </w:tcPr>
          <w:p>
            <w:pPr>
              <w:jc w:val="right"/>
              <w:ind w:right="2774"/>
              <w:spacing w:after="0"/>
              <w:rPr>
                <w:sz w:val="20"/>
                <w:szCs w:val="20"/>
                <w:color w:val="auto"/>
              </w:rPr>
            </w:pPr>
            <w:r>
              <w:rPr>
                <w:rFonts w:ascii="Arial" w:cs="Arial" w:eastAsia="Arial" w:hAnsi="Arial"/>
                <w:sz w:val="14"/>
                <w:szCs w:val="14"/>
                <w:color w:val="auto"/>
              </w:rPr>
              <w:t>19</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19.0% in the first nine months of 2016 as compared to 18.4% in the same period in the prior year.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180" w:type="dxa"/>
            <w:vAlign w:val="bottom"/>
            <w:gridSpan w:val="3"/>
          </w:tcPr>
          <w:p>
            <w:pPr>
              <w:jc w:val="center"/>
              <w:ind w:left="159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19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Maintenance expense</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Bi-annual manager conference and training event expense</w:t>
            </w: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Utilities expense</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advertising expense as a percentage of total revenue for the third quarter and the first nine months of 2016 as compared to the same periods in the prior year resulted primarily from an increased spending in local marketing and the timing of new television advertising which is consistent with our previously announced intent to increase our advertising spending in 2016.</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maintenance expense as a percentage of total revenue for the third quarter and the first nine months of 2016 as compared to the same periods in the prior year resulted primarily from expenses associated with the preventive maintenance and related repair of certain building components and kitchen equipment.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supplies expense as a percentage of total revenue for the third quarter of 2016 as compared to the same period in the prior year resulted primarily from a higher volume of purchases in certain categories.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2016, we held a bi-annual manager conference and training event which was attended by our store operations management team. We did not hold a manager’s conference and training event in 2015 and we expect to hold our next conference and training event in the first quarter of 2018.</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utilities expense as a percentage of total revenue for the third quarter and first nine months of 2016 as compared to the same periods in the prior year resulted primarily from lower natural gas prices and usage and lower electricity costs. Lower electricity costs resulted primarily from our LED lighting installation initiative.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5.2% in the third quarter of 2016 as compared to 5.7% in the same period in the prior year. This percentage change resulted primarily from lower incentive compensation expense.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4.9% in the first nine months of 2016 as compared to 5.1% in the same period in the prior year.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100" w:type="dxa"/>
            <w:vAlign w:val="bottom"/>
            <w:gridSpan w:val="3"/>
          </w:tcPr>
          <w:p>
            <w:pPr>
              <w:jc w:val="center"/>
              <w:ind w:left="251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expense</w:t>
            </w:r>
          </w:p>
        </w:tc>
        <w:tc>
          <w:tcPr>
            <w:tcW w:w="2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510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Lower incentive compensation expense in the third quarter and first nine months of 2016 as compared to the same periods in the prior year resulted primarily from lower performance against financial objectives as compared to the prior year. Lower incentive compensation expense in the third quarter of 2016 as compared to the same period in the prior year was partially offset by higher payroll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Interest expense for the third quarter of 2016 was $3,436 as compared to $4,030 in the third quarter of 2015. Interest expense for the first nine months of 2016 was $10,549 as compared to $13,138 in the same period in the prior year. The decrease in interest expense for the third quarter of 2016 as compared to the same period in the prior year resulted primarily from lower weighted average interest rates. The decrease in interest expense for the first nine months of 2016 as compared to the same period in the prior year resulted primarily from lower weighted average interest rates and the non-recurrence of a $412 write-off of deferred financing costs related to our debt refinancing in the prior year. The lower weighted average interest rates were due to a reduction in our credit spread by 0.25% as a result of our debt refinancing and lower fixed rates on our interest rate swaps due to the expiration of certain interest rate swaps and the effectiveness of lower-cost interest rate swaps.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Provision for income taxes as a percentage of income before income taxes (the “effective tax rate”) was 22.7% and 31.4% in the third quarters of 2016 and 2015, respectively. The effective tax rate was 28.1% and 31.1% in the first nine months of 2016 and 2015, respectively. The decreases in the effective tax rate from the third quarter and first nine months of 2015 to the third quarter and first nine months of 2016 resulted primarily from the recognition of tax reserve positions taken in prior years due to uncertain outcome. Excluding the impact of the recognition of these tax positions, the effective tax rate would be 31.0% for the third quarter of 2016 and 30.9% for the first nine months of 2016.</w:t>
      </w:r>
    </w:p>
    <w:p>
      <w:pPr>
        <w:spacing w:after="0" w:line="2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presently expect our effective tax rate for 2016 to be approximately 29.0%. Excluding the impact of the recognition of prior tax positions, we expect our rate for 2016 to be approximately 31.0%.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$750,000 revolving credit facility (the “Revolving Credit Facility”). Our internally generated cash, along with cash on hand at July 31, 2015, was sufficient to finance all of our growth, dividend payments, share repurchases, working capital needs and other cash payment obligations in the first nine months of 2016.</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April 29, 2016,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activities provided net cash of $149,358 for the first nine months of 2016, which represented a decrease from the $216,680 net cash provided during the first nine months of 2015. This decrease primarily reflected the timing of payments for accounts payable, higher retail inventory levels and higher bonus payments made in 2016 as a result of the prior year’s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April 29, 2016, we had $400,000 of outstanding borrowings under the Revolving Credit Facility and we had $11,195 of standby letters of credit related to securing reserved claims under our workers’ compensation insurance which reduce our borrowing availability under the Revolving Credit Facility. At April 29, 2016, we had $338,805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735"/>
        <w:spacing w:after="0" w:line="290" w:lineRule="auto"/>
        <w:rPr>
          <w:sz w:val="20"/>
          <w:szCs w:val="20"/>
          <w:color w:val="auto"/>
        </w:rPr>
      </w:pPr>
      <w:r>
        <w:rPr>
          <w:rFonts w:ascii="Arial" w:cs="Arial" w:eastAsia="Arial" w:hAnsi="Arial"/>
          <w:sz w:val="16"/>
          <w:szCs w:val="16"/>
          <w:color w:val="auto"/>
        </w:rPr>
        <w:t>Capital expenditures (purchase of property and equipment) net of proceeds from insurance recoveries were $69,504 for the first nine months of 2016 as compared to $60,055 for the same period in the prior year. Our capital expenditures consisted primarily of capital expenditures for maintenance programs and costs of new store locations. The increase in capital expenditures from the first nine months of 2015 to the first nine months of 2016 was primarily due to higher spending for maintenance programs and an increase in the number of new locations acquired and under construction as compared to the prior year. We estimate that our capital expenditures during 2016 will be between $100,000 to $110,000. This estimate includes the acquisition of sites and construction costs of five new stores that are expected to open during 2016, as well as for acquisition and construction costs for store locations to be opened in 2017, capital expenditures for maintenance programs and technology and operations improvements. We intend to fund our capital expenditures with cash flows from operations and borrowings under our Revolving Credit Facility, as necessary.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nine months of 2016, we paid regular dividends of $3.30 per share and a special dividend of $3.00 per share, or an aggregate of $151,385. During the third quarter of 2016, we declared a dividend of $1.10 per share that was paid on May 5, 2016 to shareholders of record on April 15, 2016.</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2016. During the first nine months of 2016, we repurchased 100,000 shares of our common stock in the open market at an aggregate cost of $14,653. All of these repurchases were made in the first quarter of 2016.</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nine months of 2016, we issued 66,243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$5,281.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had positive working capital of $56,603 at April 29, 2016 versus positive working capital of $11,213 at July 31, 2015. Working capital increased from July 31, 2015 primarily because of the payment of the special dividend of $3.00 per share of our common stock, the timing of payments for accounts payable and lower incentive compensation accruals based on lower performance against financial objectives in 2016 partially offset by the decrease in cash.</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2015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2015. Refer to the sub-section entitled “Material Commitments” under the section entitled “Liquidity and Capital Resources” presented in the MD&amp;A of our 2015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the accounting guidance is either expected not to have a significant impact on our consolidated financial position or results of operations or we are still evaluating the impact of adopting the accounting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2015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nine months of 2016,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 The majority of our fully-insured health insurance plans for calendar 2014 contained a retrospective feature which decreased premiums based on actual claims experience.</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2016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nine months of 2016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Tax Credit,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2015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common stock at the date of grant.</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nine months of 2016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2015 Form 10-K is incorporated in this item of this Quarterly Report on Form 10-Q by this reference. There have been no material changes in our quantitative and qualitative market risks since July 31, 2015.</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April 29, 2016, our disclosure controls and procedures were effective for the purposes set forth in the definition thereof in Exchange Act Rule 13a-15(e).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April 29, 2016 in our internal control over financial reporting (as defined in Exchange Act Rule 13a-15(f)) that have materially affected, or are reasonably likely to materially affect, our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risk factors previously disclosed in “Item 1A. Risk Factors” of our 2015 Form 10-K.</w:t>
      </w:r>
    </w:p>
    <w:p>
      <w:pPr>
        <w:spacing w:after="0" w:line="2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20" w:type="dxa"/>
            <w:vAlign w:val="bottom"/>
            <w:gridSpan w:val="3"/>
          </w:tcPr>
          <w:p>
            <w:pPr>
              <w:ind w:left="104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2400" w:type="dxa"/>
            <w:vAlign w:val="bottom"/>
            <w:gridSpan w:val="3"/>
          </w:tcPr>
          <w:p>
            <w:pPr>
              <w:spacing w:after="0"/>
              <w:rPr>
                <w:sz w:val="20"/>
                <w:szCs w:val="20"/>
                <w:color w:val="auto"/>
              </w:rPr>
            </w:pPr>
            <w:r>
              <w:rPr>
                <w:rFonts w:ascii="Arial" w:cs="Arial" w:eastAsia="Arial" w:hAnsi="Arial"/>
                <w:sz w:val="18"/>
                <w:szCs w:val="18"/>
                <w:color w:val="auto"/>
              </w:rPr>
              <w:t>Date: June 1, 2016</w:t>
            </w:r>
          </w:p>
        </w:tc>
        <w:tc>
          <w:tcPr>
            <w:tcW w:w="1600" w:type="dxa"/>
            <w:vAlign w:val="bottom"/>
          </w:tcPr>
          <w:p>
            <w:pPr>
              <w:ind w:left="1040"/>
              <w:spacing w:after="0"/>
              <w:rPr>
                <w:sz w:val="20"/>
                <w:szCs w:val="20"/>
                <w:color w:val="auto"/>
              </w:rPr>
            </w:pPr>
            <w:r>
              <w:rPr>
                <w:rFonts w:ascii="Arial" w:cs="Arial" w:eastAsia="Arial" w:hAnsi="Arial"/>
                <w:sz w:val="18"/>
                <w:szCs w:val="18"/>
                <w:color w:val="auto"/>
              </w:rPr>
              <w:t>By:</w:t>
            </w:r>
          </w:p>
        </w:tc>
        <w:tc>
          <w:tcPr>
            <w:tcW w:w="7420" w:type="dxa"/>
            <w:vAlign w:val="bottom"/>
            <w:gridSpan w:val="2"/>
          </w:tcPr>
          <w:p>
            <w:pPr>
              <w:spacing w:after="0"/>
              <w:rPr>
                <w:sz w:val="20"/>
                <w:szCs w:val="20"/>
                <w:color w:val="auto"/>
              </w:rPr>
            </w:pPr>
            <w:r>
              <w:rPr>
                <w:rFonts w:ascii="Arial" w:cs="Arial" w:eastAsia="Arial" w:hAnsi="Arial"/>
                <w:sz w:val="18"/>
                <w:szCs w:val="18"/>
                <w:color w:val="auto"/>
              </w:rPr>
              <w:t>/s/Lawrence E. Hyatt</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940" w:type="dxa"/>
            <w:vAlign w:val="bottom"/>
            <w:tcBorders>
              <w:left w:val="single" w:sz="8" w:color="auto"/>
            </w:tcBorders>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Lawrence E. Hyatt, Senior Vice President and</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392"/>
        </w:trPr>
        <w:tc>
          <w:tcPr>
            <w:tcW w:w="2400" w:type="dxa"/>
            <w:vAlign w:val="bottom"/>
            <w:gridSpan w:val="3"/>
          </w:tcPr>
          <w:p>
            <w:pPr>
              <w:spacing w:after="0"/>
              <w:rPr>
                <w:sz w:val="20"/>
                <w:szCs w:val="20"/>
                <w:color w:val="auto"/>
              </w:rPr>
            </w:pPr>
            <w:r>
              <w:rPr>
                <w:rFonts w:ascii="Arial" w:cs="Arial" w:eastAsia="Arial" w:hAnsi="Arial"/>
                <w:sz w:val="18"/>
                <w:szCs w:val="18"/>
                <w:color w:val="auto"/>
              </w:rPr>
              <w:t>Date: June 1, 2016</w:t>
            </w:r>
          </w:p>
        </w:tc>
        <w:tc>
          <w:tcPr>
            <w:tcW w:w="1600" w:type="dxa"/>
            <w:vAlign w:val="bottom"/>
          </w:tcPr>
          <w:p>
            <w:pPr>
              <w:ind w:left="1040"/>
              <w:spacing w:after="0"/>
              <w:rPr>
                <w:sz w:val="20"/>
                <w:szCs w:val="20"/>
                <w:color w:val="auto"/>
              </w:rPr>
            </w:pPr>
            <w:r>
              <w:rPr>
                <w:rFonts w:ascii="Arial" w:cs="Arial" w:eastAsia="Arial" w:hAnsi="Arial"/>
                <w:sz w:val="18"/>
                <w:szCs w:val="18"/>
                <w:color w:val="auto"/>
              </w:rPr>
              <w:t>By:</w:t>
            </w:r>
          </w:p>
        </w:tc>
        <w:tc>
          <w:tcPr>
            <w:tcW w:w="7420" w:type="dxa"/>
            <w:vAlign w:val="bottom"/>
            <w:gridSpan w:val="2"/>
          </w:tcPr>
          <w:p>
            <w:pPr>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Jeffrey M. Wilson, Vice President, Corporate Controller and</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Principal Accounting Officer</w:t>
            </w:r>
          </w:p>
        </w:tc>
      </w:tr>
      <w:tr>
        <w:trPr>
          <w:trHeight w:val="596"/>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20" w:type="dxa"/>
            <w:vAlign w:val="bottom"/>
            <w:gridSpan w:val="2"/>
          </w:tcPr>
          <w:p>
            <w:pPr>
              <w:ind w:left="1640"/>
              <w:spacing w:after="0"/>
              <w:rPr>
                <w:sz w:val="20"/>
                <w:szCs w:val="20"/>
                <w:color w:val="auto"/>
              </w:rPr>
            </w:pPr>
            <w:r>
              <w:rPr>
                <w:rFonts w:ascii="Arial" w:cs="Arial" w:eastAsia="Arial" w:hAnsi="Arial"/>
                <w:sz w:val="14"/>
                <w:szCs w:val="14"/>
                <w:color w:val="auto"/>
              </w:rPr>
              <w:t>29</w:t>
            </w:r>
          </w:p>
        </w:tc>
      </w:tr>
      <w:tr>
        <w:trPr>
          <w:trHeight w:val="46"/>
        </w:trPr>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Change in Control and Severance Agreement with Jill Golder, dated April 28, 2016</w:t>
            </w:r>
            <w:r>
              <w:rPr>
                <w:rFonts w:ascii="Arial" w:cs="Arial" w:eastAsia="Arial" w:hAnsi="Arial"/>
                <w:sz w:val="30"/>
                <w:szCs w:val="30"/>
                <w:color w:val="auto"/>
                <w:w w:val="95"/>
                <w:vertAlign w:val="superscript"/>
              </w:rPr>
              <w:t>†</w:t>
            </w:r>
            <w:r>
              <w:rPr>
                <w:rFonts w:ascii="Arial" w:cs="Arial" w:eastAsia="Arial" w:hAnsi="Arial"/>
                <w:sz w:val="18"/>
                <w:szCs w:val="18"/>
                <w:color w:val="auto"/>
                <w:w w:val="95"/>
              </w:rPr>
              <w:t xml:space="preserve"> (incorporated by reference to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Current Report on Form 8-K filed on April 29,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380" w:hanging="467"/>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380" w:hanging="467"/>
        <w:spacing w:after="0" w:line="264"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380" w:right="20" w:hanging="467"/>
        <w:spacing w:after="0" w:line="342" w:lineRule="auto"/>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380" w:hanging="467"/>
        <w:spacing w:after="0" w:line="291" w:lineRule="auto"/>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800" w:hanging="414"/>
        <w:spacing w:after="0" w:line="286" w:lineRule="auto"/>
        <w:tabs>
          <w:tab w:leader="none" w:pos="18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800" w:hanging="414"/>
        <w:spacing w:after="0" w:line="264" w:lineRule="auto"/>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80" w:hanging="467"/>
        <w:spacing w:after="0" w:line="264"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800" w:hanging="414"/>
        <w:spacing w:after="0" w:line="342" w:lineRule="auto"/>
        <w:tabs>
          <w:tab w:leader="none" w:pos="18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20" w:hanging="414"/>
        <w:spacing w:after="0" w:line="277" w:lineRule="auto"/>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June 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1" w:name="page32"/>
    <w:bookmarkEnd w:id="31"/>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380" w:hanging="467"/>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380" w:hanging="467"/>
        <w:spacing w:after="0" w:line="264"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380" w:right="20" w:hanging="467"/>
        <w:spacing w:after="0" w:line="342" w:lineRule="auto"/>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380" w:hanging="467"/>
        <w:spacing w:after="0" w:line="291" w:lineRule="auto"/>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800" w:hanging="414"/>
        <w:spacing w:after="0" w:line="286" w:lineRule="auto"/>
        <w:tabs>
          <w:tab w:leader="none" w:pos="18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800" w:hanging="414"/>
        <w:spacing w:after="0" w:line="264" w:lineRule="auto"/>
        <w:tabs>
          <w:tab w:leader="none" w:pos="1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80" w:hanging="467"/>
        <w:spacing w:after="0" w:line="264"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800" w:hanging="414"/>
        <w:spacing w:after="0" w:line="342" w:lineRule="auto"/>
        <w:tabs>
          <w:tab w:leader="none" w:pos="18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20" w:hanging="414"/>
        <w:spacing w:after="0" w:line="277" w:lineRule="auto"/>
        <w:tabs>
          <w:tab w:leader="none" w:pos="1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June 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April 29, 2016,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sz w:val="20"/>
                <w:szCs w:val="20"/>
                <w:color w:val="auto"/>
              </w:rPr>
            </w:pPr>
            <w:r>
              <w:rPr>
                <w:rFonts w:ascii="Arial" w:cs="Arial" w:eastAsia="Arial" w:hAnsi="Arial"/>
                <w:sz w:val="18"/>
                <w:szCs w:val="18"/>
                <w:color w:val="auto"/>
              </w:rPr>
              <w:t>Date: June 1, 2016</w:t>
            </w:r>
          </w:p>
        </w:tc>
        <w:tc>
          <w:tcPr>
            <w:tcW w:w="8440" w:type="dxa"/>
            <w:vAlign w:val="bottom"/>
            <w:gridSpan w:val="4"/>
          </w:tcPr>
          <w:p>
            <w:pPr>
              <w:ind w:left="1600"/>
              <w:spacing w:after="0"/>
              <w:rPr>
                <w:sz w:val="20"/>
                <w:szCs w:val="20"/>
                <w:color w:val="auto"/>
              </w:rPr>
            </w:pPr>
            <w:r>
              <w:rPr>
                <w:rFonts w:ascii="Arial" w:cs="Arial" w:eastAsia="Arial" w:hAnsi="Arial"/>
                <w:sz w:val="18"/>
                <w:szCs w:val="18"/>
                <w:color w:val="auto"/>
              </w:rPr>
              <w:t>By: /s/Sandra B. Cochran</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96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920" w:type="dxa"/>
            <w:vAlign w:val="bottom"/>
            <w:tcBorders>
              <w:top w:val="single" w:sz="8" w:color="auto"/>
            </w:tcBorders>
            <w:shd w:val="clear" w:color="auto" w:fill="808080"/>
          </w:tcPr>
          <w:p>
            <w:pPr>
              <w:spacing w:after="0" w:line="20" w:lineRule="exact"/>
              <w:rPr>
                <w:sz w:val="1"/>
                <w:szCs w:val="1"/>
                <w:color w:val="auto"/>
              </w:rPr>
            </w:pPr>
          </w:p>
        </w:tc>
        <w:tc>
          <w:tcPr>
            <w:tcW w:w="1620" w:type="dxa"/>
            <w:vAlign w:val="bottom"/>
            <w:tcBorders>
              <w:top w:val="single" w:sz="8" w:color="auto"/>
            </w:tcBorders>
            <w:shd w:val="clear" w:color="auto" w:fill="808080"/>
          </w:tcPr>
          <w:p>
            <w:pPr>
              <w:spacing w:after="0" w:line="20" w:lineRule="exact"/>
              <w:rPr>
                <w:sz w:val="1"/>
                <w:szCs w:val="1"/>
                <w:color w:val="auto"/>
              </w:rPr>
            </w:pPr>
          </w:p>
        </w:tc>
        <w:tc>
          <w:tcPr>
            <w:tcW w:w="194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49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April 29, 2016,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sz w:val="20"/>
                <w:szCs w:val="20"/>
                <w:color w:val="auto"/>
              </w:rPr>
            </w:pPr>
            <w:r>
              <w:rPr>
                <w:rFonts w:ascii="Arial" w:cs="Arial" w:eastAsia="Arial" w:hAnsi="Arial"/>
                <w:sz w:val="18"/>
                <w:szCs w:val="18"/>
                <w:color w:val="auto"/>
              </w:rPr>
              <w:t>Date: June 1, 2016</w:t>
            </w:r>
          </w:p>
        </w:tc>
        <w:tc>
          <w:tcPr>
            <w:tcW w:w="8440" w:type="dxa"/>
            <w:vAlign w:val="bottom"/>
            <w:gridSpan w:val="4"/>
          </w:tcPr>
          <w:p>
            <w:pPr>
              <w:ind w:left="1600"/>
              <w:spacing w:after="0"/>
              <w:rPr>
                <w:sz w:val="20"/>
                <w:szCs w:val="20"/>
                <w:color w:val="auto"/>
              </w:rPr>
            </w:pPr>
            <w:r>
              <w:rPr>
                <w:rFonts w:ascii="Arial" w:cs="Arial" w:eastAsia="Arial" w:hAnsi="Arial"/>
                <w:sz w:val="18"/>
                <w:szCs w:val="18"/>
                <w:color w:val="auto"/>
              </w:rPr>
              <w:t>By: /s/Lawrence E. Hyatt</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Lawrence E. Hyatt,</w:t>
            </w:r>
          </w:p>
        </w:tc>
        <w:tc>
          <w:tcPr>
            <w:tcW w:w="498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920" w:type="dxa"/>
            <w:vAlign w:val="bottom"/>
            <w:tcBorders>
              <w:top w:val="single" w:sz="8" w:color="auto"/>
            </w:tcBorders>
            <w:shd w:val="clear" w:color="auto" w:fill="808080"/>
          </w:tcPr>
          <w:p>
            <w:pPr>
              <w:spacing w:after="0" w:line="20" w:lineRule="exact"/>
              <w:rPr>
                <w:sz w:val="1"/>
                <w:szCs w:val="1"/>
                <w:color w:val="auto"/>
              </w:rPr>
            </w:pPr>
          </w:p>
        </w:tc>
        <w:tc>
          <w:tcPr>
            <w:tcW w:w="1620" w:type="dxa"/>
            <w:vAlign w:val="bottom"/>
            <w:tcBorders>
              <w:top w:val="single" w:sz="8" w:color="auto"/>
            </w:tcBorders>
            <w:shd w:val="clear" w:color="auto" w:fill="808080"/>
          </w:tcPr>
          <w:p>
            <w:pPr>
              <w:spacing w:after="0" w:line="20" w:lineRule="exact"/>
              <w:rPr>
                <w:sz w:val="1"/>
                <w:szCs w:val="1"/>
                <w:color w:val="auto"/>
              </w:rPr>
            </w:pPr>
          </w:p>
        </w:tc>
        <w:tc>
          <w:tcPr>
            <w:tcW w:w="1940" w:type="dxa"/>
            <w:vAlign w:val="bottom"/>
            <w:tcBorders>
              <w:top w:val="single" w:sz="8" w:color="auto"/>
            </w:tcBorders>
            <w:shd w:val="clear" w:color="auto" w:fill="808080"/>
          </w:tcPr>
          <w:p>
            <w:pPr>
              <w:spacing w:after="0" w:line="20" w:lineRule="exact"/>
              <w:rPr>
                <w:sz w:val="1"/>
                <w:szCs w:val="1"/>
                <w:color w:val="auto"/>
              </w:rPr>
            </w:pPr>
          </w:p>
        </w:tc>
        <w:tc>
          <w:tcPr>
            <w:tcW w:w="1520" w:type="dxa"/>
            <w:vAlign w:val="bottom"/>
            <w:tcBorders>
              <w:top w:val="single" w:sz="8" w:color="auto"/>
            </w:tcBorders>
            <w:shd w:val="clear" w:color="auto" w:fill="808080"/>
          </w:tcPr>
          <w:p>
            <w:pPr>
              <w:spacing w:after="0" w:line="20" w:lineRule="exact"/>
              <w:rPr>
                <w:sz w:val="1"/>
                <w:szCs w:val="1"/>
                <w:color w:val="auto"/>
              </w:rPr>
            </w:pPr>
          </w:p>
        </w:tc>
        <w:tc>
          <w:tcPr>
            <w:tcW w:w="49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2019-12-29T12:25:24Z</dcterms:created>
  <dcterms:modified xsi:type="dcterms:W3CDTF">2019-12-29T12:25:24Z</dcterms:modified>
</cp:coreProperties>
</file>