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Hisel Doug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S. HARTMANN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Store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25,933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25,612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of an award of performance-based RSUs based on three-year performance metrics and the certification by the Compensation Committee of achievement of those metrics under the FY24 Long-Term Performance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deducted to satisfy federal tax withholding obligations on the vesting of the award disclosed in row one of this table.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deducted to satisfy federal tax withholding obligations on the vesting of previously disclosed awards.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Doug Hisel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751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3668</Characters>
  <CharactersWithSpaces>4241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