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80"/>
        <w:spacing w:after="0"/>
        <w:rPr>
          <w:sz w:val="20"/>
          <w:szCs w:val="20"/>
          <w:color w:val="auto"/>
        </w:rPr>
      </w:pPr>
      <w:r>
        <w:rPr>
          <w:rFonts w:ascii="Arial" w:cs="Arial" w:eastAsia="Arial" w:hAnsi="Arial"/>
          <w:sz w:val="24"/>
          <w:szCs w:val="24"/>
          <w:color w:val="auto"/>
        </w:rPr>
        <w:drawing>
          <wp:anchor simplePos="0" relativeHeight="251657728" behindDoc="1" locked="0" layoutInCell="0" allowOverlap="1">
            <wp:simplePos x="0" y="0"/>
            <wp:positionH relativeFrom="page">
              <wp:posOffset>152400</wp:posOffset>
            </wp:positionH>
            <wp:positionV relativeFrom="page">
              <wp:posOffset>111125</wp:posOffset>
            </wp:positionV>
            <wp:extent cx="7257415" cy="374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7415" cy="37465"/>
                    </a:xfrm>
                    <a:prstGeom prst="rect">
                      <a:avLst/>
                    </a:prstGeom>
                    <a:noFill/>
                  </pic:spPr>
                </pic:pic>
              </a:graphicData>
            </a:graphic>
          </wp:anchor>
        </w:drawing>
        <w:t>UNITED STATES</w:t>
      </w:r>
    </w:p>
    <w:p>
      <w:pPr>
        <w:spacing w:after="0" w:line="28" w:lineRule="exact"/>
        <w:rPr>
          <w:sz w:val="24"/>
          <w:szCs w:val="24"/>
          <w:color w:val="auto"/>
        </w:rPr>
      </w:pPr>
    </w:p>
    <w:p>
      <w:pPr>
        <w:jc w:val="center"/>
        <w:ind w:right="80"/>
        <w:spacing w:after="0"/>
        <w:rPr>
          <w:sz w:val="20"/>
          <w:szCs w:val="20"/>
          <w:color w:val="auto"/>
        </w:rPr>
      </w:pPr>
      <w:r>
        <w:rPr>
          <w:rFonts w:ascii="Arial" w:cs="Arial" w:eastAsia="Arial" w:hAnsi="Arial"/>
          <w:sz w:val="24"/>
          <w:szCs w:val="24"/>
          <w:color w:val="auto"/>
        </w:rPr>
        <w:t>SECURITIES AND EXCHANGE COMMISSION</w:t>
      </w:r>
    </w:p>
    <w:p>
      <w:pPr>
        <w:jc w:val="center"/>
        <w:ind w:right="80"/>
        <w:spacing w:after="0"/>
        <w:rPr>
          <w:sz w:val="20"/>
          <w:szCs w:val="20"/>
          <w:color w:val="auto"/>
        </w:rPr>
      </w:pPr>
      <w:r>
        <w:rPr>
          <w:rFonts w:ascii="Arial" w:cs="Arial" w:eastAsia="Arial" w:hAnsi="Arial"/>
          <w:sz w:val="21"/>
          <w:szCs w:val="21"/>
          <w:color w:val="auto"/>
        </w:rPr>
        <w:t>WASHINGTON, D.C. 20549</w:t>
      </w:r>
    </w:p>
    <w:p>
      <w:pPr>
        <w:spacing w:after="0" w:line="195" w:lineRule="exact"/>
        <w:rPr>
          <w:sz w:val="24"/>
          <w:szCs w:val="24"/>
          <w:color w:val="auto"/>
        </w:rPr>
      </w:pPr>
    </w:p>
    <w:p>
      <w:pPr>
        <w:jc w:val="center"/>
        <w:ind w:right="80"/>
        <w:spacing w:after="0"/>
        <w:rPr>
          <w:sz w:val="20"/>
          <w:szCs w:val="20"/>
          <w:color w:val="auto"/>
        </w:rPr>
      </w:pPr>
      <w:r>
        <w:rPr>
          <w:rFonts w:ascii="Arial" w:cs="Arial" w:eastAsia="Arial" w:hAnsi="Arial"/>
          <w:sz w:val="31"/>
          <w:szCs w:val="31"/>
          <w:color w:val="auto"/>
        </w:rPr>
        <w:t>FORM 10-Q</w:t>
      </w:r>
    </w:p>
    <w:p>
      <w:pPr>
        <w:spacing w:after="0" w:line="243" w:lineRule="exact"/>
        <w:rPr>
          <w:sz w:val="24"/>
          <w:szCs w:val="24"/>
          <w:color w:val="auto"/>
        </w:rPr>
      </w:pPr>
    </w:p>
    <w:p>
      <w:pPr>
        <w:ind w:left="620"/>
        <w:spacing w:after="0"/>
        <w:rPr>
          <w:sz w:val="20"/>
          <w:szCs w:val="20"/>
          <w:color w:val="auto"/>
        </w:rPr>
      </w:pPr>
      <w:r>
        <w:rPr>
          <w:rFonts w:ascii="Arial" w:cs="Arial" w:eastAsia="Arial" w:hAnsi="Arial"/>
          <w:sz w:val="17"/>
          <w:szCs w:val="17"/>
          <w:color w:val="auto"/>
        </w:rPr>
        <w:t>(Mark One)</w:t>
      </w:r>
    </w:p>
    <w:p>
      <w:pPr>
        <w:spacing w:after="0" w:line="22" w:lineRule="exact"/>
        <w:rPr>
          <w:sz w:val="24"/>
          <w:szCs w:val="24"/>
          <w:color w:val="auto"/>
        </w:rPr>
      </w:pPr>
    </w:p>
    <w:p>
      <w:pPr>
        <w:ind w:left="940" w:right="4460" w:hanging="317"/>
        <w:spacing w:after="0" w:line="267" w:lineRule="auto"/>
        <w:tabs>
          <w:tab w:leader="none" w:pos="940" w:val="left"/>
        </w:tabs>
        <w:numPr>
          <w:ilvl w:val="0"/>
          <w:numId w:val="1"/>
        </w:numPr>
        <w:rPr>
          <w:rFonts w:ascii="Arial" w:cs="Arial" w:eastAsia="Arial" w:hAnsi="Arial"/>
          <w:sz w:val="17"/>
          <w:szCs w:val="17"/>
          <w:color w:val="auto"/>
        </w:rPr>
      </w:pPr>
      <w:r>
        <w:rPr>
          <w:rFonts w:ascii="Arial" w:cs="Arial" w:eastAsia="Arial" w:hAnsi="Arial"/>
          <w:sz w:val="17"/>
          <w:szCs w:val="17"/>
          <w:color w:val="auto"/>
        </w:rPr>
        <w:t>Quarterly Report Pursuant to Section 13 or 15(d) of the Securities Exchange Act of 1934 For the Quarterly Period Ended May 3, 2013</w:t>
      </w:r>
    </w:p>
    <w:p>
      <w:pPr>
        <w:spacing w:after="0" w:line="200"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OR</w:t>
      </w:r>
    </w:p>
    <w:p>
      <w:pPr>
        <w:spacing w:after="0" w:line="243" w:lineRule="exact"/>
        <w:rPr>
          <w:sz w:val="24"/>
          <w:szCs w:val="24"/>
          <w:color w:val="auto"/>
        </w:rPr>
      </w:pPr>
    </w:p>
    <w:p>
      <w:pPr>
        <w:ind w:left="940" w:right="4480" w:hanging="317"/>
        <w:spacing w:after="0" w:line="280" w:lineRule="auto"/>
        <w:tabs>
          <w:tab w:leader="none" w:pos="940" w:val="left"/>
        </w:tabs>
        <w:numPr>
          <w:ilvl w:val="0"/>
          <w:numId w:val="2"/>
        </w:numPr>
        <w:rPr>
          <w:rFonts w:ascii="Arial" w:cs="Arial" w:eastAsia="Arial" w:hAnsi="Arial"/>
          <w:sz w:val="17"/>
          <w:szCs w:val="17"/>
          <w:color w:val="auto"/>
        </w:rPr>
      </w:pPr>
      <w:r>
        <w:rPr>
          <w:rFonts w:ascii="Arial" w:cs="Arial" w:eastAsia="Arial" w:hAnsi="Arial"/>
          <w:sz w:val="17"/>
          <w:szCs w:val="17"/>
          <w:color w:val="auto"/>
        </w:rPr>
        <w:t>Transition report pursuant to Section 13 or 15(d) of the Securities Exchange Act of 1934 For the transition period from ______________ to______________</w:t>
      </w:r>
    </w:p>
    <w:p>
      <w:pPr>
        <w:spacing w:after="0" w:line="163"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Commission file number: 001-25225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3075305</wp:posOffset>
            </wp:positionH>
            <wp:positionV relativeFrom="paragraph">
              <wp:posOffset>227965</wp:posOffset>
            </wp:positionV>
            <wp:extent cx="110617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061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p>
      <w:pPr>
        <w:jc w:val="center"/>
        <w:ind w:right="80"/>
        <w:spacing w:after="0"/>
        <w:rPr>
          <w:sz w:val="20"/>
          <w:szCs w:val="20"/>
          <w:color w:val="auto"/>
        </w:rPr>
      </w:pPr>
      <w:r>
        <w:rPr>
          <w:rFonts w:ascii="Arial" w:cs="Arial" w:eastAsia="Arial" w:hAnsi="Arial"/>
          <w:sz w:val="41"/>
          <w:szCs w:val="41"/>
          <w:color w:val="auto"/>
        </w:rPr>
        <w:t>Cracker Barrel Old Country Store, Inc.</w:t>
      </w:r>
    </w:p>
    <w:p>
      <w:pPr>
        <w:spacing w:after="0" w:line="37"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(Exact name of registrant as specified in its charter)</w:t>
      </w:r>
    </w:p>
    <w:p>
      <w:pPr>
        <w:spacing w:after="0" w:line="229" w:lineRule="exact"/>
        <w:rPr>
          <w:sz w:val="24"/>
          <w:szCs w:val="24"/>
          <w:color w:val="auto"/>
        </w:rPr>
      </w:pPr>
    </w:p>
    <w:tbl>
      <w:tblPr>
        <w:tblLayout w:type="fixed"/>
        <w:tblInd w:w="740" w:type="dxa"/>
        <w:tblCellMar>
          <w:top w:w="0" w:type="dxa"/>
          <w:left w:w="0" w:type="dxa"/>
          <w:bottom w:w="0" w:type="dxa"/>
          <w:right w:w="0" w:type="dxa"/>
        </w:tblCellMar>
      </w:tblPr>
      <w:tr>
        <w:trPr>
          <w:trHeight w:val="206"/>
        </w:trPr>
        <w:tc>
          <w:tcPr>
            <w:tcW w:w="5300" w:type="dxa"/>
            <w:vAlign w:val="bottom"/>
          </w:tcPr>
          <w:p>
            <w:pPr>
              <w:jc w:val="center"/>
              <w:ind w:right="1074"/>
              <w:spacing w:after="0"/>
              <w:rPr>
                <w:sz w:val="20"/>
                <w:szCs w:val="20"/>
                <w:color w:val="auto"/>
              </w:rPr>
            </w:pPr>
            <w:r>
              <w:rPr>
                <w:rFonts w:ascii="Arial" w:cs="Arial" w:eastAsia="Arial" w:hAnsi="Arial"/>
                <w:sz w:val="17"/>
                <w:szCs w:val="17"/>
                <w:color w:val="auto"/>
                <w:w w:val="83"/>
              </w:rPr>
              <w:t>Tennessee</w:t>
            </w:r>
          </w:p>
        </w:tc>
        <w:tc>
          <w:tcPr>
            <w:tcW w:w="4000" w:type="dxa"/>
            <w:vAlign w:val="bottom"/>
          </w:tcPr>
          <w:p>
            <w:pPr>
              <w:jc w:val="center"/>
              <w:ind w:left="1094"/>
              <w:spacing w:after="0"/>
              <w:rPr>
                <w:sz w:val="20"/>
                <w:szCs w:val="20"/>
                <w:color w:val="auto"/>
              </w:rPr>
            </w:pPr>
            <w:r>
              <w:rPr>
                <w:rFonts w:ascii="Arial" w:cs="Arial" w:eastAsia="Arial" w:hAnsi="Arial"/>
                <w:sz w:val="17"/>
                <w:szCs w:val="17"/>
                <w:color w:val="auto"/>
                <w:w w:val="90"/>
              </w:rPr>
              <w:t>62-0812904</w:t>
            </w:r>
          </w:p>
        </w:tc>
      </w:tr>
      <w:tr>
        <w:trPr>
          <w:trHeight w:val="217"/>
        </w:trPr>
        <w:tc>
          <w:tcPr>
            <w:tcW w:w="5300" w:type="dxa"/>
            <w:vAlign w:val="bottom"/>
          </w:tcPr>
          <w:p>
            <w:pPr>
              <w:jc w:val="center"/>
              <w:ind w:right="1094"/>
              <w:spacing w:after="0"/>
              <w:rPr>
                <w:sz w:val="20"/>
                <w:szCs w:val="20"/>
                <w:color w:val="auto"/>
              </w:rPr>
            </w:pPr>
            <w:r>
              <w:rPr>
                <w:rFonts w:ascii="Arial" w:cs="Arial" w:eastAsia="Arial" w:hAnsi="Arial"/>
                <w:sz w:val="17"/>
                <w:szCs w:val="17"/>
                <w:color w:val="auto"/>
                <w:w w:val="93"/>
              </w:rPr>
              <w:t>(State or other jurisdiction of incorporation or organization)</w:t>
            </w:r>
          </w:p>
        </w:tc>
        <w:tc>
          <w:tcPr>
            <w:tcW w:w="4000" w:type="dxa"/>
            <w:vAlign w:val="bottom"/>
          </w:tcPr>
          <w:p>
            <w:pPr>
              <w:jc w:val="center"/>
              <w:ind w:left="1094"/>
              <w:spacing w:after="0"/>
              <w:rPr>
                <w:sz w:val="20"/>
                <w:szCs w:val="20"/>
                <w:color w:val="auto"/>
              </w:rPr>
            </w:pPr>
            <w:r>
              <w:rPr>
                <w:rFonts w:ascii="Arial" w:cs="Arial" w:eastAsia="Arial" w:hAnsi="Arial"/>
                <w:sz w:val="17"/>
                <w:szCs w:val="17"/>
                <w:color w:val="auto"/>
                <w:w w:val="95"/>
              </w:rPr>
              <w:t>(I.R.S. Employer Identification Number)</w:t>
            </w:r>
          </w:p>
        </w:tc>
      </w:tr>
      <w:tr>
        <w:trPr>
          <w:trHeight w:val="402"/>
        </w:trPr>
        <w:tc>
          <w:tcPr>
            <w:tcW w:w="5300" w:type="dxa"/>
            <w:vAlign w:val="bottom"/>
          </w:tcPr>
          <w:p>
            <w:pPr>
              <w:jc w:val="center"/>
              <w:ind w:right="1074"/>
              <w:spacing w:after="0"/>
              <w:rPr>
                <w:sz w:val="20"/>
                <w:szCs w:val="20"/>
                <w:color w:val="auto"/>
              </w:rPr>
            </w:pPr>
            <w:r>
              <w:rPr>
                <w:rFonts w:ascii="Arial" w:cs="Arial" w:eastAsia="Arial" w:hAnsi="Arial"/>
                <w:sz w:val="17"/>
                <w:szCs w:val="17"/>
                <w:color w:val="auto"/>
                <w:w w:val="92"/>
              </w:rPr>
              <w:t>305 Hartmann Drive, P.O. Box 787</w:t>
            </w:r>
          </w:p>
        </w:tc>
        <w:tc>
          <w:tcPr>
            <w:tcW w:w="4000" w:type="dxa"/>
            <w:vAlign w:val="bottom"/>
          </w:tcPr>
          <w:p>
            <w:pPr>
              <w:jc w:val="center"/>
              <w:ind w:left="1094"/>
              <w:spacing w:after="0"/>
              <w:rPr>
                <w:sz w:val="20"/>
                <w:szCs w:val="20"/>
                <w:color w:val="auto"/>
              </w:rPr>
            </w:pPr>
            <w:r>
              <w:rPr>
                <w:rFonts w:ascii="Arial" w:cs="Arial" w:eastAsia="Arial" w:hAnsi="Arial"/>
                <w:sz w:val="17"/>
                <w:szCs w:val="17"/>
                <w:color w:val="auto"/>
                <w:w w:val="90"/>
              </w:rPr>
              <w:t>37088-0787</w:t>
            </w:r>
          </w:p>
        </w:tc>
      </w:tr>
      <w:tr>
        <w:trPr>
          <w:trHeight w:val="206"/>
        </w:trPr>
        <w:tc>
          <w:tcPr>
            <w:tcW w:w="5300" w:type="dxa"/>
            <w:vAlign w:val="bottom"/>
          </w:tcPr>
          <w:p>
            <w:pPr>
              <w:jc w:val="center"/>
              <w:ind w:right="1094"/>
              <w:spacing w:after="0"/>
              <w:rPr>
                <w:sz w:val="20"/>
                <w:szCs w:val="20"/>
                <w:color w:val="auto"/>
              </w:rPr>
            </w:pPr>
            <w:r>
              <w:rPr>
                <w:rFonts w:ascii="Arial" w:cs="Arial" w:eastAsia="Arial" w:hAnsi="Arial"/>
                <w:sz w:val="17"/>
                <w:szCs w:val="17"/>
                <w:color w:val="auto"/>
                <w:w w:val="87"/>
              </w:rPr>
              <w:t>Lebanon, Tennessee</w:t>
            </w:r>
          </w:p>
        </w:tc>
        <w:tc>
          <w:tcPr>
            <w:tcW w:w="4000" w:type="dxa"/>
            <w:vAlign w:val="bottom"/>
          </w:tcPr>
          <w:p>
            <w:pPr>
              <w:jc w:val="center"/>
              <w:ind w:left="1114"/>
              <w:spacing w:after="0"/>
              <w:rPr>
                <w:sz w:val="20"/>
                <w:szCs w:val="20"/>
                <w:color w:val="auto"/>
              </w:rPr>
            </w:pPr>
            <w:r>
              <w:rPr>
                <w:rFonts w:ascii="Arial" w:cs="Arial" w:eastAsia="Arial" w:hAnsi="Arial"/>
                <w:sz w:val="17"/>
                <w:szCs w:val="17"/>
                <w:color w:val="auto"/>
                <w:w w:val="94"/>
              </w:rPr>
              <w:t>(Zip code)</w:t>
            </w:r>
          </w:p>
        </w:tc>
      </w:tr>
      <w:tr>
        <w:trPr>
          <w:trHeight w:val="217"/>
        </w:trPr>
        <w:tc>
          <w:tcPr>
            <w:tcW w:w="5300" w:type="dxa"/>
            <w:vAlign w:val="bottom"/>
          </w:tcPr>
          <w:p>
            <w:pPr>
              <w:jc w:val="center"/>
              <w:ind w:right="1094"/>
              <w:spacing w:after="0"/>
              <w:rPr>
                <w:sz w:val="20"/>
                <w:szCs w:val="20"/>
                <w:color w:val="auto"/>
              </w:rPr>
            </w:pPr>
            <w:r>
              <w:rPr>
                <w:rFonts w:ascii="Arial" w:cs="Arial" w:eastAsia="Arial" w:hAnsi="Arial"/>
                <w:sz w:val="17"/>
                <w:szCs w:val="17"/>
                <w:color w:val="auto"/>
                <w:w w:val="93"/>
              </w:rPr>
              <w:t>(Address of principal executive offices)</w:t>
            </w:r>
          </w:p>
        </w:tc>
        <w:tc>
          <w:tcPr>
            <w:tcW w:w="4000" w:type="dxa"/>
            <w:vAlign w:val="bottom"/>
          </w:tcPr>
          <w:p>
            <w:pPr>
              <w:spacing w:after="0"/>
              <w:rPr>
                <w:sz w:val="18"/>
                <w:szCs w:val="18"/>
                <w:color w:val="auto"/>
              </w:rPr>
            </w:pPr>
          </w:p>
        </w:tc>
      </w:tr>
    </w:tbl>
    <w:p>
      <w:pPr>
        <w:spacing w:after="0" w:line="222"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Registrant's telephone number, including area code: (615) 444-5533</w:t>
      </w:r>
    </w:p>
    <w:p>
      <w:pPr>
        <w:spacing w:after="0" w:line="243" w:lineRule="exact"/>
        <w:rPr>
          <w:sz w:val="24"/>
          <w:szCs w:val="24"/>
          <w:color w:val="auto"/>
        </w:rPr>
      </w:pPr>
    </w:p>
    <w:p>
      <w:pPr>
        <w:jc w:val="both"/>
        <w:ind w:right="80"/>
        <w:spacing w:after="0" w:line="217"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202" w:lineRule="exact"/>
        <w:rPr>
          <w:sz w:val="24"/>
          <w:szCs w:val="24"/>
          <w:color w:val="auto"/>
        </w:rPr>
      </w:pPr>
    </w:p>
    <w:p>
      <w:pPr>
        <w:jc w:val="both"/>
        <w:spacing w:after="0" w:line="217" w:lineRule="exact"/>
        <w:rPr>
          <w:sz w:val="20"/>
          <w:szCs w:val="20"/>
          <w:color w:val="auto"/>
        </w:rPr>
      </w:pPr>
      <w:r>
        <w:rPr>
          <w:rFonts w:ascii="Arial" w:cs="Arial" w:eastAsia="Arial" w:hAnsi="Arial"/>
          <w:sz w:val="17"/>
          <w:szCs w:val="17"/>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o</w:t>
      </w:r>
    </w:p>
    <w:p>
      <w:pPr>
        <w:spacing w:after="0" w:line="202" w:lineRule="exact"/>
        <w:rPr>
          <w:sz w:val="24"/>
          <w:szCs w:val="24"/>
          <w:color w:val="auto"/>
        </w:rPr>
      </w:pPr>
    </w:p>
    <w:p>
      <w:pPr>
        <w:ind w:right="80"/>
        <w:spacing w:after="0" w:line="280"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500"/>
          </w:cols>
          <w:pgMar w:left="240" w:top="305" w:right="159" w:bottom="1440" w:gutter="0" w:footer="0" w:header="0"/>
        </w:sectPr>
      </w:pPr>
    </w:p>
    <w:p>
      <w:pPr>
        <w:spacing w:after="0" w:line="157" w:lineRule="exact"/>
        <w:rPr>
          <w:sz w:val="24"/>
          <w:szCs w:val="24"/>
          <w:color w:val="auto"/>
        </w:rPr>
      </w:pPr>
    </w:p>
    <w:p>
      <w:pPr>
        <w:ind w:left="1380"/>
        <w:spacing w:after="0" w:line="173" w:lineRule="exact"/>
        <w:rPr>
          <w:sz w:val="20"/>
          <w:szCs w:val="20"/>
          <w:color w:val="auto"/>
        </w:rPr>
      </w:pPr>
      <w:r>
        <w:rPr>
          <w:rFonts w:ascii="Arial" w:cs="Arial" w:eastAsia="Arial" w:hAnsi="Arial"/>
          <w:sz w:val="15"/>
          <w:szCs w:val="15"/>
          <w:color w:val="auto"/>
        </w:rPr>
        <w:t xml:space="preserve">Large accelerated filer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169" w:lineRule="exact"/>
        <w:rPr>
          <w:sz w:val="24"/>
          <w:szCs w:val="24"/>
          <w:color w:val="auto"/>
        </w:rPr>
      </w:pPr>
    </w:p>
    <w:p>
      <w:pPr>
        <w:spacing w:after="0"/>
        <w:rPr>
          <w:sz w:val="20"/>
          <w:szCs w:val="20"/>
          <w:color w:val="auto"/>
        </w:rPr>
      </w:pPr>
      <w:r>
        <w:rPr>
          <w:rFonts w:ascii="Arial" w:cs="Arial" w:eastAsia="Arial" w:hAnsi="Arial"/>
          <w:sz w:val="15"/>
          <w:szCs w:val="15"/>
          <w:color w:val="auto"/>
        </w:rPr>
        <w:t>Accelerated filer o</w:t>
      </w:r>
    </w:p>
    <w:p>
      <w:pPr>
        <w:spacing w:after="0" w:line="200" w:lineRule="exact"/>
        <w:rPr>
          <w:sz w:val="24"/>
          <w:szCs w:val="24"/>
          <w:color w:val="auto"/>
        </w:rPr>
      </w:pPr>
    </w:p>
    <w:p>
      <w:pPr>
        <w:sectPr>
          <w:pgSz w:w="11900" w:h="16838" w:orient="portrait"/>
          <w:cols w:equalWidth="0" w:num="2">
            <w:col w:w="6140" w:space="720"/>
            <w:col w:w="4640"/>
          </w:cols>
          <w:pgMar w:left="240" w:top="305" w:right="159" w:bottom="1440" w:gutter="0" w:footer="0" w:header="0"/>
          <w:type w:val="continuous"/>
        </w:sectPr>
      </w:pPr>
    </w:p>
    <w:p>
      <w:pPr>
        <w:spacing w:after="0" w:line="40" w:lineRule="exact"/>
        <w:rPr>
          <w:sz w:val="24"/>
          <w:szCs w:val="24"/>
          <w:color w:val="auto"/>
        </w:rPr>
      </w:pPr>
    </w:p>
    <w:p>
      <w:pPr>
        <w:ind w:left="1380"/>
        <w:spacing w:after="0"/>
        <w:rPr>
          <w:sz w:val="20"/>
          <w:szCs w:val="20"/>
          <w:color w:val="auto"/>
        </w:rPr>
      </w:pPr>
      <w:r>
        <w:rPr>
          <w:rFonts w:ascii="Arial" w:cs="Arial" w:eastAsia="Arial" w:hAnsi="Arial"/>
          <w:sz w:val="15"/>
          <w:szCs w:val="15"/>
          <w:color w:val="auto"/>
        </w:rPr>
        <w:t>Non-accelerated filer</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14"/>
          <w:szCs w:val="14"/>
          <w:color w:val="auto"/>
        </w:rPr>
        <w:t>o</w:t>
      </w:r>
    </w:p>
    <w:p>
      <w:pPr>
        <w:spacing w:after="0" w:line="20" w:lineRule="exact"/>
        <w:rPr>
          <w:sz w:val="24"/>
          <w:szCs w:val="24"/>
          <w:color w:val="auto"/>
        </w:rPr>
      </w:pPr>
      <w:r>
        <w:rPr>
          <w:sz w:val="24"/>
          <w:szCs w:val="24"/>
          <w:color w:val="auto"/>
        </w:rPr>
        <w:br w:type="column"/>
      </w:r>
    </w:p>
    <w:p>
      <w:pPr>
        <w:spacing w:after="0" w:line="20"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 o</w:t>
      </w:r>
    </w:p>
    <w:p>
      <w:pPr>
        <w:spacing w:after="0" w:line="200" w:lineRule="exact"/>
        <w:rPr>
          <w:sz w:val="24"/>
          <w:szCs w:val="24"/>
          <w:color w:val="auto"/>
        </w:rPr>
      </w:pPr>
    </w:p>
    <w:p>
      <w:pPr>
        <w:sectPr>
          <w:pgSz w:w="11900" w:h="16838" w:orient="portrait"/>
          <w:cols w:equalWidth="0" w:num="3">
            <w:col w:w="2840" w:space="180"/>
            <w:col w:w="3120" w:space="720"/>
            <w:col w:w="4640"/>
          </w:cols>
          <w:pgMar w:left="240" w:top="305" w:right="159" w:bottom="1440" w:gutter="0" w:footer="0" w:header="0"/>
          <w:type w:val="continuous"/>
        </w:sectPr>
      </w:pPr>
    </w:p>
    <w:p>
      <w:pPr>
        <w:spacing w:after="0" w:line="55" w:lineRule="exact"/>
        <w:rPr>
          <w:sz w:val="24"/>
          <w:szCs w:val="24"/>
          <w:color w:val="auto"/>
        </w:rPr>
      </w:pPr>
    </w:p>
    <w:p>
      <w:pPr>
        <w:spacing w:after="0"/>
        <w:rPr>
          <w:sz w:val="20"/>
          <w:szCs w:val="20"/>
          <w:color w:val="auto"/>
        </w:rPr>
      </w:pPr>
      <w:r>
        <w:rPr>
          <w:rFonts w:ascii="Arial" w:cs="Arial" w:eastAsia="Arial" w:hAnsi="Arial"/>
          <w:sz w:val="17"/>
          <w:szCs w:val="17"/>
          <w:color w:val="auto"/>
        </w:rPr>
        <w:t>Indicate by check mark whether the registrant is a shell company (as defined in Rule 12b-2 of the Act).</w:t>
      </w:r>
    </w:p>
    <w:p>
      <w:pPr>
        <w:spacing w:after="0" w:line="19" w:lineRule="exact"/>
        <w:rPr>
          <w:sz w:val="24"/>
          <w:szCs w:val="24"/>
          <w:color w:val="auto"/>
        </w:rPr>
      </w:pPr>
    </w:p>
    <w:p>
      <w:pPr>
        <w:ind w:left="320"/>
        <w:spacing w:after="0" w:line="196" w:lineRule="exact"/>
        <w:tabs>
          <w:tab w:leader="none" w:pos="840" w:val="left"/>
        </w:tabs>
        <w:rPr>
          <w:sz w:val="20"/>
          <w:szCs w:val="20"/>
          <w:color w:val="auto"/>
        </w:rPr>
      </w:pPr>
      <w:r>
        <w:rPr>
          <w:rFonts w:ascii="Arial" w:cs="Arial" w:eastAsia="Arial" w:hAnsi="Arial"/>
          <w:sz w:val="17"/>
          <w:szCs w:val="17"/>
          <w:color w:val="auto"/>
        </w:rPr>
        <w:t>Yes o</w:t>
      </w:r>
      <w:r>
        <w:rPr>
          <w:sz w:val="20"/>
          <w:szCs w:val="20"/>
          <w:color w:val="auto"/>
        </w:rPr>
        <w:tab/>
      </w:r>
      <w:r>
        <w:rPr>
          <w:rFonts w:ascii="Arial" w:cs="Arial" w:eastAsia="Arial" w:hAnsi="Arial"/>
          <w:sz w:val="16"/>
          <w:szCs w:val="16"/>
          <w:color w:val="auto"/>
        </w:rPr>
        <w:t xml:space="preserve">No </w:t>
      </w:r>
      <w:r>
        <w:rPr>
          <w:rFonts w:ascii="MS PGothic" w:cs="MS PGothic" w:eastAsia="MS PGothic" w:hAnsi="MS PGothic"/>
          <w:sz w:val="16"/>
          <w:szCs w:val="16"/>
          <w:color w:val="auto"/>
        </w:rPr>
        <w:t>☑</w:t>
      </w:r>
    </w:p>
    <w:p>
      <w:pPr>
        <w:spacing w:after="0" w:line="236" w:lineRule="exact"/>
        <w:rPr>
          <w:sz w:val="24"/>
          <w:szCs w:val="24"/>
          <w:color w:val="auto"/>
        </w:rPr>
      </w:pPr>
    </w:p>
    <w:p>
      <w:pPr>
        <w:spacing w:after="0"/>
        <w:rPr>
          <w:sz w:val="20"/>
          <w:szCs w:val="20"/>
          <w:color w:val="auto"/>
        </w:rPr>
      </w:pPr>
      <w:r>
        <w:rPr>
          <w:rFonts w:ascii="Arial" w:cs="Arial" w:eastAsia="Arial" w:hAnsi="Arial"/>
          <w:sz w:val="15"/>
          <w:szCs w:val="15"/>
          <w:color w:val="auto"/>
        </w:rPr>
        <w:t>Indicate the number of shares outstanding of each of the registrant’s classes of common stock, as of the latest practicable date.</w:t>
      </w:r>
    </w:p>
    <w:p>
      <w:pPr>
        <w:spacing w:after="0" w:line="266" w:lineRule="exact"/>
        <w:rPr>
          <w:sz w:val="24"/>
          <w:szCs w:val="24"/>
          <w:color w:val="auto"/>
        </w:rPr>
      </w:pPr>
    </w:p>
    <w:p>
      <w:pPr>
        <w:jc w:val="center"/>
        <w:ind w:right="60"/>
        <w:spacing w:after="0"/>
        <w:rPr>
          <w:sz w:val="20"/>
          <w:szCs w:val="20"/>
          <w:color w:val="auto"/>
        </w:rPr>
      </w:pPr>
      <w:r>
        <w:rPr>
          <w:rFonts w:ascii="Arial" w:cs="Arial" w:eastAsia="Arial" w:hAnsi="Arial"/>
          <w:sz w:val="17"/>
          <w:szCs w:val="17"/>
          <w:color w:val="auto"/>
        </w:rPr>
        <w:t>23,785,827 Shares of Common Stock</w:t>
      </w:r>
    </w:p>
    <w:p>
      <w:pPr>
        <w:spacing w:after="0" w:line="22" w:lineRule="exact"/>
        <w:rPr>
          <w:sz w:val="24"/>
          <w:szCs w:val="24"/>
          <w:color w:val="auto"/>
        </w:rPr>
      </w:pPr>
    </w:p>
    <w:p>
      <w:pPr>
        <w:jc w:val="center"/>
        <w:ind w:right="60"/>
        <w:spacing w:after="0"/>
        <w:rPr>
          <w:sz w:val="20"/>
          <w:szCs w:val="20"/>
          <w:color w:val="auto"/>
        </w:rPr>
      </w:pPr>
      <w:r>
        <w:rPr>
          <w:rFonts w:ascii="Arial" w:cs="Arial" w:eastAsia="Arial" w:hAnsi="Arial"/>
          <w:sz w:val="17"/>
          <w:szCs w:val="17"/>
          <w:color w:val="auto"/>
        </w:rPr>
        <w:t>Outstanding as of May 28, 2013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79375</wp:posOffset>
            </wp:positionV>
            <wp:extent cx="7257415" cy="431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7415" cy="4318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423545</wp:posOffset>
            </wp:positionV>
            <wp:extent cx="725741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500"/>
          </w:cols>
          <w:pgMar w:left="240" w:top="305" w:right="1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23"/>
        </w:trPr>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40" w:type="dxa"/>
            <w:vAlign w:val="bottom"/>
            <w:gridSpan w:val="7"/>
          </w:tcPr>
          <w:p>
            <w:pPr>
              <w:jc w:val="center"/>
              <w:ind w:right="1380"/>
              <w:spacing w:after="0"/>
              <w:rPr>
                <w:sz w:val="20"/>
                <w:szCs w:val="20"/>
                <w:color w:val="auto"/>
              </w:rPr>
            </w:pPr>
            <w:r>
              <w:rPr>
                <w:rFonts w:ascii="Arial" w:cs="Arial" w:eastAsia="Arial" w:hAnsi="Arial"/>
                <w:sz w:val="17"/>
                <w:szCs w:val="17"/>
                <w:b w:val="1"/>
                <w:bCs w:val="1"/>
                <w:color w:val="auto"/>
              </w:rPr>
              <w:t>CRACKER BARREL OLD COUNTRY STORE, INC.</w:t>
            </w:r>
          </w:p>
        </w:tc>
        <w:tc>
          <w:tcPr>
            <w:tcW w:w="4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80" w:type="dxa"/>
            <w:vAlign w:val="bottom"/>
            <w:gridSpan w:val="5"/>
          </w:tcPr>
          <w:p>
            <w:pPr>
              <w:jc w:val="center"/>
              <w:ind w:right="3840"/>
              <w:spacing w:after="0"/>
              <w:rPr>
                <w:sz w:val="20"/>
                <w:szCs w:val="20"/>
                <w:color w:val="auto"/>
              </w:rPr>
            </w:pPr>
            <w:r>
              <w:rPr>
                <w:rFonts w:ascii="Arial" w:cs="Arial" w:eastAsia="Arial" w:hAnsi="Arial"/>
                <w:sz w:val="17"/>
                <w:szCs w:val="17"/>
                <w:b w:val="1"/>
                <w:bCs w:val="1"/>
                <w:color w:val="auto"/>
              </w:rPr>
              <w:t>FORM 10-Q</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40" w:type="dxa"/>
            <w:vAlign w:val="bottom"/>
            <w:gridSpan w:val="7"/>
          </w:tcPr>
          <w:p>
            <w:pPr>
              <w:jc w:val="center"/>
              <w:ind w:right="1360"/>
              <w:spacing w:after="0"/>
              <w:rPr>
                <w:sz w:val="20"/>
                <w:szCs w:val="20"/>
                <w:color w:val="auto"/>
              </w:rPr>
            </w:pPr>
            <w:r>
              <w:rPr>
                <w:rFonts w:ascii="Arial" w:cs="Arial" w:eastAsia="Arial" w:hAnsi="Arial"/>
                <w:sz w:val="17"/>
                <w:szCs w:val="17"/>
                <w:b w:val="1"/>
                <w:bCs w:val="1"/>
                <w:color w:val="auto"/>
                <w:w w:val="94"/>
              </w:rPr>
              <w:t>For the Quarter Ended May 3, 2013</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580" w:type="dxa"/>
            <w:vAlign w:val="bottom"/>
            <w:gridSpan w:val="5"/>
          </w:tcPr>
          <w:p>
            <w:pPr>
              <w:jc w:val="center"/>
              <w:ind w:right="3820"/>
              <w:spacing w:after="0"/>
              <w:rPr>
                <w:sz w:val="20"/>
                <w:szCs w:val="20"/>
                <w:color w:val="auto"/>
              </w:rPr>
            </w:pPr>
            <w:r>
              <w:rPr>
                <w:rFonts w:ascii="Arial" w:cs="Arial" w:eastAsia="Arial" w:hAnsi="Arial"/>
                <w:sz w:val="17"/>
                <w:szCs w:val="17"/>
                <w:b w:val="1"/>
                <w:bCs w:val="1"/>
                <w:color w:val="auto"/>
              </w:rPr>
              <w:t>INDEX</w:t>
            </w: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2"/>
        </w:trPr>
        <w:tc>
          <w:tcPr>
            <w:tcW w:w="10420" w:type="dxa"/>
            <w:vAlign w:val="bottom"/>
            <w:gridSpan w:val="17"/>
          </w:tcPr>
          <w:p>
            <w:pPr>
              <w:spacing w:after="0"/>
              <w:rPr>
                <w:sz w:val="20"/>
                <w:szCs w:val="20"/>
                <w:color w:val="auto"/>
              </w:rPr>
            </w:pPr>
            <w:r>
              <w:rPr>
                <w:rFonts w:ascii="Arial" w:cs="Arial" w:eastAsia="Arial" w:hAnsi="Arial"/>
                <w:sz w:val="17"/>
                <w:szCs w:val="17"/>
                <w:b w:val="1"/>
                <w:bCs w:val="1"/>
                <w:color w:val="auto"/>
              </w:rPr>
              <w:t>PART I. FINANCIAL INFORMATION</w:t>
            </w:r>
          </w:p>
        </w:tc>
        <w:tc>
          <w:tcPr>
            <w:tcW w:w="1020" w:type="dxa"/>
            <w:vAlign w:val="bottom"/>
            <w:gridSpan w:val="4"/>
          </w:tcPr>
          <w:p>
            <w:pPr>
              <w:ind w:left="440"/>
              <w:spacing w:after="0"/>
              <w:rPr>
                <w:sz w:val="20"/>
                <w:szCs w:val="20"/>
                <w:color w:val="auto"/>
              </w:rPr>
            </w:pPr>
            <w:r>
              <w:rPr>
                <w:rFonts w:ascii="Arial" w:cs="Arial" w:eastAsia="Arial" w:hAnsi="Arial"/>
                <w:sz w:val="17"/>
                <w:szCs w:val="17"/>
                <w:b w:val="1"/>
                <w:bCs w:val="1"/>
                <w:color w:val="auto"/>
              </w:rPr>
              <w:t>Page</w:t>
            </w:r>
          </w:p>
        </w:tc>
        <w:tc>
          <w:tcPr>
            <w:tcW w:w="0" w:type="dxa"/>
            <w:vAlign w:val="bottom"/>
          </w:tcPr>
          <w:p>
            <w:pPr>
              <w:spacing w:after="0"/>
              <w:rPr>
                <w:sz w:val="1"/>
                <w:szCs w:val="1"/>
                <w:color w:val="auto"/>
              </w:rPr>
            </w:pPr>
          </w:p>
        </w:tc>
      </w:tr>
      <w:tr>
        <w:trPr>
          <w:trHeight w:val="419"/>
        </w:trPr>
        <w:tc>
          <w:tcPr>
            <w:tcW w:w="20" w:type="dxa"/>
            <w:vAlign w:val="bottom"/>
          </w:tcPr>
          <w:p>
            <w:pPr>
              <w:spacing w:after="0"/>
              <w:rPr>
                <w:sz w:val="24"/>
                <w:szCs w:val="24"/>
                <w:color w:val="auto"/>
              </w:rPr>
            </w:pPr>
          </w:p>
        </w:tc>
        <w:tc>
          <w:tcPr>
            <w:tcW w:w="900" w:type="dxa"/>
            <w:vAlign w:val="bottom"/>
            <w:gridSpan w:val="3"/>
          </w:tcPr>
          <w:p>
            <w:pPr>
              <w:ind w:left="440"/>
              <w:spacing w:after="0"/>
              <w:rPr>
                <w:sz w:val="20"/>
                <w:szCs w:val="20"/>
                <w:color w:val="auto"/>
              </w:rPr>
            </w:pPr>
            <w:r>
              <w:rPr>
                <w:rFonts w:ascii="Arial" w:cs="Arial" w:eastAsia="Arial" w:hAnsi="Arial"/>
                <w:sz w:val="17"/>
                <w:szCs w:val="17"/>
                <w:color w:val="auto"/>
                <w:w w:val="93"/>
              </w:rPr>
              <w:t>Item 1</w:t>
            </w: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0400" w:type="dxa"/>
            <w:vAlign w:val="bottom"/>
            <w:gridSpan w:val="16"/>
          </w:tcPr>
          <w:p>
            <w:pPr>
              <w:ind w:left="440"/>
              <w:spacing w:after="0"/>
              <w:rPr>
                <w:sz w:val="20"/>
                <w:szCs w:val="20"/>
                <w:color w:val="auto"/>
              </w:rPr>
            </w:pPr>
            <w:r>
              <w:rPr>
                <w:rFonts w:ascii="Arial" w:cs="Arial" w:eastAsia="Arial" w:hAnsi="Arial"/>
                <w:sz w:val="17"/>
                <w:szCs w:val="17"/>
                <w:color w:val="auto"/>
              </w:rPr>
              <w:t>·  Condensed Consolidated Financial Statements (Unaudited)</w:t>
            </w: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a)</w:t>
            </w:r>
          </w:p>
        </w:tc>
        <w:tc>
          <w:tcPr>
            <w:tcW w:w="9500" w:type="dxa"/>
            <w:vAlign w:val="bottom"/>
            <w:gridSpan w:val="13"/>
            <w:shd w:val="clear" w:color="auto" w:fill="CCEEFF"/>
          </w:tcPr>
          <w:p>
            <w:pPr>
              <w:spacing w:after="0" w:line="167" w:lineRule="exact"/>
              <w:rPr>
                <w:rFonts w:ascii="Arial" w:cs="Arial" w:eastAsia="Arial" w:hAnsi="Arial"/>
                <w:sz w:val="17"/>
                <w:szCs w:val="17"/>
                <w:color w:val="0000EE"/>
              </w:rPr>
            </w:pPr>
            <w:hyperlink w:anchor="page3">
              <w:r>
                <w:rPr>
                  <w:rFonts w:ascii="Arial" w:cs="Arial" w:eastAsia="Arial" w:hAnsi="Arial"/>
                  <w:sz w:val="17"/>
                  <w:szCs w:val="17"/>
                  <w:color w:val="0000EE"/>
                </w:rPr>
                <w:t>Condensed Consolidated Balance Sheets as of May 3, 2013 and August 3, 2012</w:t>
              </w:r>
            </w:hyperlink>
          </w:p>
        </w:tc>
        <w:tc>
          <w:tcPr>
            <w:tcW w:w="1000" w:type="dxa"/>
            <w:vAlign w:val="bottom"/>
            <w:gridSpan w:val="3"/>
            <w:shd w:val="clear" w:color="auto" w:fill="CCEEFF"/>
          </w:tcPr>
          <w:p>
            <w:pPr>
              <w:jc w:val="right"/>
              <w:spacing w:after="0" w:line="167" w:lineRule="exact"/>
              <w:rPr>
                <w:sz w:val="20"/>
                <w:szCs w:val="20"/>
                <w:color w:val="auto"/>
              </w:rPr>
            </w:pPr>
            <w:r>
              <w:rPr>
                <w:rFonts w:ascii="Arial" w:cs="Arial" w:eastAsia="Arial" w:hAnsi="Arial"/>
                <w:sz w:val="17"/>
                <w:szCs w:val="17"/>
                <w:color w:val="auto"/>
              </w:rPr>
              <w:t>3</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b)</w:t>
            </w:r>
          </w:p>
        </w:tc>
        <w:tc>
          <w:tcPr>
            <w:tcW w:w="9500" w:type="dxa"/>
            <w:vAlign w:val="bottom"/>
            <w:gridSpan w:val="13"/>
            <w:shd w:val="clear" w:color="auto" w:fill="CCEEFF"/>
          </w:tcPr>
          <w:p>
            <w:pPr>
              <w:spacing w:after="0" w:line="167" w:lineRule="exact"/>
              <w:rPr>
                <w:rFonts w:ascii="Arial" w:cs="Arial" w:eastAsia="Arial" w:hAnsi="Arial"/>
                <w:sz w:val="17"/>
                <w:szCs w:val="17"/>
                <w:color w:val="0000EE"/>
              </w:rPr>
            </w:pPr>
            <w:hyperlink w:anchor="page4">
              <w:r>
                <w:rPr>
                  <w:rFonts w:ascii="Arial" w:cs="Arial" w:eastAsia="Arial" w:hAnsi="Arial"/>
                  <w:sz w:val="17"/>
                  <w:szCs w:val="17"/>
                  <w:color w:val="0000EE"/>
                </w:rPr>
                <w:t>Condensed Consolidated Statements of Income for the Quarters and Nine Months Ended May 3, 2013 and April 27, 2012</w:t>
              </w:r>
            </w:hyperlink>
          </w:p>
        </w:tc>
        <w:tc>
          <w:tcPr>
            <w:tcW w:w="1000" w:type="dxa"/>
            <w:vAlign w:val="bottom"/>
            <w:gridSpan w:val="3"/>
            <w:shd w:val="clear" w:color="auto" w:fill="CCEEFF"/>
          </w:tcPr>
          <w:p>
            <w:pPr>
              <w:jc w:val="right"/>
              <w:spacing w:after="0" w:line="167" w:lineRule="exact"/>
              <w:rPr>
                <w:sz w:val="20"/>
                <w:szCs w:val="20"/>
                <w:color w:val="auto"/>
              </w:rPr>
            </w:pPr>
            <w:r>
              <w:rPr>
                <w:rFonts w:ascii="Arial" w:cs="Arial" w:eastAsia="Arial" w:hAnsi="Arial"/>
                <w:sz w:val="17"/>
                <w:szCs w:val="17"/>
                <w:color w:val="auto"/>
              </w:rPr>
              <w:t>4</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640" w:type="dxa"/>
            <w:vAlign w:val="bottom"/>
            <w:tcBorders>
              <w:top w:val="single" w:sz="8" w:color="0000EE"/>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ind w:left="20"/>
              <w:spacing w:after="0" w:line="167" w:lineRule="exact"/>
              <w:rPr>
                <w:sz w:val="20"/>
                <w:szCs w:val="20"/>
                <w:color w:val="auto"/>
              </w:rPr>
            </w:pPr>
            <w:r>
              <w:rPr>
                <w:rFonts w:ascii="Arial" w:cs="Arial" w:eastAsia="Arial" w:hAnsi="Arial"/>
                <w:sz w:val="17"/>
                <w:szCs w:val="17"/>
                <w:color w:val="auto"/>
              </w:rPr>
              <w:t>c)</w:t>
            </w:r>
          </w:p>
        </w:tc>
        <w:tc>
          <w:tcPr>
            <w:tcW w:w="9500" w:type="dxa"/>
            <w:vAlign w:val="bottom"/>
            <w:tcBorders>
              <w:bottom w:val="single" w:sz="8" w:color="0000EE"/>
            </w:tcBorders>
            <w:gridSpan w:val="13"/>
            <w:shd w:val="clear" w:color="auto" w:fill="CCEEFF"/>
          </w:tcPr>
          <w:p>
            <w:pPr>
              <w:spacing w:after="0" w:line="167" w:lineRule="exact"/>
              <w:rPr>
                <w:rFonts w:ascii="Arial" w:cs="Arial" w:eastAsia="Arial" w:hAnsi="Arial"/>
                <w:sz w:val="17"/>
                <w:szCs w:val="17"/>
                <w:color w:val="0000EE"/>
                <w:w w:val="91"/>
              </w:rPr>
            </w:pPr>
            <w:hyperlink w:anchor="page5">
              <w:r>
                <w:rPr>
                  <w:rFonts w:ascii="Arial" w:cs="Arial" w:eastAsia="Arial" w:hAnsi="Arial"/>
                  <w:sz w:val="17"/>
                  <w:szCs w:val="17"/>
                  <w:color w:val="0000EE"/>
                  <w:w w:val="91"/>
                </w:rPr>
                <w:t>Condensed Consolidated Statements of Comprehensive Income for the Quarters and Nine Months Ended May 3, 2013 and April 27, 2012</w:t>
              </w:r>
            </w:hyperlink>
          </w:p>
        </w:tc>
        <w:tc>
          <w:tcPr>
            <w:tcW w:w="1000" w:type="dxa"/>
            <w:vAlign w:val="bottom"/>
            <w:tcBorders>
              <w:bottom w:val="single" w:sz="8" w:color="CCEEFF"/>
            </w:tcBorders>
            <w:gridSpan w:val="3"/>
            <w:shd w:val="clear" w:color="auto" w:fill="CCEEFF"/>
          </w:tcPr>
          <w:p>
            <w:pPr>
              <w:jc w:val="right"/>
              <w:spacing w:after="0" w:line="167" w:lineRule="exact"/>
              <w:rPr>
                <w:sz w:val="20"/>
                <w:szCs w:val="20"/>
                <w:color w:val="auto"/>
              </w:rPr>
            </w:pPr>
            <w:r>
              <w:rPr>
                <w:rFonts w:ascii="Arial" w:cs="Arial" w:eastAsia="Arial" w:hAnsi="Arial"/>
                <w:sz w:val="17"/>
                <w:szCs w:val="17"/>
                <w:color w:val="auto"/>
              </w:rPr>
              <w:t>5</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740" w:type="dxa"/>
            <w:vAlign w:val="bottom"/>
            <w:gridSpan w:val="14"/>
            <w:shd w:val="clear" w:color="auto" w:fill="CCEEFF"/>
          </w:tcPr>
          <w:p>
            <w:pPr>
              <w:ind w:left="20"/>
              <w:spacing w:after="0" w:line="167" w:lineRule="exact"/>
              <w:rPr>
                <w:rFonts w:ascii="Arial" w:cs="Arial" w:eastAsia="Arial" w:hAnsi="Arial"/>
                <w:sz w:val="17"/>
                <w:szCs w:val="17"/>
                <w:color w:val="auto"/>
              </w:rPr>
            </w:pPr>
            <w:r>
              <w:rPr>
                <w:rFonts w:ascii="Arial" w:cs="Arial" w:eastAsia="Arial" w:hAnsi="Arial"/>
                <w:sz w:val="17"/>
                <w:szCs w:val="17"/>
                <w:color w:val="auto"/>
              </w:rPr>
              <w:t>d) C</w:t>
            </w:r>
            <w:hyperlink w:anchor="page6">
              <w:r>
                <w:rPr>
                  <w:rFonts w:ascii="Arial" w:cs="Arial" w:eastAsia="Arial" w:hAnsi="Arial"/>
                  <w:sz w:val="17"/>
                  <w:szCs w:val="17"/>
                  <w:color w:val="0000EE"/>
                </w:rPr>
                <w:t>ondensed Consolidated Statements of Cash Flows for the Nine Months Ended May 3, 2013 and April 27, 2012</w:t>
              </w:r>
            </w:hyperlink>
          </w:p>
        </w:tc>
        <w:tc>
          <w:tcPr>
            <w:tcW w:w="1000" w:type="dxa"/>
            <w:vAlign w:val="bottom"/>
            <w:gridSpan w:val="3"/>
            <w:shd w:val="clear" w:color="auto" w:fill="CCEEFF"/>
          </w:tcPr>
          <w:p>
            <w:pPr>
              <w:jc w:val="right"/>
              <w:spacing w:after="0" w:line="167" w:lineRule="exact"/>
              <w:rPr>
                <w:sz w:val="20"/>
                <w:szCs w:val="20"/>
                <w:color w:val="auto"/>
              </w:rPr>
            </w:pPr>
            <w:r>
              <w:rPr>
                <w:rFonts w:ascii="Arial" w:cs="Arial" w:eastAsia="Arial" w:hAnsi="Arial"/>
                <w:sz w:val="17"/>
                <w:szCs w:val="17"/>
                <w:color w:val="auto"/>
              </w:rPr>
              <w:t>6</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8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60" w:type="dxa"/>
            <w:vAlign w:val="bottom"/>
            <w:tcBorders>
              <w:top w:val="single" w:sz="8" w:color="0000EE"/>
            </w:tcBorders>
          </w:tcPr>
          <w:p>
            <w:pPr>
              <w:spacing w:after="0"/>
              <w:rPr>
                <w:sz w:val="17"/>
                <w:szCs w:val="17"/>
                <w:color w:val="auto"/>
              </w:rPr>
            </w:pPr>
          </w:p>
        </w:tc>
        <w:tc>
          <w:tcPr>
            <w:tcW w:w="460" w:type="dxa"/>
            <w:vAlign w:val="bottom"/>
            <w:tcBorders>
              <w:top w:val="single" w:sz="8" w:color="0000EE"/>
            </w:tcBorders>
          </w:tcPr>
          <w:p>
            <w:pPr>
              <w:spacing w:after="0"/>
              <w:rPr>
                <w:sz w:val="17"/>
                <w:szCs w:val="17"/>
                <w:color w:val="auto"/>
              </w:rPr>
            </w:pPr>
          </w:p>
        </w:tc>
        <w:tc>
          <w:tcPr>
            <w:tcW w:w="1800" w:type="dxa"/>
            <w:vAlign w:val="bottom"/>
            <w:tcBorders>
              <w:top w:val="single" w:sz="8" w:color="0000EE"/>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ind w:left="20"/>
              <w:spacing w:after="0" w:line="167" w:lineRule="exact"/>
              <w:rPr>
                <w:sz w:val="20"/>
                <w:szCs w:val="20"/>
                <w:color w:val="auto"/>
              </w:rPr>
            </w:pPr>
            <w:r>
              <w:rPr>
                <w:rFonts w:ascii="Arial" w:cs="Arial" w:eastAsia="Arial" w:hAnsi="Arial"/>
                <w:sz w:val="17"/>
                <w:szCs w:val="17"/>
                <w:color w:val="auto"/>
              </w:rPr>
              <w:t>e)</w:t>
            </w:r>
          </w:p>
        </w:tc>
        <w:tc>
          <w:tcPr>
            <w:tcW w:w="9500" w:type="dxa"/>
            <w:vAlign w:val="bottom"/>
            <w:gridSpan w:val="13"/>
            <w:shd w:val="clear" w:color="auto" w:fill="CCEEFF"/>
          </w:tcPr>
          <w:p>
            <w:pPr>
              <w:spacing w:after="0" w:line="167" w:lineRule="exact"/>
              <w:rPr>
                <w:rFonts w:ascii="Arial" w:cs="Arial" w:eastAsia="Arial" w:hAnsi="Arial"/>
                <w:sz w:val="17"/>
                <w:szCs w:val="17"/>
                <w:color w:val="0000EE"/>
              </w:rPr>
            </w:pPr>
            <w:hyperlink w:anchor="page7">
              <w:r>
                <w:rPr>
                  <w:rFonts w:ascii="Arial" w:cs="Arial" w:eastAsia="Arial" w:hAnsi="Arial"/>
                  <w:sz w:val="17"/>
                  <w:szCs w:val="17"/>
                  <w:color w:val="0000EE"/>
                </w:rPr>
                <w:t>Notes to Condensed Consolidated Financial Statements</w:t>
              </w:r>
            </w:hyperlink>
          </w:p>
        </w:tc>
        <w:tc>
          <w:tcPr>
            <w:tcW w:w="1000" w:type="dxa"/>
            <w:vAlign w:val="bottom"/>
            <w:gridSpan w:val="3"/>
            <w:shd w:val="clear" w:color="auto" w:fill="CCEEFF"/>
          </w:tcPr>
          <w:p>
            <w:pPr>
              <w:jc w:val="right"/>
              <w:spacing w:after="0" w:line="167" w:lineRule="exact"/>
              <w:rPr>
                <w:sz w:val="20"/>
                <w:szCs w:val="20"/>
                <w:color w:val="auto"/>
              </w:rPr>
            </w:pPr>
            <w:r>
              <w:rPr>
                <w:rFonts w:ascii="Arial" w:cs="Arial" w:eastAsia="Arial" w:hAnsi="Arial"/>
                <w:sz w:val="17"/>
                <w:szCs w:val="17"/>
                <w:color w:val="auto"/>
              </w:rPr>
              <w:t>7</w:t>
            </w:r>
          </w:p>
        </w:tc>
        <w:tc>
          <w:tcPr>
            <w:tcW w:w="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0" w:type="dxa"/>
            <w:vAlign w:val="bottom"/>
            <w:tcBorders>
              <w:top w:val="single" w:sz="8" w:color="CCEEFF"/>
            </w:tcBorders>
            <w:gridSpan w:val="2"/>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0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w w:val="93"/>
              </w:rPr>
              <w:t>Item 2</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10400" w:type="dxa"/>
            <w:vAlign w:val="bottom"/>
            <w:gridSpan w:val="16"/>
          </w:tcPr>
          <w:p>
            <w:pPr>
              <w:ind w:left="440"/>
              <w:spacing w:after="0" w:line="167" w:lineRule="exact"/>
              <w:rPr>
                <w:rFonts w:ascii="Arial" w:cs="Arial" w:eastAsia="Arial" w:hAnsi="Arial"/>
                <w:sz w:val="17"/>
                <w:szCs w:val="17"/>
                <w:color w:val="auto"/>
              </w:rPr>
            </w:pPr>
            <w:r>
              <w:rPr>
                <w:rFonts w:ascii="Arial" w:cs="Arial" w:eastAsia="Arial" w:hAnsi="Arial"/>
                <w:sz w:val="17"/>
                <w:szCs w:val="17"/>
                <w:color w:val="auto"/>
              </w:rPr>
              <w:t xml:space="preserve">·  </w:t>
            </w:r>
            <w:hyperlink w:anchor="page15">
              <w:r>
                <w:rPr>
                  <w:rFonts w:ascii="Arial" w:cs="Arial" w:eastAsia="Arial" w:hAnsi="Arial"/>
                  <w:sz w:val="17"/>
                  <w:szCs w:val="17"/>
                  <w:color w:val="0000EE"/>
                </w:rPr>
                <w:t>Management’s Discussion and Analysis of Financial Condition and Results of Operations</w:t>
              </w:r>
            </w:hyperlink>
          </w:p>
        </w:tc>
        <w:tc>
          <w:tcPr>
            <w:tcW w:w="1000" w:type="dxa"/>
            <w:vAlign w:val="bottom"/>
            <w:gridSpan w:val="3"/>
          </w:tcPr>
          <w:p>
            <w:pPr>
              <w:jc w:val="right"/>
              <w:spacing w:after="0" w:line="167" w:lineRule="exact"/>
              <w:rPr>
                <w:sz w:val="20"/>
                <w:szCs w:val="20"/>
                <w:color w:val="auto"/>
              </w:rPr>
            </w:pPr>
            <w:r>
              <w:rPr>
                <w:rFonts w:ascii="Arial" w:cs="Arial" w:eastAsia="Arial" w:hAnsi="Arial"/>
                <w:sz w:val="17"/>
                <w:szCs w:val="17"/>
                <w:color w:val="auto"/>
              </w:rPr>
              <w:t>15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0000EE"/>
            </w:tcBorders>
            <w:shd w:val="clear" w:color="auto" w:fill="CCEEFF"/>
          </w:tcPr>
          <w:p>
            <w:pPr>
              <w:spacing w:after="0"/>
              <w:rPr>
                <w:sz w:val="18"/>
                <w:szCs w:val="18"/>
                <w:color w:val="auto"/>
              </w:rPr>
            </w:pPr>
          </w:p>
        </w:tc>
        <w:tc>
          <w:tcPr>
            <w:tcW w:w="2360" w:type="dxa"/>
            <w:vAlign w:val="bottom"/>
            <w:tcBorders>
              <w:top w:val="single" w:sz="8" w:color="0000EE"/>
            </w:tcBorders>
            <w:shd w:val="clear" w:color="auto" w:fill="CCEEFF"/>
          </w:tcPr>
          <w:p>
            <w:pPr>
              <w:spacing w:after="0"/>
              <w:rPr>
                <w:sz w:val="18"/>
                <w:szCs w:val="18"/>
                <w:color w:val="auto"/>
              </w:rPr>
            </w:pPr>
          </w:p>
        </w:tc>
        <w:tc>
          <w:tcPr>
            <w:tcW w:w="100" w:type="dxa"/>
            <w:vAlign w:val="bottom"/>
            <w:tcBorders>
              <w:top w:val="single" w:sz="8" w:color="0000EE"/>
            </w:tcBorders>
            <w:shd w:val="clear" w:color="auto" w:fill="CCEEFF"/>
          </w:tcPr>
          <w:p>
            <w:pPr>
              <w:spacing w:after="0"/>
              <w:rPr>
                <w:sz w:val="18"/>
                <w:szCs w:val="18"/>
                <w:color w:val="auto"/>
              </w:rPr>
            </w:pPr>
          </w:p>
        </w:tc>
        <w:tc>
          <w:tcPr>
            <w:tcW w:w="1560" w:type="dxa"/>
            <w:vAlign w:val="bottom"/>
            <w:tcBorders>
              <w:top w:val="single" w:sz="8" w:color="0000EE"/>
            </w:tcBorders>
            <w:shd w:val="clear" w:color="auto" w:fill="CCEEFF"/>
          </w:tcPr>
          <w:p>
            <w:pPr>
              <w:spacing w:after="0"/>
              <w:rPr>
                <w:sz w:val="18"/>
                <w:szCs w:val="18"/>
                <w:color w:val="auto"/>
              </w:rPr>
            </w:pPr>
          </w:p>
        </w:tc>
        <w:tc>
          <w:tcPr>
            <w:tcW w:w="460" w:type="dxa"/>
            <w:vAlign w:val="bottom"/>
            <w:tcBorders>
              <w:top w:val="single" w:sz="8" w:color="0000EE"/>
            </w:tcBorders>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00" w:type="dxa"/>
            <w:vAlign w:val="bottom"/>
            <w:gridSpan w:val="3"/>
          </w:tcPr>
          <w:p>
            <w:pPr>
              <w:ind w:left="440"/>
              <w:spacing w:after="0"/>
              <w:rPr>
                <w:sz w:val="20"/>
                <w:szCs w:val="20"/>
                <w:color w:val="auto"/>
              </w:rPr>
            </w:pPr>
            <w:r>
              <w:rPr>
                <w:rFonts w:ascii="Arial" w:cs="Arial" w:eastAsia="Arial" w:hAnsi="Arial"/>
                <w:sz w:val="17"/>
                <w:szCs w:val="17"/>
                <w:color w:val="auto"/>
                <w:w w:val="93"/>
              </w:rPr>
              <w:t>Item 3</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400" w:type="dxa"/>
            <w:vAlign w:val="bottom"/>
            <w:gridSpan w:val="16"/>
            <w:shd w:val="clear" w:color="auto" w:fill="CCEEFF"/>
          </w:tcPr>
          <w:p>
            <w:pPr>
              <w:ind w:left="440"/>
              <w:spacing w:after="0" w:line="167" w:lineRule="exact"/>
              <w:rPr>
                <w:rFonts w:ascii="Arial" w:cs="Arial" w:eastAsia="Arial" w:hAnsi="Arial"/>
                <w:sz w:val="17"/>
                <w:szCs w:val="17"/>
                <w:color w:val="auto"/>
              </w:rPr>
            </w:pPr>
            <w:r>
              <w:rPr>
                <w:rFonts w:ascii="Arial" w:cs="Arial" w:eastAsia="Arial" w:hAnsi="Arial"/>
                <w:sz w:val="17"/>
                <w:szCs w:val="17"/>
                <w:color w:val="auto"/>
              </w:rPr>
              <w:t xml:space="preserve">·  </w:t>
            </w:r>
            <w:hyperlink w:anchor="page28">
              <w:r>
                <w:rPr>
                  <w:rFonts w:ascii="Arial" w:cs="Arial" w:eastAsia="Arial" w:hAnsi="Arial"/>
                  <w:sz w:val="17"/>
                  <w:szCs w:val="17"/>
                  <w:color w:val="0000EE"/>
                </w:rPr>
                <w:t>Quantitative and Qualitative Disclosures About Market Risk</w:t>
              </w:r>
            </w:hyperlink>
          </w:p>
        </w:tc>
        <w:tc>
          <w:tcPr>
            <w:tcW w:w="1000" w:type="dxa"/>
            <w:vAlign w:val="bottom"/>
            <w:gridSpan w:val="3"/>
            <w:shd w:val="clear" w:color="auto" w:fill="CCEEFF"/>
          </w:tcPr>
          <w:p>
            <w:pPr>
              <w:jc w:val="right"/>
              <w:spacing w:after="0" w:line="167" w:lineRule="exact"/>
              <w:rPr>
                <w:sz w:val="20"/>
                <w:szCs w:val="20"/>
                <w:color w:val="auto"/>
              </w:rPr>
            </w:pPr>
            <w:r>
              <w:rPr>
                <w:rFonts w:ascii="Arial" w:cs="Arial" w:eastAsia="Arial" w:hAnsi="Arial"/>
                <w:sz w:val="17"/>
                <w:szCs w:val="17"/>
                <w:color w:val="auto"/>
              </w:rPr>
              <w:t>28</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0" w:type="dxa"/>
            <w:vAlign w:val="bottom"/>
            <w:tcBorders>
              <w:top w:val="single" w:sz="8" w:color="CCEEFF"/>
            </w:tcBorders>
            <w:gridSpan w:val="2"/>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0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w w:val="93"/>
              </w:rPr>
              <w:t>Item 4</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0" w:type="dxa"/>
            <w:vAlign w:val="bottom"/>
          </w:tcPr>
          <w:p>
            <w:pPr>
              <w:ind w:left="440"/>
              <w:spacing w:after="0" w:line="167" w:lineRule="exact"/>
              <w:rPr>
                <w:sz w:val="20"/>
                <w:szCs w:val="20"/>
                <w:color w:val="auto"/>
              </w:rPr>
            </w:pPr>
            <w:r>
              <w:rPr>
                <w:rFonts w:ascii="Arial" w:cs="Arial" w:eastAsia="Arial" w:hAnsi="Arial"/>
                <w:sz w:val="17"/>
                <w:szCs w:val="17"/>
                <w:color w:val="auto"/>
              </w:rPr>
              <w:t>·</w:t>
            </w:r>
          </w:p>
        </w:tc>
        <w:tc>
          <w:tcPr>
            <w:tcW w:w="9820" w:type="dxa"/>
            <w:vAlign w:val="bottom"/>
            <w:gridSpan w:val="15"/>
          </w:tcPr>
          <w:p>
            <w:pPr>
              <w:ind w:left="80"/>
              <w:spacing w:after="0" w:line="167" w:lineRule="exact"/>
              <w:rPr>
                <w:rFonts w:ascii="Arial" w:cs="Arial" w:eastAsia="Arial" w:hAnsi="Arial"/>
                <w:sz w:val="17"/>
                <w:szCs w:val="17"/>
                <w:color w:val="0000EE"/>
              </w:rPr>
            </w:pPr>
            <w:hyperlink w:anchor="page28">
              <w:r>
                <w:rPr>
                  <w:rFonts w:ascii="Arial" w:cs="Arial" w:eastAsia="Arial" w:hAnsi="Arial"/>
                  <w:sz w:val="17"/>
                  <w:szCs w:val="17"/>
                  <w:color w:val="0000EE"/>
                </w:rPr>
                <w:t>Controls and Procedures</w:t>
              </w:r>
            </w:hyperlink>
          </w:p>
        </w:tc>
        <w:tc>
          <w:tcPr>
            <w:tcW w:w="1000" w:type="dxa"/>
            <w:vAlign w:val="bottom"/>
            <w:gridSpan w:val="3"/>
          </w:tcPr>
          <w:p>
            <w:pPr>
              <w:jc w:val="right"/>
              <w:spacing w:after="0" w:line="167" w:lineRule="exact"/>
              <w:rPr>
                <w:sz w:val="20"/>
                <w:szCs w:val="20"/>
                <w:color w:val="auto"/>
              </w:rPr>
            </w:pPr>
            <w:r>
              <w:rPr>
                <w:rFonts w:ascii="Arial" w:cs="Arial" w:eastAsia="Arial" w:hAnsi="Arial"/>
                <w:sz w:val="17"/>
                <w:szCs w:val="17"/>
                <w:color w:val="auto"/>
              </w:rPr>
              <w:t>28</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0000EE"/>
            </w:tcBorders>
            <w:shd w:val="clear" w:color="auto" w:fill="CCEEFF"/>
          </w:tcPr>
          <w:p>
            <w:pPr>
              <w:spacing w:after="0"/>
              <w:rPr>
                <w:sz w:val="18"/>
                <w:szCs w:val="18"/>
                <w:color w:val="auto"/>
              </w:rPr>
            </w:pPr>
          </w:p>
        </w:tc>
        <w:tc>
          <w:tcPr>
            <w:tcW w:w="420" w:type="dxa"/>
            <w:vAlign w:val="bottom"/>
            <w:tcBorders>
              <w:top w:val="single" w:sz="8" w:color="0000EE"/>
            </w:tcBorders>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10400" w:type="dxa"/>
            <w:vAlign w:val="bottom"/>
            <w:gridSpan w:val="16"/>
          </w:tcPr>
          <w:p>
            <w:pPr>
              <w:spacing w:after="0"/>
              <w:rPr>
                <w:sz w:val="20"/>
                <w:szCs w:val="20"/>
                <w:color w:val="auto"/>
              </w:rPr>
            </w:pPr>
            <w:r>
              <w:rPr>
                <w:rFonts w:ascii="Arial" w:cs="Arial" w:eastAsia="Arial" w:hAnsi="Arial"/>
                <w:sz w:val="17"/>
                <w:szCs w:val="17"/>
                <w:b w:val="1"/>
                <w:bCs w:val="1"/>
                <w:color w:val="auto"/>
              </w:rPr>
              <w:t>PART II. OTHER INFORMATION</w:t>
            </w: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0" w:type="dxa"/>
            <w:vAlign w:val="bottom"/>
            <w:gridSpan w:val="2"/>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00" w:type="dxa"/>
            <w:vAlign w:val="bottom"/>
            <w:gridSpan w:val="3"/>
          </w:tcPr>
          <w:p>
            <w:pPr>
              <w:ind w:left="440"/>
              <w:spacing w:after="0"/>
              <w:rPr>
                <w:sz w:val="20"/>
                <w:szCs w:val="20"/>
                <w:color w:val="auto"/>
              </w:rPr>
            </w:pPr>
            <w:r>
              <w:rPr>
                <w:rFonts w:ascii="Arial" w:cs="Arial" w:eastAsia="Arial" w:hAnsi="Arial"/>
                <w:sz w:val="17"/>
                <w:szCs w:val="17"/>
                <w:color w:val="auto"/>
                <w:w w:val="93"/>
              </w:rPr>
              <w:t>Item 1</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580" w:type="dxa"/>
            <w:vAlign w:val="bottom"/>
            <w:shd w:val="clear" w:color="auto" w:fill="CCEEFF"/>
          </w:tcPr>
          <w:p>
            <w:pPr>
              <w:ind w:left="440"/>
              <w:spacing w:after="0" w:line="167" w:lineRule="exact"/>
              <w:rPr>
                <w:sz w:val="20"/>
                <w:szCs w:val="20"/>
                <w:color w:val="auto"/>
              </w:rPr>
            </w:pPr>
            <w:r>
              <w:rPr>
                <w:rFonts w:ascii="Arial" w:cs="Arial" w:eastAsia="Arial" w:hAnsi="Arial"/>
                <w:sz w:val="17"/>
                <w:szCs w:val="17"/>
                <w:color w:val="auto"/>
              </w:rPr>
              <w:t>·</w:t>
            </w:r>
          </w:p>
        </w:tc>
        <w:tc>
          <w:tcPr>
            <w:tcW w:w="9820" w:type="dxa"/>
            <w:vAlign w:val="bottom"/>
            <w:gridSpan w:val="15"/>
            <w:shd w:val="clear" w:color="auto" w:fill="CCEEFF"/>
          </w:tcPr>
          <w:p>
            <w:pPr>
              <w:ind w:left="80"/>
              <w:spacing w:after="0" w:line="167" w:lineRule="exact"/>
              <w:rPr>
                <w:rFonts w:ascii="Arial" w:cs="Arial" w:eastAsia="Arial" w:hAnsi="Arial"/>
                <w:sz w:val="17"/>
                <w:szCs w:val="17"/>
                <w:color w:val="0000EE"/>
              </w:rPr>
            </w:pPr>
            <w:hyperlink w:anchor="page29">
              <w:r>
                <w:rPr>
                  <w:rFonts w:ascii="Arial" w:cs="Arial" w:eastAsia="Arial" w:hAnsi="Arial"/>
                  <w:sz w:val="17"/>
                  <w:szCs w:val="17"/>
                  <w:color w:val="0000EE"/>
                </w:rPr>
                <w:t>Legal Proceedings</w:t>
              </w:r>
            </w:hyperlink>
          </w:p>
        </w:tc>
        <w:tc>
          <w:tcPr>
            <w:tcW w:w="1000" w:type="dxa"/>
            <w:vAlign w:val="bottom"/>
            <w:gridSpan w:val="3"/>
            <w:shd w:val="clear" w:color="auto" w:fill="CCEEFF"/>
          </w:tcPr>
          <w:p>
            <w:pPr>
              <w:jc w:val="right"/>
              <w:spacing w:after="0" w:line="167" w:lineRule="exact"/>
              <w:rPr>
                <w:sz w:val="20"/>
                <w:szCs w:val="20"/>
                <w:color w:val="auto"/>
              </w:rPr>
            </w:pPr>
            <w:r>
              <w:rPr>
                <w:rFonts w:ascii="Arial" w:cs="Arial" w:eastAsia="Arial" w:hAnsi="Arial"/>
                <w:sz w:val="17"/>
                <w:szCs w:val="17"/>
                <w:color w:val="auto"/>
              </w:rPr>
              <w:t>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0" w:type="dxa"/>
            <w:vAlign w:val="bottom"/>
            <w:tcBorders>
              <w:top w:val="single" w:sz="8" w:color="CCEEFF"/>
            </w:tcBorders>
            <w:gridSpan w:val="2"/>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20" w:type="dxa"/>
            <w:vAlign w:val="bottom"/>
            <w:tcBorders>
              <w:top w:val="single" w:sz="8" w:color="CCEEFF"/>
            </w:tcBorders>
          </w:tcPr>
          <w:p>
            <w:pPr>
              <w:spacing w:after="0"/>
              <w:rPr>
                <w:sz w:val="17"/>
                <w:szCs w:val="17"/>
                <w:color w:val="auto"/>
              </w:rPr>
            </w:pPr>
          </w:p>
        </w:tc>
        <w:tc>
          <w:tcPr>
            <w:tcW w:w="236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10400" w:type="dxa"/>
            <w:vAlign w:val="bottom"/>
            <w:gridSpan w:val="16"/>
            <w:shd w:val="clear" w:color="auto" w:fill="CCEEFF"/>
          </w:tcPr>
          <w:p>
            <w:pPr>
              <w:ind w:left="440"/>
              <w:spacing w:after="0"/>
              <w:rPr>
                <w:sz w:val="20"/>
                <w:szCs w:val="20"/>
                <w:color w:val="auto"/>
              </w:rPr>
            </w:pPr>
            <w:r>
              <w:rPr>
                <w:rFonts w:ascii="Arial" w:cs="Arial" w:eastAsia="Arial" w:hAnsi="Arial"/>
                <w:sz w:val="17"/>
                <w:szCs w:val="17"/>
                <w:color w:val="auto"/>
              </w:rPr>
              <w:t>Item 1A</w:t>
            </w: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0" w:type="dxa"/>
            <w:vAlign w:val="bottom"/>
          </w:tcPr>
          <w:p>
            <w:pPr>
              <w:ind w:left="440"/>
              <w:spacing w:after="0" w:line="167" w:lineRule="exact"/>
              <w:rPr>
                <w:sz w:val="20"/>
                <w:szCs w:val="20"/>
                <w:color w:val="auto"/>
              </w:rPr>
            </w:pPr>
            <w:r>
              <w:rPr>
                <w:rFonts w:ascii="Arial" w:cs="Arial" w:eastAsia="Arial" w:hAnsi="Arial"/>
                <w:sz w:val="17"/>
                <w:szCs w:val="17"/>
                <w:color w:val="auto"/>
              </w:rPr>
              <w:t>·</w:t>
            </w:r>
          </w:p>
        </w:tc>
        <w:tc>
          <w:tcPr>
            <w:tcW w:w="9820" w:type="dxa"/>
            <w:vAlign w:val="bottom"/>
            <w:gridSpan w:val="15"/>
          </w:tcPr>
          <w:p>
            <w:pPr>
              <w:ind w:left="80"/>
              <w:spacing w:after="0" w:line="167" w:lineRule="exact"/>
              <w:rPr>
                <w:rFonts w:ascii="Arial" w:cs="Arial" w:eastAsia="Arial" w:hAnsi="Arial"/>
                <w:sz w:val="17"/>
                <w:szCs w:val="17"/>
                <w:color w:val="0000EE"/>
              </w:rPr>
            </w:pPr>
            <w:hyperlink w:anchor="page29">
              <w:r>
                <w:rPr>
                  <w:rFonts w:ascii="Arial" w:cs="Arial" w:eastAsia="Arial" w:hAnsi="Arial"/>
                  <w:sz w:val="17"/>
                  <w:szCs w:val="17"/>
                  <w:color w:val="0000EE"/>
                </w:rPr>
                <w:t>Risk Factors</w:t>
              </w:r>
            </w:hyperlink>
          </w:p>
        </w:tc>
        <w:tc>
          <w:tcPr>
            <w:tcW w:w="1000" w:type="dxa"/>
            <w:vAlign w:val="bottom"/>
            <w:gridSpan w:val="3"/>
          </w:tcPr>
          <w:p>
            <w:pPr>
              <w:jc w:val="right"/>
              <w:spacing w:after="0" w:line="167" w:lineRule="exact"/>
              <w:rPr>
                <w:sz w:val="20"/>
                <w:szCs w:val="20"/>
                <w:color w:val="auto"/>
              </w:rPr>
            </w:pPr>
            <w:r>
              <w:rPr>
                <w:rFonts w:ascii="Arial" w:cs="Arial" w:eastAsia="Arial" w:hAnsi="Arial"/>
                <w:sz w:val="17"/>
                <w:szCs w:val="17"/>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280" w:type="dxa"/>
            <w:vAlign w:val="bottom"/>
            <w:tcBorders>
              <w:top w:val="single" w:sz="8" w:color="0000EE"/>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00" w:type="dxa"/>
            <w:vAlign w:val="bottom"/>
            <w:gridSpan w:val="3"/>
          </w:tcPr>
          <w:p>
            <w:pPr>
              <w:ind w:left="440"/>
              <w:spacing w:after="0"/>
              <w:rPr>
                <w:sz w:val="20"/>
                <w:szCs w:val="20"/>
                <w:color w:val="auto"/>
              </w:rPr>
            </w:pPr>
            <w:r>
              <w:rPr>
                <w:rFonts w:ascii="Arial" w:cs="Arial" w:eastAsia="Arial" w:hAnsi="Arial"/>
                <w:sz w:val="17"/>
                <w:szCs w:val="17"/>
                <w:color w:val="auto"/>
                <w:w w:val="93"/>
              </w:rPr>
              <w:t>Item 2</w:t>
            </w: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400" w:type="dxa"/>
            <w:vAlign w:val="bottom"/>
            <w:gridSpan w:val="16"/>
            <w:shd w:val="clear" w:color="auto" w:fill="CCEEFF"/>
          </w:tcPr>
          <w:p>
            <w:pPr>
              <w:ind w:left="440"/>
              <w:spacing w:after="0" w:line="167" w:lineRule="exact"/>
              <w:rPr>
                <w:rFonts w:ascii="Arial" w:cs="Arial" w:eastAsia="Arial" w:hAnsi="Arial"/>
                <w:sz w:val="17"/>
                <w:szCs w:val="17"/>
                <w:color w:val="auto"/>
              </w:rPr>
            </w:pPr>
            <w:r>
              <w:rPr>
                <w:rFonts w:ascii="Arial" w:cs="Arial" w:eastAsia="Arial" w:hAnsi="Arial"/>
                <w:sz w:val="17"/>
                <w:szCs w:val="17"/>
                <w:color w:val="auto"/>
              </w:rPr>
              <w:t xml:space="preserve">·  </w:t>
            </w:r>
            <w:hyperlink w:anchor="page29">
              <w:r>
                <w:rPr>
                  <w:rFonts w:ascii="Arial" w:cs="Arial" w:eastAsia="Arial" w:hAnsi="Arial"/>
                  <w:sz w:val="17"/>
                  <w:szCs w:val="17"/>
                  <w:color w:val="0000EE"/>
                </w:rPr>
                <w:t>Unregistered Sales of Equity Securities and Use of Proceeds</w:t>
              </w:r>
            </w:hyperlink>
          </w:p>
        </w:tc>
        <w:tc>
          <w:tcPr>
            <w:tcW w:w="1000" w:type="dxa"/>
            <w:vAlign w:val="bottom"/>
            <w:gridSpan w:val="3"/>
            <w:shd w:val="clear" w:color="auto" w:fill="CCEEFF"/>
          </w:tcPr>
          <w:p>
            <w:pPr>
              <w:jc w:val="right"/>
              <w:spacing w:after="0" w:line="167" w:lineRule="exact"/>
              <w:rPr>
                <w:sz w:val="20"/>
                <w:szCs w:val="20"/>
                <w:color w:val="auto"/>
              </w:rPr>
            </w:pPr>
            <w:r>
              <w:rPr>
                <w:rFonts w:ascii="Arial" w:cs="Arial" w:eastAsia="Arial" w:hAnsi="Arial"/>
                <w:sz w:val="17"/>
                <w:szCs w:val="17"/>
                <w:color w:val="auto"/>
              </w:rPr>
              <w:t>29</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60" w:type="dxa"/>
            <w:vAlign w:val="bottom"/>
            <w:tcBorders>
              <w:top w:val="single" w:sz="8" w:color="CCEEFF"/>
            </w:tcBorders>
            <w:gridSpan w:val="2"/>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120" w:type="dxa"/>
            <w:vAlign w:val="bottom"/>
            <w:tcBorders>
              <w:top w:val="single" w:sz="8" w:color="0000EE"/>
            </w:tcBorders>
          </w:tcPr>
          <w:p>
            <w:pPr>
              <w:spacing w:after="0"/>
              <w:rPr>
                <w:sz w:val="17"/>
                <w:szCs w:val="17"/>
                <w:color w:val="auto"/>
              </w:rPr>
            </w:pPr>
          </w:p>
        </w:tc>
        <w:tc>
          <w:tcPr>
            <w:tcW w:w="6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420" w:type="dxa"/>
            <w:vAlign w:val="bottom"/>
            <w:tcBorders>
              <w:top w:val="single" w:sz="8" w:color="0000EE"/>
            </w:tcBorders>
          </w:tcPr>
          <w:p>
            <w:pPr>
              <w:spacing w:after="0"/>
              <w:rPr>
                <w:sz w:val="17"/>
                <w:szCs w:val="17"/>
                <w:color w:val="auto"/>
              </w:rPr>
            </w:pPr>
          </w:p>
        </w:tc>
        <w:tc>
          <w:tcPr>
            <w:tcW w:w="2360" w:type="dxa"/>
            <w:vAlign w:val="bottom"/>
            <w:tcBorders>
              <w:top w:val="single" w:sz="8" w:color="0000EE"/>
            </w:tcBorders>
          </w:tcPr>
          <w:p>
            <w:pPr>
              <w:spacing w:after="0"/>
              <w:rPr>
                <w:sz w:val="17"/>
                <w:szCs w:val="17"/>
                <w:color w:val="auto"/>
              </w:rPr>
            </w:pPr>
          </w:p>
        </w:tc>
        <w:tc>
          <w:tcPr>
            <w:tcW w:w="100" w:type="dxa"/>
            <w:vAlign w:val="bottom"/>
            <w:tcBorders>
              <w:top w:val="single" w:sz="8" w:color="0000EE"/>
            </w:tcBorders>
          </w:tcPr>
          <w:p>
            <w:pPr>
              <w:spacing w:after="0"/>
              <w:rPr>
                <w:sz w:val="17"/>
                <w:szCs w:val="17"/>
                <w:color w:val="auto"/>
              </w:rPr>
            </w:pPr>
          </w:p>
        </w:tc>
        <w:tc>
          <w:tcPr>
            <w:tcW w:w="1560" w:type="dxa"/>
            <w:vAlign w:val="bottom"/>
            <w:tcBorders>
              <w:top w:val="single" w:sz="8" w:color="CCEEFF"/>
            </w:tcBorders>
          </w:tcPr>
          <w:p>
            <w:pPr>
              <w:spacing w:after="0"/>
              <w:rPr>
                <w:sz w:val="17"/>
                <w:szCs w:val="17"/>
                <w:color w:val="auto"/>
              </w:rPr>
            </w:pPr>
          </w:p>
        </w:tc>
        <w:tc>
          <w:tcPr>
            <w:tcW w:w="460" w:type="dxa"/>
            <w:vAlign w:val="bottom"/>
            <w:tcBorders>
              <w:top w:val="single" w:sz="8" w:color="CCEEFF"/>
            </w:tcBorders>
          </w:tcPr>
          <w:p>
            <w:pPr>
              <w:spacing w:after="0"/>
              <w:rPr>
                <w:sz w:val="17"/>
                <w:szCs w:val="17"/>
                <w:color w:val="auto"/>
              </w:rPr>
            </w:pPr>
          </w:p>
        </w:tc>
        <w:tc>
          <w:tcPr>
            <w:tcW w:w="1800" w:type="dxa"/>
            <w:vAlign w:val="bottom"/>
            <w:tcBorders>
              <w:top w:val="single" w:sz="8" w:color="CCEEFF"/>
            </w:tcBorders>
          </w:tcPr>
          <w:p>
            <w:pPr>
              <w:spacing w:after="0"/>
              <w:rPr>
                <w:sz w:val="17"/>
                <w:szCs w:val="17"/>
                <w:color w:val="auto"/>
              </w:rPr>
            </w:pPr>
          </w:p>
        </w:tc>
        <w:tc>
          <w:tcPr>
            <w:tcW w:w="640" w:type="dxa"/>
            <w:vAlign w:val="bottom"/>
            <w:tcBorders>
              <w:top w:val="single" w:sz="8" w:color="CCEEFF"/>
            </w:tcBorders>
          </w:tcPr>
          <w:p>
            <w:pPr>
              <w:spacing w:after="0"/>
              <w:rPr>
                <w:sz w:val="17"/>
                <w:szCs w:val="17"/>
                <w:color w:val="auto"/>
              </w:rPr>
            </w:pPr>
          </w:p>
        </w:tc>
        <w:tc>
          <w:tcPr>
            <w:tcW w:w="1120" w:type="dxa"/>
            <w:vAlign w:val="bottom"/>
            <w:tcBorders>
              <w:top w:val="single" w:sz="8" w:color="CCEEFF"/>
            </w:tcBorders>
          </w:tcPr>
          <w:p>
            <w:pPr>
              <w:spacing w:after="0"/>
              <w:rPr>
                <w:sz w:val="17"/>
                <w:szCs w:val="17"/>
                <w:color w:val="auto"/>
              </w:rPr>
            </w:pPr>
          </w:p>
        </w:tc>
        <w:tc>
          <w:tcPr>
            <w:tcW w:w="440" w:type="dxa"/>
            <w:vAlign w:val="bottom"/>
            <w:tcBorders>
              <w:top w:val="single" w:sz="8" w:color="CCEEFF"/>
            </w:tcBorders>
          </w:tcPr>
          <w:p>
            <w:pPr>
              <w:spacing w:after="0"/>
              <w:rPr>
                <w:sz w:val="17"/>
                <w:szCs w:val="17"/>
                <w:color w:val="auto"/>
              </w:rPr>
            </w:pPr>
          </w:p>
        </w:tc>
        <w:tc>
          <w:tcPr>
            <w:tcW w:w="340" w:type="dxa"/>
            <w:vAlign w:val="bottom"/>
            <w:tcBorders>
              <w:top w:val="single" w:sz="8" w:color="CCEEFF"/>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900" w:type="dxa"/>
            <w:vAlign w:val="bottom"/>
            <w:gridSpan w:val="3"/>
            <w:shd w:val="clear" w:color="auto" w:fill="CCEEFF"/>
          </w:tcPr>
          <w:p>
            <w:pPr>
              <w:ind w:left="440"/>
              <w:spacing w:after="0"/>
              <w:rPr>
                <w:sz w:val="20"/>
                <w:szCs w:val="20"/>
                <w:color w:val="auto"/>
              </w:rPr>
            </w:pPr>
            <w:r>
              <w:rPr>
                <w:rFonts w:ascii="Arial" w:cs="Arial" w:eastAsia="Arial" w:hAnsi="Arial"/>
                <w:sz w:val="17"/>
                <w:szCs w:val="17"/>
                <w:color w:val="auto"/>
                <w:w w:val="93"/>
              </w:rPr>
              <w:t>Item 6</w:t>
            </w: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3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8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20" w:type="dxa"/>
            <w:vAlign w:val="bottom"/>
          </w:tcPr>
          <w:p>
            <w:pPr>
              <w:spacing w:after="0"/>
              <w:rPr>
                <w:sz w:val="15"/>
                <w:szCs w:val="15"/>
                <w:color w:val="auto"/>
              </w:rPr>
            </w:pPr>
          </w:p>
        </w:tc>
        <w:tc>
          <w:tcPr>
            <w:tcW w:w="580" w:type="dxa"/>
            <w:vAlign w:val="bottom"/>
          </w:tcPr>
          <w:p>
            <w:pPr>
              <w:ind w:left="440"/>
              <w:spacing w:after="0" w:line="167" w:lineRule="exact"/>
              <w:rPr>
                <w:sz w:val="20"/>
                <w:szCs w:val="20"/>
                <w:color w:val="auto"/>
              </w:rPr>
            </w:pPr>
            <w:r>
              <w:rPr>
                <w:rFonts w:ascii="Arial" w:cs="Arial" w:eastAsia="Arial" w:hAnsi="Arial"/>
                <w:sz w:val="17"/>
                <w:szCs w:val="17"/>
                <w:color w:val="auto"/>
              </w:rPr>
              <w:t>·</w:t>
            </w:r>
          </w:p>
        </w:tc>
        <w:tc>
          <w:tcPr>
            <w:tcW w:w="9820" w:type="dxa"/>
            <w:vAlign w:val="bottom"/>
            <w:gridSpan w:val="15"/>
          </w:tcPr>
          <w:p>
            <w:pPr>
              <w:ind w:left="80"/>
              <w:spacing w:after="0" w:line="167" w:lineRule="exact"/>
              <w:rPr>
                <w:rFonts w:ascii="Arial" w:cs="Arial" w:eastAsia="Arial" w:hAnsi="Arial"/>
                <w:sz w:val="17"/>
                <w:szCs w:val="17"/>
                <w:color w:val="0000EE"/>
              </w:rPr>
            </w:pPr>
            <w:hyperlink w:anchor="page29">
              <w:r>
                <w:rPr>
                  <w:rFonts w:ascii="Arial" w:cs="Arial" w:eastAsia="Arial" w:hAnsi="Arial"/>
                  <w:sz w:val="17"/>
                  <w:szCs w:val="17"/>
                  <w:color w:val="0000EE"/>
                </w:rPr>
                <w:t>Exhibits</w:t>
              </w:r>
            </w:hyperlink>
          </w:p>
        </w:tc>
        <w:tc>
          <w:tcPr>
            <w:tcW w:w="1000" w:type="dxa"/>
            <w:vAlign w:val="bottom"/>
            <w:gridSpan w:val="3"/>
          </w:tcPr>
          <w:p>
            <w:pPr>
              <w:jc w:val="right"/>
              <w:spacing w:after="0" w:line="167" w:lineRule="exact"/>
              <w:rPr>
                <w:sz w:val="20"/>
                <w:szCs w:val="20"/>
                <w:color w:val="auto"/>
              </w:rPr>
            </w:pPr>
            <w:r>
              <w:rPr>
                <w:rFonts w:ascii="Arial" w:cs="Arial" w:eastAsia="Arial" w:hAnsi="Arial"/>
                <w:sz w:val="17"/>
                <w:szCs w:val="17"/>
                <w:color w:val="auto"/>
              </w:rPr>
              <w:t>29</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60" w:type="dxa"/>
            <w:vAlign w:val="bottom"/>
            <w:gridSpan w:val="2"/>
            <w:shd w:val="clear" w:color="auto" w:fill="CCEEFF"/>
          </w:tcPr>
          <w:p>
            <w:pPr>
              <w:spacing w:after="0"/>
              <w:rPr>
                <w:sz w:val="18"/>
                <w:szCs w:val="18"/>
                <w:color w:val="auto"/>
              </w:rPr>
            </w:pPr>
          </w:p>
        </w:tc>
        <w:tc>
          <w:tcPr>
            <w:tcW w:w="240" w:type="dxa"/>
            <w:vAlign w:val="bottom"/>
            <w:tcBorders>
              <w:top w:val="single" w:sz="8" w:color="0000EE"/>
            </w:tcBorders>
            <w:shd w:val="clear" w:color="auto" w:fill="CCEEFF"/>
          </w:tcPr>
          <w:p>
            <w:pPr>
              <w:spacing w:after="0"/>
              <w:rPr>
                <w:sz w:val="18"/>
                <w:szCs w:val="18"/>
                <w:color w:val="auto"/>
              </w:rPr>
            </w:pPr>
          </w:p>
        </w:tc>
        <w:tc>
          <w:tcPr>
            <w:tcW w:w="120" w:type="dxa"/>
            <w:vAlign w:val="bottom"/>
            <w:tcBorders>
              <w:top w:val="single" w:sz="8" w:color="0000EE"/>
            </w:tcBorders>
            <w:shd w:val="clear" w:color="auto" w:fill="CCEEFF"/>
          </w:tcPr>
          <w:p>
            <w:pPr>
              <w:spacing w:after="0"/>
              <w:rPr>
                <w:sz w:val="18"/>
                <w:szCs w:val="18"/>
                <w:color w:val="auto"/>
              </w:rPr>
            </w:pPr>
          </w:p>
        </w:tc>
        <w:tc>
          <w:tcPr>
            <w:tcW w:w="60" w:type="dxa"/>
            <w:vAlign w:val="bottom"/>
            <w:tcBorders>
              <w:top w:val="single" w:sz="8" w:color="0000EE"/>
            </w:tcBorders>
            <w:shd w:val="clear" w:color="auto" w:fill="CCEEFF"/>
          </w:tcPr>
          <w:p>
            <w:pPr>
              <w:spacing w:after="0"/>
              <w:rPr>
                <w:sz w:val="18"/>
                <w:szCs w:val="18"/>
                <w:color w:val="auto"/>
              </w:rPr>
            </w:pPr>
          </w:p>
        </w:tc>
        <w:tc>
          <w:tcPr>
            <w:tcW w:w="160" w:type="dxa"/>
            <w:vAlign w:val="bottom"/>
            <w:tcBorders>
              <w:top w:val="single" w:sz="8" w:color="0000EE"/>
            </w:tcBorders>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8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68"/>
        </w:trPr>
        <w:tc>
          <w:tcPr>
            <w:tcW w:w="20" w:type="dxa"/>
            <w:vAlign w:val="bottom"/>
            <w:vMerge w:val="continue"/>
          </w:tcPr>
          <w:p>
            <w:pPr>
              <w:spacing w:after="0"/>
              <w:rPr>
                <w:sz w:val="14"/>
                <w:szCs w:val="14"/>
                <w:color w:val="auto"/>
              </w:rPr>
            </w:pPr>
          </w:p>
        </w:tc>
        <w:tc>
          <w:tcPr>
            <w:tcW w:w="10400" w:type="dxa"/>
            <w:vAlign w:val="bottom"/>
            <w:gridSpan w:val="16"/>
          </w:tcPr>
          <w:p>
            <w:pPr>
              <w:spacing w:after="0" w:line="167" w:lineRule="exact"/>
              <w:rPr>
                <w:rFonts w:ascii="Arial" w:cs="Arial" w:eastAsia="Arial" w:hAnsi="Arial"/>
                <w:sz w:val="17"/>
                <w:szCs w:val="17"/>
                <w:b w:val="1"/>
                <w:bCs w:val="1"/>
                <w:color w:val="0000EE"/>
              </w:rPr>
            </w:pPr>
            <w:hyperlink w:anchor="page30">
              <w:r>
                <w:rPr>
                  <w:rFonts w:ascii="Arial" w:cs="Arial" w:eastAsia="Arial" w:hAnsi="Arial"/>
                  <w:sz w:val="17"/>
                  <w:szCs w:val="17"/>
                  <w:b w:val="1"/>
                  <w:bCs w:val="1"/>
                  <w:color w:val="0000EE"/>
                </w:rPr>
                <w:t>SIGNATURES</w:t>
              </w:r>
            </w:hyperlink>
          </w:p>
        </w:tc>
        <w:tc>
          <w:tcPr>
            <w:tcW w:w="1000" w:type="dxa"/>
            <w:vAlign w:val="bottom"/>
            <w:gridSpan w:val="3"/>
          </w:tcPr>
          <w:p>
            <w:pPr>
              <w:jc w:val="right"/>
              <w:spacing w:after="0" w:line="167" w:lineRule="exact"/>
              <w:rPr>
                <w:sz w:val="20"/>
                <w:szCs w:val="20"/>
                <w:color w:val="auto"/>
              </w:rPr>
            </w:pPr>
            <w:r>
              <w:rPr>
                <w:rFonts w:ascii="Arial" w:cs="Arial" w:eastAsia="Arial" w:hAnsi="Arial"/>
                <w:sz w:val="17"/>
                <w:szCs w:val="17"/>
                <w:color w:val="auto"/>
              </w:rPr>
              <w:t>30</w:t>
            </w:r>
          </w:p>
        </w:tc>
        <w:tc>
          <w:tcPr>
            <w:tcW w:w="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49"/>
        </w:trPr>
        <w:tc>
          <w:tcPr>
            <w:tcW w:w="20" w:type="dxa"/>
            <w:vAlign w:val="bottom"/>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180" w:type="dxa"/>
            <w:vAlign w:val="bottom"/>
            <w:tcBorders>
              <w:top w:val="single" w:sz="8" w:color="0000EE"/>
            </w:tcBorders>
            <w:gridSpan w:val="2"/>
          </w:tcPr>
          <w:p>
            <w:pPr>
              <w:spacing w:after="0"/>
              <w:rPr>
                <w:sz w:val="24"/>
                <w:szCs w:val="24"/>
                <w:color w:val="auto"/>
              </w:rPr>
            </w:pPr>
          </w:p>
        </w:tc>
        <w:tc>
          <w:tcPr>
            <w:tcW w:w="5300" w:type="dxa"/>
            <w:vAlign w:val="bottom"/>
            <w:gridSpan w:val="7"/>
          </w:tcPr>
          <w:p>
            <w:pPr>
              <w:jc w:val="center"/>
              <w:ind w:left="3851"/>
              <w:spacing w:after="0"/>
              <w:rPr>
                <w:sz w:val="20"/>
                <w:szCs w:val="20"/>
                <w:color w:val="auto"/>
              </w:rPr>
            </w:pPr>
            <w:r>
              <w:rPr>
                <w:rFonts w:ascii="Arial" w:cs="Arial" w:eastAsia="Arial" w:hAnsi="Arial"/>
                <w:sz w:val="14"/>
                <w:szCs w:val="14"/>
                <w:color w:val="auto"/>
                <w:w w:val="76"/>
              </w:rPr>
              <w:t>2</w:t>
            </w:r>
          </w:p>
        </w:tc>
        <w:tc>
          <w:tcPr>
            <w:tcW w:w="46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8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6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420" w:type="dxa"/>
            <w:vAlign w:val="bottom"/>
            <w:tcBorders>
              <w:bottom w:val="single" w:sz="8" w:color="808080"/>
            </w:tcBorders>
          </w:tcPr>
          <w:p>
            <w:pPr>
              <w:spacing w:after="0"/>
              <w:rPr>
                <w:sz w:val="8"/>
                <w:szCs w:val="8"/>
                <w:color w:val="auto"/>
              </w:rPr>
            </w:pPr>
          </w:p>
        </w:tc>
        <w:tc>
          <w:tcPr>
            <w:tcW w:w="23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560" w:type="dxa"/>
            <w:vAlign w:val="bottom"/>
            <w:tcBorders>
              <w:bottom w:val="single" w:sz="8" w:color="808080"/>
            </w:tcBorders>
          </w:tcPr>
          <w:p>
            <w:pPr>
              <w:spacing w:after="0"/>
              <w:rPr>
                <w:sz w:val="8"/>
                <w:szCs w:val="8"/>
                <w:color w:val="auto"/>
              </w:rPr>
            </w:pPr>
          </w:p>
        </w:tc>
        <w:tc>
          <w:tcPr>
            <w:tcW w:w="460" w:type="dxa"/>
            <w:vAlign w:val="bottom"/>
            <w:tcBorders>
              <w:bottom w:val="single" w:sz="8" w:color="808080"/>
            </w:tcBorders>
          </w:tcPr>
          <w:p>
            <w:pPr>
              <w:spacing w:after="0"/>
              <w:rPr>
                <w:sz w:val="8"/>
                <w:szCs w:val="8"/>
                <w:color w:val="auto"/>
              </w:rPr>
            </w:pPr>
          </w:p>
        </w:tc>
        <w:tc>
          <w:tcPr>
            <w:tcW w:w="1800" w:type="dxa"/>
            <w:vAlign w:val="bottom"/>
            <w:tcBorders>
              <w:bottom w:val="single" w:sz="8" w:color="808080"/>
            </w:tcBorders>
          </w:tcPr>
          <w:p>
            <w:pPr>
              <w:spacing w:after="0"/>
              <w:rPr>
                <w:sz w:val="8"/>
                <w:szCs w:val="8"/>
                <w:color w:val="auto"/>
              </w:rPr>
            </w:pPr>
          </w:p>
        </w:tc>
        <w:tc>
          <w:tcPr>
            <w:tcW w:w="64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440" w:type="dxa"/>
            <w:vAlign w:val="bottom"/>
            <w:tcBorders>
              <w:bottom w:val="single" w:sz="8" w:color="808080"/>
            </w:tcBorders>
          </w:tcPr>
          <w:p>
            <w:pPr>
              <w:spacing w:after="0"/>
              <w:rPr>
                <w:sz w:val="8"/>
                <w:szCs w:val="8"/>
                <w:color w:val="auto"/>
              </w:rPr>
            </w:pPr>
          </w:p>
        </w:tc>
        <w:tc>
          <w:tcPr>
            <w:tcW w:w="3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70" w:right="2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00" w:type="dxa"/>
            <w:vAlign w:val="bottom"/>
            <w:gridSpan w:val="2"/>
            <w:shd w:val="clear" w:color="auto" w:fill="0000EE"/>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7"/>
        </w:trPr>
        <w:tc>
          <w:tcPr>
            <w:tcW w:w="8800" w:type="dxa"/>
            <w:vAlign w:val="bottom"/>
            <w:gridSpan w:val="3"/>
          </w:tcPr>
          <w:p>
            <w:pPr>
              <w:spacing w:after="0"/>
              <w:rPr>
                <w:sz w:val="20"/>
                <w:szCs w:val="20"/>
                <w:color w:val="auto"/>
              </w:rPr>
            </w:pPr>
            <w:r>
              <w:rPr>
                <w:rFonts w:ascii="Arial" w:cs="Arial" w:eastAsia="Arial" w:hAnsi="Arial"/>
                <w:sz w:val="17"/>
                <w:szCs w:val="17"/>
                <w:b w:val="1"/>
                <w:bCs w:val="1"/>
                <w:color w:val="auto"/>
              </w:rPr>
              <w:t>PART I – FINANCIAL INFORMATION</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00" w:type="dxa"/>
            <w:vAlign w:val="bottom"/>
            <w:gridSpan w:val="3"/>
          </w:tcPr>
          <w:p>
            <w:pPr>
              <w:spacing w:after="0"/>
              <w:rPr>
                <w:sz w:val="20"/>
                <w:szCs w:val="20"/>
                <w:color w:val="auto"/>
              </w:rPr>
            </w:pPr>
            <w:r>
              <w:rPr>
                <w:rFonts w:ascii="Arial" w:cs="Arial" w:eastAsia="Arial" w:hAnsi="Arial"/>
                <w:sz w:val="17"/>
                <w:szCs w:val="17"/>
                <w:b w:val="1"/>
                <w:bCs w:val="1"/>
                <w:color w:val="auto"/>
              </w:rPr>
              <w:t>ITEM 1. Financial Statements</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22"/>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b w:val="1"/>
                <w:bCs w:val="1"/>
                <w:color w:val="auto"/>
              </w:rPr>
              <w:t>CRACKER BARREL OLD COUNTRY STORE, INC.</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b w:val="1"/>
                <w:bCs w:val="1"/>
                <w:color w:val="auto"/>
              </w:rPr>
              <w:t>CONDENSED CONSOLIDATED BALANCE SHEETS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color w:val="auto"/>
                <w:w w:val="89"/>
              </w:rPr>
              <w:t>(In thousands, except share data)</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color w:val="auto"/>
                <w:w w:val="92"/>
              </w:rPr>
              <w:t>(Unaudited)</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8"/>
        </w:trPr>
        <w:tc>
          <w:tcPr>
            <w:tcW w:w="8800" w:type="dxa"/>
            <w:vAlign w:val="bottom"/>
            <w:gridSpan w:val="3"/>
            <w:vMerge w:val="restart"/>
          </w:tcPr>
          <w:p>
            <w:pPr>
              <w:spacing w:after="0"/>
              <w:rPr>
                <w:sz w:val="20"/>
                <w:szCs w:val="20"/>
                <w:color w:val="auto"/>
              </w:rPr>
            </w:pPr>
            <w:r>
              <w:rPr>
                <w:rFonts w:ascii="Arial" w:cs="Arial" w:eastAsia="Arial" w:hAnsi="Arial"/>
                <w:sz w:val="17"/>
                <w:szCs w:val="17"/>
                <w:b w:val="1"/>
                <w:bCs w:val="1"/>
                <w:color w:val="auto"/>
              </w:rPr>
              <w:t>ASSETS</w:t>
            </w:r>
          </w:p>
        </w:tc>
        <w:tc>
          <w:tcPr>
            <w:tcW w:w="220" w:type="dxa"/>
            <w:vAlign w:val="bottom"/>
          </w:tcPr>
          <w:p>
            <w:pPr>
              <w:spacing w:after="0"/>
              <w:rPr>
                <w:sz w:val="24"/>
                <w:szCs w:val="2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7"/>
                <w:szCs w:val="17"/>
                <w:color w:val="auto"/>
              </w:rPr>
              <w:t>May 3,</w:t>
            </w: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7"/>
                <w:szCs w:val="17"/>
                <w:color w:val="auto"/>
                <w:w w:val="91"/>
              </w:rPr>
              <w:t>August 3,</w:t>
            </w:r>
          </w:p>
        </w:tc>
        <w:tc>
          <w:tcPr>
            <w:tcW w:w="0" w:type="dxa"/>
            <w:vAlign w:val="bottom"/>
          </w:tcPr>
          <w:p>
            <w:pPr>
              <w:spacing w:after="0"/>
              <w:rPr>
                <w:sz w:val="1"/>
                <w:szCs w:val="1"/>
                <w:color w:val="auto"/>
              </w:rPr>
            </w:pPr>
          </w:p>
        </w:tc>
      </w:tr>
      <w:tr>
        <w:trPr>
          <w:trHeight w:val="225"/>
        </w:trPr>
        <w:tc>
          <w:tcPr>
            <w:tcW w:w="8800" w:type="dxa"/>
            <w:vAlign w:val="bottom"/>
            <w:gridSpan w:val="3"/>
            <w:vMerge w:val="continue"/>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74"/>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800" w:type="dxa"/>
            <w:vAlign w:val="bottom"/>
            <w:gridSpan w:val="3"/>
          </w:tcPr>
          <w:p>
            <w:pPr>
              <w:spacing w:after="0"/>
              <w:rPr>
                <w:sz w:val="20"/>
                <w:szCs w:val="20"/>
                <w:color w:val="auto"/>
              </w:rPr>
            </w:pPr>
            <w:r>
              <w:rPr>
                <w:rFonts w:ascii="Arial" w:cs="Arial" w:eastAsia="Arial" w:hAnsi="Arial"/>
                <w:sz w:val="17"/>
                <w:szCs w:val="17"/>
                <w:color w:val="auto"/>
              </w:rPr>
              <w:t>Current Assets: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and cash equivalents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58,457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151,962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Property held for sale</w:t>
            </w: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884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884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Accounts receivable</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14,406</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14,609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Income taxes receivable</w:t>
            </w: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1,435</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Inventories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134,131</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143,267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Prepaid expenses and other current assets</w:t>
            </w: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16,016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11,405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7,407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15,181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Total current assets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232,736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337,308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1,775,076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1,741,571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Less: Accumulated depreciation and amortization of capital leases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758,265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719,201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Property and equipment – net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1,016,811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1,022,370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Other assets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60,126</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59,314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vMerge w:val="continue"/>
          </w:tcPr>
          <w:p>
            <w:pPr>
              <w:spacing w:after="0"/>
              <w:rPr>
                <w:sz w:val="21"/>
                <w:szCs w:val="21"/>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1,309,673</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1,418,992</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780" w:type="dxa"/>
            <w:vAlign w:val="bottom"/>
            <w:tcBorders>
              <w:top w:val="single" w:sz="8" w:color="CCEEFF"/>
            </w:tcBorders>
            <w:gridSpan w:val="2"/>
          </w:tcPr>
          <w:p>
            <w:pPr>
              <w:spacing w:after="0"/>
              <w:rPr>
                <w:sz w:val="20"/>
                <w:szCs w:val="20"/>
                <w:color w:val="auto"/>
              </w:rPr>
            </w:pPr>
            <w:r>
              <w:rPr>
                <w:rFonts w:ascii="Arial" w:cs="Arial" w:eastAsia="Arial" w:hAnsi="Arial"/>
                <w:sz w:val="17"/>
                <w:szCs w:val="17"/>
                <w:b w:val="1"/>
                <w:bCs w:val="1"/>
                <w:color w:val="auto"/>
              </w:rPr>
              <w:t>LIABILITIES AND SHAREHOLDERS’ EQUITY</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Liabilities: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Accounts payable</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72,732</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101,271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Income taxes payable</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5,825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Deferred revenues</w:t>
            </w: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47,374</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37,696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interest rate swap liability</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20,215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Other current liabilities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135,753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154,052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Total current liabilities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255,859</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319,059</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400,000</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525,036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Long-term interest rate swap liability</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16,888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14,166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Other long-term obligations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119,855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114,897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income taxes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61,739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63,159</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5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Commitments and Contingencies (Note 11)</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Shareholders’ Equity:</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gridSpan w:val="2"/>
            <w:shd w:val="clear" w:color="auto" w:fill="CCEEFF"/>
          </w:tcPr>
          <w:p>
            <w:pPr>
              <w:spacing w:after="0" w:line="194" w:lineRule="exact"/>
              <w:rPr>
                <w:sz w:val="20"/>
                <w:szCs w:val="20"/>
                <w:color w:val="auto"/>
              </w:rPr>
            </w:pPr>
            <w:r>
              <w:rPr>
                <w:rFonts w:ascii="Arial" w:cs="Arial" w:eastAsia="Arial" w:hAnsi="Arial"/>
                <w:sz w:val="17"/>
                <w:szCs w:val="17"/>
                <w:color w:val="auto"/>
                <w:w w:val="91"/>
              </w:rPr>
              <w:t>Preferred stock – 100,000,000 shares of $.01 par value authorized; 300,000 shares designated as Series A Junior Participating</w:t>
            </w:r>
          </w:p>
        </w:tc>
        <w:tc>
          <w:tcPr>
            <w:tcW w:w="2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Preferred Stock; no shares issued</w:t>
            </w:r>
          </w:p>
        </w:tc>
        <w:tc>
          <w:tcPr>
            <w:tcW w:w="22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8780" w:type="dxa"/>
            <w:vAlign w:val="bottom"/>
            <w:gridSpan w:val="2"/>
          </w:tcPr>
          <w:p>
            <w:pPr>
              <w:spacing w:after="0" w:line="194" w:lineRule="exact"/>
              <w:rPr>
                <w:sz w:val="20"/>
                <w:szCs w:val="20"/>
                <w:color w:val="auto"/>
              </w:rPr>
            </w:pPr>
            <w:r>
              <w:rPr>
                <w:rFonts w:ascii="Arial" w:cs="Arial" w:eastAsia="Arial" w:hAnsi="Arial"/>
                <w:sz w:val="17"/>
                <w:szCs w:val="17"/>
                <w:color w:val="auto"/>
                <w:w w:val="92"/>
              </w:rPr>
              <w:t>Common stock – 400,000,000 shares of $.01 par value authorized; 23,757,956 shares issued and outstanding at May 3, 2013,</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and 23,473,024 shares issued and outstanding at August 3, 2012</w:t>
            </w:r>
          </w:p>
        </w:tc>
        <w:tc>
          <w:tcPr>
            <w:tcW w:w="22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237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234</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Additional paid-in capital</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43,255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28,676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Accumulated other comprehensive loss</w:t>
            </w:r>
          </w:p>
        </w:tc>
        <w:tc>
          <w:tcPr>
            <w:tcW w:w="22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(10,376)</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7"/>
                <w:szCs w:val="17"/>
                <w:color w:val="auto"/>
              </w:rPr>
              <w:t>(21,158)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Retained earnings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422,216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374,923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Total shareholders’ equity</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455,332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382,675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vMerge w:val="continue"/>
          </w:tcPr>
          <w:p>
            <w:pPr>
              <w:spacing w:after="0"/>
              <w:rPr>
                <w:sz w:val="19"/>
                <w:szCs w:val="19"/>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liabilities and shareholders’ equity</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1,309,673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1,418,992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See Notes to unaudited Condensed Consolidated Financial Statements.</w:t>
      </w:r>
    </w:p>
    <w:p>
      <w:pPr>
        <w:spacing w:after="0" w:line="243" w:lineRule="exact"/>
        <w:rPr>
          <w:sz w:val="20"/>
          <w:szCs w:val="20"/>
          <w:color w:val="auto"/>
        </w:rPr>
      </w:pPr>
    </w:p>
    <w:p>
      <w:pPr>
        <w:ind w:firstLine="3"/>
        <w:spacing w:after="0" w:line="280" w:lineRule="auto"/>
        <w:tabs>
          <w:tab w:leader="none" w:pos="129" w:val="left"/>
        </w:tabs>
        <w:numPr>
          <w:ilvl w:val="0"/>
          <w:numId w:val="3"/>
        </w:numPr>
        <w:rPr>
          <w:rFonts w:ascii="Arial" w:cs="Arial" w:eastAsia="Arial" w:hAnsi="Arial"/>
          <w:sz w:val="17"/>
          <w:szCs w:val="17"/>
          <w:color w:val="auto"/>
        </w:rPr>
      </w:pPr>
      <w:r>
        <w:rPr>
          <w:rFonts w:ascii="Arial" w:cs="Arial" w:eastAsia="Arial" w:hAnsi="Arial"/>
          <w:sz w:val="17"/>
          <w:szCs w:val="17"/>
          <w:color w:val="auto"/>
        </w:rPr>
        <w:t>This Condensed Consolidated Balance Sheet has been derived from the audited Consolidated Balance Sheet as of August 3, 2012, as filed in the Company’s Annual Report on Form 10-K for the fiscal year ended August 3, 2012.</w:t>
      </w: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40"/>
          </w:cols>
          <w:pgMar w:left="240" w:top="108" w:right="219" w:bottom="1440" w:gutter="0" w:footer="0" w:header="0"/>
        </w:sectPr>
      </w:pPr>
    </w:p>
    <w:bookmarkStart w:id="3" w:name="page4"/>
    <w:bookmarkEnd w:id="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CRACKER BARREL OLD COUNTRY STORE, INC.</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CONDENSED CONSOLIDATED STATEMENTS OF INCOME</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share data)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6"/>
          </w:tcPr>
          <w:p>
            <w:pPr>
              <w:ind w:left="540"/>
              <w:spacing w:after="0"/>
              <w:rPr>
                <w:sz w:val="20"/>
                <w:szCs w:val="20"/>
                <w:color w:val="auto"/>
              </w:rPr>
            </w:pPr>
            <w:r>
              <w:rPr>
                <w:rFonts w:ascii="Arial" w:cs="Arial" w:eastAsia="Arial" w:hAnsi="Arial"/>
                <w:sz w:val="17"/>
                <w:szCs w:val="17"/>
                <w:color w:val="auto"/>
              </w:rPr>
              <w:t>Quarter Ended</w:t>
            </w:r>
          </w:p>
        </w:tc>
        <w:tc>
          <w:tcPr>
            <w:tcW w:w="200" w:type="dxa"/>
            <w:vAlign w:val="bottom"/>
          </w:tcPr>
          <w:p>
            <w:pPr>
              <w:spacing w:after="0"/>
              <w:rPr>
                <w:sz w:val="19"/>
                <w:szCs w:val="19"/>
                <w:color w:val="auto"/>
              </w:rPr>
            </w:pPr>
          </w:p>
        </w:tc>
        <w:tc>
          <w:tcPr>
            <w:tcW w:w="2380" w:type="dxa"/>
            <w:vAlign w:val="bottom"/>
            <w:gridSpan w:val="5"/>
          </w:tcPr>
          <w:p>
            <w:pPr>
              <w:jc w:val="right"/>
              <w:ind w:right="640"/>
              <w:spacing w:after="0"/>
              <w:rPr>
                <w:sz w:val="20"/>
                <w:szCs w:val="20"/>
                <w:color w:val="auto"/>
              </w:rPr>
            </w:pPr>
            <w:r>
              <w:rPr>
                <w:rFonts w:ascii="Arial" w:cs="Arial" w:eastAsia="Arial" w:hAnsi="Arial"/>
                <w:sz w:val="17"/>
                <w:szCs w:val="17"/>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120"/>
              <w:spacing w:after="0" w:line="194" w:lineRule="exact"/>
              <w:rPr>
                <w:sz w:val="20"/>
                <w:szCs w:val="20"/>
                <w:color w:val="auto"/>
              </w:rPr>
            </w:pPr>
            <w:r>
              <w:rPr>
                <w:rFonts w:ascii="Arial" w:cs="Arial" w:eastAsia="Arial" w:hAnsi="Arial"/>
                <w:sz w:val="17"/>
                <w:szCs w:val="17"/>
                <w:color w:val="auto"/>
              </w:rPr>
              <w:t>May 3,</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4"/>
              <w:spacing w:after="0" w:line="194" w:lineRule="exact"/>
              <w:rPr>
                <w:sz w:val="20"/>
                <w:szCs w:val="20"/>
                <w:color w:val="auto"/>
              </w:rPr>
            </w:pPr>
            <w:r>
              <w:rPr>
                <w:rFonts w:ascii="Arial" w:cs="Arial" w:eastAsia="Arial" w:hAnsi="Arial"/>
                <w:sz w:val="17"/>
                <w:szCs w:val="17"/>
                <w:color w:val="auto"/>
              </w:rPr>
              <w:t>April 27,</w:t>
            </w: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120"/>
              <w:spacing w:after="0" w:line="194" w:lineRule="exact"/>
              <w:rPr>
                <w:sz w:val="20"/>
                <w:szCs w:val="20"/>
                <w:color w:val="auto"/>
              </w:rPr>
            </w:pPr>
            <w:r>
              <w:rPr>
                <w:rFonts w:ascii="Arial" w:cs="Arial" w:eastAsia="Arial" w:hAnsi="Arial"/>
                <w:sz w:val="17"/>
                <w:szCs w:val="17"/>
                <w:color w:val="auto"/>
              </w:rPr>
              <w:t>May 3,</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54"/>
              <w:spacing w:after="0" w:line="194" w:lineRule="exact"/>
              <w:rPr>
                <w:sz w:val="20"/>
                <w:szCs w:val="20"/>
                <w:color w:val="auto"/>
              </w:rPr>
            </w:pPr>
            <w:r>
              <w:rPr>
                <w:rFonts w:ascii="Arial" w:cs="Arial" w:eastAsia="Arial" w:hAnsi="Arial"/>
                <w:sz w:val="17"/>
                <w:szCs w:val="17"/>
                <w:color w:val="auto"/>
              </w:rPr>
              <w:t>April 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2013</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1000" w:type="dxa"/>
            <w:vAlign w:val="bottom"/>
            <w:gridSpan w:val="2"/>
            <w:shd w:val="clear" w:color="auto" w:fill="CCEEFF"/>
          </w:tcPr>
          <w:p>
            <w:pPr>
              <w:jc w:val="right"/>
              <w:ind w:right="34"/>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640,407</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608,514</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1,970,529</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1,880,185</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Cost of goods sold</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201,982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189,615</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644,027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611,313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Gross profit</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438,425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418,899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1,326,502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1,268,872</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Labor and other related expenses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241,864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235,275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719,474</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691,176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Other store operating expenses</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116,408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109,947</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354,859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338,127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Store operating income</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80,153</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73,677</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252,169</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239,569</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General and administrative expenses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35,981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34,569</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105,492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108,500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6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Operating income</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44,172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39,108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146,677</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131,069</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26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2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10,194</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11,173</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31,199</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33,333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526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Income before income taxes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33,978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27,935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115,478</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97,736</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20" w:type="dxa"/>
            <w:vAlign w:val="bottom"/>
            <w:vMerge w:val="continue"/>
          </w:tcPr>
          <w:p>
            <w:pPr>
              <w:spacing w:after="0"/>
              <w:rPr>
                <w:sz w:val="18"/>
                <w:szCs w:val="18"/>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Provision for income taxes</w:t>
            </w: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9,376</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8,961</w:t>
            </w:r>
          </w:p>
        </w:tc>
        <w:tc>
          <w:tcPr>
            <w:tcW w:w="2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32,516</w:t>
            </w:r>
          </w:p>
        </w:tc>
        <w:tc>
          <w:tcPr>
            <w:tcW w:w="18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29,351</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Net income</w:t>
            </w:r>
          </w:p>
        </w:tc>
        <w:tc>
          <w:tcPr>
            <w:tcW w:w="100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24,602</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18,974</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82,962</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68,385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Net income per share:</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Basic</w:t>
            </w: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0.82</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3.50</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260" w:type="dxa"/>
            <w:vAlign w:val="bottom"/>
          </w:tcPr>
          <w:p>
            <w:pPr>
              <w:ind w:left="140"/>
              <w:spacing w:after="0"/>
              <w:rPr>
                <w:sz w:val="20"/>
                <w:szCs w:val="20"/>
                <w:color w:val="auto"/>
              </w:rPr>
            </w:pPr>
            <w:r>
              <w:rPr>
                <w:rFonts w:ascii="Arial" w:cs="Arial" w:eastAsia="Arial" w:hAnsi="Arial"/>
                <w:sz w:val="17"/>
                <w:szCs w:val="17"/>
                <w:color w:val="auto"/>
              </w:rPr>
              <w:t>Diluted</w:t>
            </w:r>
          </w:p>
        </w:tc>
        <w:tc>
          <w:tcPr>
            <w:tcW w:w="780" w:type="dxa"/>
            <w:vAlign w:val="bottom"/>
          </w:tcPr>
          <w:p>
            <w:pPr>
              <w:spacing w:after="0"/>
              <w:rPr>
                <w:sz w:val="17"/>
                <w:szCs w:val="17"/>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1.02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0.81</w:t>
            </w:r>
          </w:p>
        </w:tc>
        <w:tc>
          <w:tcPr>
            <w:tcW w:w="24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3.47</w:t>
            </w:r>
          </w:p>
        </w:tc>
        <w:tc>
          <w:tcPr>
            <w:tcW w:w="220" w:type="dxa"/>
            <w:vAlign w:val="bottom"/>
          </w:tcPr>
          <w:p>
            <w:pPr>
              <w:spacing w:after="0"/>
              <w:rPr>
                <w:sz w:val="17"/>
                <w:szCs w:val="17"/>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Weighted average shares:</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shd w:val="clear" w:color="auto" w:fill="CCEEFF"/>
          </w:tcPr>
          <w:p>
            <w:pPr>
              <w:ind w:left="140"/>
              <w:spacing w:after="0"/>
              <w:rPr>
                <w:sz w:val="20"/>
                <w:szCs w:val="20"/>
                <w:color w:val="auto"/>
              </w:rPr>
            </w:pPr>
            <w:r>
              <w:rPr>
                <w:rFonts w:ascii="Arial" w:cs="Arial" w:eastAsia="Arial" w:hAnsi="Arial"/>
                <w:sz w:val="17"/>
                <w:szCs w:val="17"/>
                <w:color w:val="auto"/>
              </w:rPr>
              <w:t>Basic</w:t>
            </w:r>
          </w:p>
        </w:tc>
        <w:tc>
          <w:tcPr>
            <w:tcW w:w="7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23,760,589</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23,132,730</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23,683,133</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22,990,544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260" w:type="dxa"/>
            <w:vAlign w:val="bottom"/>
          </w:tcPr>
          <w:p>
            <w:pPr>
              <w:ind w:left="140"/>
              <w:spacing w:after="0"/>
              <w:rPr>
                <w:sz w:val="20"/>
                <w:szCs w:val="20"/>
                <w:color w:val="auto"/>
              </w:rPr>
            </w:pPr>
            <w:r>
              <w:rPr>
                <w:rFonts w:ascii="Arial" w:cs="Arial" w:eastAsia="Arial" w:hAnsi="Arial"/>
                <w:sz w:val="17"/>
                <w:szCs w:val="17"/>
                <w:color w:val="auto"/>
              </w:rPr>
              <w:t>Diluted</w:t>
            </w: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24,006,821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23,535,765</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23,913,226</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23,329,230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52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5260" w:type="dxa"/>
            <w:vAlign w:val="bottom"/>
          </w:tcPr>
          <w:p>
            <w:pPr>
              <w:spacing w:after="0"/>
              <w:rPr>
                <w:sz w:val="20"/>
                <w:szCs w:val="20"/>
                <w:color w:val="auto"/>
              </w:rPr>
            </w:pPr>
            <w:r>
              <w:rPr>
                <w:rFonts w:ascii="Arial" w:cs="Arial" w:eastAsia="Arial" w:hAnsi="Arial"/>
                <w:sz w:val="17"/>
                <w:szCs w:val="17"/>
                <w:color w:val="auto"/>
              </w:rPr>
              <w:t>Dividends declared per share</w:t>
            </w:r>
          </w:p>
        </w:tc>
        <w:tc>
          <w:tcPr>
            <w:tcW w:w="1000" w:type="dxa"/>
            <w:vAlign w:val="bottom"/>
            <w:gridSpan w:val="2"/>
          </w:tcPr>
          <w:p>
            <w:pPr>
              <w:jc w:val="right"/>
              <w:ind w:right="34"/>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0.50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0.65</w:t>
            </w: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1.50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0"/>
        </w:trPr>
        <w:tc>
          <w:tcPr>
            <w:tcW w:w="5280" w:type="dxa"/>
            <w:vAlign w:val="bottom"/>
            <w:gridSpan w:val="2"/>
            <w:vMerge w:val="restart"/>
          </w:tcPr>
          <w:p>
            <w:pPr>
              <w:spacing w:after="0"/>
              <w:rPr>
                <w:sz w:val="20"/>
                <w:szCs w:val="20"/>
                <w:color w:val="auto"/>
              </w:rPr>
            </w:pPr>
            <w:r>
              <w:rPr>
                <w:rFonts w:ascii="Arial" w:cs="Arial" w:eastAsia="Arial" w:hAnsi="Arial"/>
                <w:sz w:val="17"/>
                <w:szCs w:val="17"/>
                <w:color w:val="auto"/>
                <w:w w:val="97"/>
              </w:rPr>
              <w:t>See Notes to unaudited Condensed Consolidated Financial Statements.</w:t>
            </w: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3"/>
        </w:trPr>
        <w:tc>
          <w:tcPr>
            <w:tcW w:w="528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20" w:type="dxa"/>
            <w:vAlign w:val="bottom"/>
          </w:tcPr>
          <w:p>
            <w:pPr>
              <w:spacing w:after="0"/>
              <w:rPr>
                <w:sz w:val="24"/>
                <w:szCs w:val="24"/>
                <w:color w:val="auto"/>
              </w:rPr>
            </w:pPr>
          </w:p>
        </w:tc>
        <w:tc>
          <w:tcPr>
            <w:tcW w:w="5260" w:type="dxa"/>
            <w:vAlign w:val="bottom"/>
          </w:tcPr>
          <w:p>
            <w:pPr>
              <w:spacing w:after="0"/>
              <w:rPr>
                <w:sz w:val="24"/>
                <w:szCs w:val="24"/>
                <w:color w:val="auto"/>
              </w:rPr>
            </w:pPr>
          </w:p>
        </w:tc>
        <w:tc>
          <w:tcPr>
            <w:tcW w:w="780" w:type="dxa"/>
            <w:vAlign w:val="bottom"/>
          </w:tcPr>
          <w:p>
            <w:pPr>
              <w:jc w:val="right"/>
              <w:ind w:right="238"/>
              <w:spacing w:after="0"/>
              <w:rPr>
                <w:sz w:val="20"/>
                <w:szCs w:val="20"/>
                <w:color w:val="auto"/>
              </w:rPr>
            </w:pPr>
            <w:r>
              <w:rPr>
                <w:rFonts w:ascii="Arial" w:cs="Arial" w:eastAsia="Arial" w:hAnsi="Arial"/>
                <w:sz w:val="14"/>
                <w:szCs w:val="14"/>
                <w:color w:val="auto"/>
              </w:rPr>
              <w:t>4</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5260" w:type="dxa"/>
            <w:vAlign w:val="bottom"/>
            <w:tcBorders>
              <w:bottom w:val="single" w:sz="8" w:color="808080"/>
            </w:tcBorders>
          </w:tcPr>
          <w:p>
            <w:pPr>
              <w:spacing w:after="0"/>
              <w:rPr>
                <w:sz w:val="8"/>
                <w:szCs w:val="8"/>
                <w:color w:val="auto"/>
              </w:rPr>
            </w:pPr>
          </w:p>
        </w:tc>
        <w:tc>
          <w:tcPr>
            <w:tcW w:w="78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94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4" w:name="page5"/>
    <w:bookmarkEnd w:id="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jc w:val="center"/>
        <w:spacing w:after="0" w:line="270" w:lineRule="auto"/>
        <w:rPr>
          <w:sz w:val="20"/>
          <w:szCs w:val="20"/>
          <w:color w:val="auto"/>
        </w:rPr>
      </w:pPr>
      <w:r>
        <w:rPr>
          <w:rFonts w:ascii="Arial" w:cs="Arial" w:eastAsia="Arial" w:hAnsi="Arial"/>
          <w:sz w:val="17"/>
          <w:szCs w:val="17"/>
          <w:b w:val="1"/>
          <w:bCs w:val="1"/>
          <w:color w:val="auto"/>
        </w:rPr>
        <w:t xml:space="preserve">CRACKER BARREL OLD COUNTRY STORE, INC. CONDENSED CONSOLIDATED STATEMENTS OF COMPREHENSIVE INCOME </w:t>
      </w:r>
      <w:r>
        <w:rPr>
          <w:rFonts w:ascii="Arial" w:cs="Arial" w:eastAsia="Arial" w:hAnsi="Arial"/>
          <w:sz w:val="17"/>
          <w:szCs w:val="17"/>
          <w:color w:val="auto"/>
        </w:rPr>
        <w:t>(Unaudited and in thousands)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6"/>
          </w:tcPr>
          <w:p>
            <w:pPr>
              <w:ind w:left="540"/>
              <w:spacing w:after="0"/>
              <w:rPr>
                <w:sz w:val="20"/>
                <w:szCs w:val="20"/>
                <w:color w:val="auto"/>
              </w:rPr>
            </w:pPr>
            <w:r>
              <w:rPr>
                <w:rFonts w:ascii="Arial" w:cs="Arial" w:eastAsia="Arial" w:hAnsi="Arial"/>
                <w:sz w:val="17"/>
                <w:szCs w:val="17"/>
                <w:color w:val="auto"/>
              </w:rPr>
              <w:t>Quarter Ended</w:t>
            </w:r>
          </w:p>
        </w:tc>
        <w:tc>
          <w:tcPr>
            <w:tcW w:w="200" w:type="dxa"/>
            <w:vAlign w:val="bottom"/>
          </w:tcPr>
          <w:p>
            <w:pPr>
              <w:spacing w:after="0"/>
              <w:rPr>
                <w:sz w:val="19"/>
                <w:szCs w:val="19"/>
                <w:color w:val="auto"/>
              </w:rPr>
            </w:pPr>
          </w:p>
        </w:tc>
        <w:tc>
          <w:tcPr>
            <w:tcW w:w="2380" w:type="dxa"/>
            <w:vAlign w:val="bottom"/>
            <w:gridSpan w:val="5"/>
          </w:tcPr>
          <w:p>
            <w:pPr>
              <w:jc w:val="right"/>
              <w:ind w:right="640"/>
              <w:spacing w:after="0"/>
              <w:rPr>
                <w:sz w:val="20"/>
                <w:szCs w:val="20"/>
                <w:color w:val="auto"/>
              </w:rPr>
            </w:pPr>
            <w:r>
              <w:rPr>
                <w:rFonts w:ascii="Arial" w:cs="Arial" w:eastAsia="Arial" w:hAnsi="Arial"/>
                <w:sz w:val="17"/>
                <w:szCs w:val="17"/>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120"/>
              <w:spacing w:after="0" w:line="194" w:lineRule="exact"/>
              <w:rPr>
                <w:sz w:val="20"/>
                <w:szCs w:val="20"/>
                <w:color w:val="auto"/>
              </w:rPr>
            </w:pPr>
            <w:r>
              <w:rPr>
                <w:rFonts w:ascii="Arial" w:cs="Arial" w:eastAsia="Arial" w:hAnsi="Arial"/>
                <w:sz w:val="17"/>
                <w:szCs w:val="17"/>
                <w:color w:val="auto"/>
              </w:rPr>
              <w:t>May 3,</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4"/>
              <w:spacing w:after="0" w:line="194" w:lineRule="exact"/>
              <w:rPr>
                <w:sz w:val="20"/>
                <w:szCs w:val="20"/>
                <w:color w:val="auto"/>
              </w:rPr>
            </w:pPr>
            <w:r>
              <w:rPr>
                <w:rFonts w:ascii="Arial" w:cs="Arial" w:eastAsia="Arial" w:hAnsi="Arial"/>
                <w:sz w:val="17"/>
                <w:szCs w:val="17"/>
                <w:color w:val="auto"/>
              </w:rPr>
              <w:t>April 27,</w:t>
            </w:r>
          </w:p>
        </w:tc>
        <w:tc>
          <w:tcPr>
            <w:tcW w:w="24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gridSpan w:val="2"/>
          </w:tcPr>
          <w:p>
            <w:pPr>
              <w:ind w:left="120"/>
              <w:spacing w:after="0" w:line="194" w:lineRule="exact"/>
              <w:rPr>
                <w:sz w:val="20"/>
                <w:szCs w:val="20"/>
                <w:color w:val="auto"/>
              </w:rPr>
            </w:pPr>
            <w:r>
              <w:rPr>
                <w:rFonts w:ascii="Arial" w:cs="Arial" w:eastAsia="Arial" w:hAnsi="Arial"/>
                <w:sz w:val="17"/>
                <w:szCs w:val="17"/>
                <w:color w:val="auto"/>
              </w:rPr>
              <w:t>May 3,</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54"/>
              <w:spacing w:after="0" w:line="194" w:lineRule="exact"/>
              <w:rPr>
                <w:sz w:val="20"/>
                <w:szCs w:val="20"/>
                <w:color w:val="auto"/>
              </w:rPr>
            </w:pPr>
            <w:r>
              <w:rPr>
                <w:rFonts w:ascii="Arial" w:cs="Arial" w:eastAsia="Arial" w:hAnsi="Arial"/>
                <w:sz w:val="17"/>
                <w:szCs w:val="17"/>
                <w:color w:val="auto"/>
              </w:rPr>
              <w:t>April 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2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2013</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60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Net income</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24,602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18,974</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82,962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68,385</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60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Other comprehensive income before income tax expense:</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tcPr>
          <w:p>
            <w:pPr>
              <w:ind w:left="140"/>
              <w:spacing w:after="0"/>
              <w:rPr>
                <w:sz w:val="20"/>
                <w:szCs w:val="20"/>
                <w:color w:val="auto"/>
              </w:rPr>
            </w:pPr>
            <w:r>
              <w:rPr>
                <w:rFonts w:ascii="Arial" w:cs="Arial" w:eastAsia="Arial" w:hAnsi="Arial"/>
                <w:sz w:val="17"/>
                <w:szCs w:val="17"/>
                <w:color w:val="auto"/>
              </w:rPr>
              <w:t>Change in fair value of interest rate swaps</w:t>
            </w:r>
          </w:p>
        </w:tc>
        <w:tc>
          <w:tcPr>
            <w:tcW w:w="2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4,982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6,348</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7"/>
                <w:szCs w:val="17"/>
                <w:color w:val="auto"/>
              </w:rPr>
              <w:t>17,493</w:t>
            </w: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12,902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Income tax expense</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1,921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1,808</w:t>
            </w: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6,711</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2,000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Other comprehensive income, net of tax</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3,061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4,540</w:t>
            </w:r>
          </w:p>
        </w:tc>
        <w:tc>
          <w:tcPr>
            <w:tcW w:w="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10,782</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7"/>
                <w:szCs w:val="17"/>
                <w:color w:val="auto"/>
              </w:rPr>
              <w:t>10,902</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60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vMerge w:val="continue"/>
          </w:tcPr>
          <w:p>
            <w:pPr>
              <w:spacing w:after="0"/>
              <w:rPr>
                <w:sz w:val="19"/>
                <w:szCs w:val="19"/>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Comprehensive income</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27,663</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23,514</w:t>
            </w:r>
          </w:p>
        </w:tc>
        <w:tc>
          <w:tcPr>
            <w:tcW w:w="24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93,744</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79,287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See Notes to unaudited Condensed Consolidated Financial Statements.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161"/>
        </w:trPr>
        <w:tc>
          <w:tcPr>
            <w:tcW w:w="880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7"/>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b w:val="1"/>
                <w:bCs w:val="1"/>
                <w:color w:val="auto"/>
              </w:rPr>
              <w:t>CRACKER BARREL OLD COUNTRY STORE, INC.</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2"/>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jc w:val="center"/>
              <w:ind w:left="2254"/>
              <w:spacing w:after="0"/>
              <w:rPr>
                <w:sz w:val="20"/>
                <w:szCs w:val="20"/>
                <w:color w:val="auto"/>
              </w:rPr>
            </w:pPr>
            <w:r>
              <w:rPr>
                <w:rFonts w:ascii="Arial" w:cs="Arial" w:eastAsia="Arial" w:hAnsi="Arial"/>
                <w:sz w:val="17"/>
                <w:szCs w:val="17"/>
                <w:b w:val="1"/>
                <w:bCs w:val="1"/>
                <w:color w:val="auto"/>
                <w:w w:val="99"/>
              </w:rPr>
              <w:t>CONDENSED CONSOLIDATED STATEMENTS OF CASH FLOWS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500" w:type="dxa"/>
            <w:vAlign w:val="bottom"/>
          </w:tcPr>
          <w:p>
            <w:pPr>
              <w:jc w:val="center"/>
              <w:ind w:left="2234"/>
              <w:spacing w:after="0"/>
              <w:rPr>
                <w:sz w:val="20"/>
                <w:szCs w:val="20"/>
                <w:color w:val="auto"/>
              </w:rPr>
            </w:pPr>
            <w:r>
              <w:rPr>
                <w:rFonts w:ascii="Arial" w:cs="Arial" w:eastAsia="Arial" w:hAnsi="Arial"/>
                <w:sz w:val="17"/>
                <w:szCs w:val="17"/>
                <w:color w:val="auto"/>
                <w:w w:val="90"/>
              </w:rPr>
              <w:t>(Unaudited and in thousands)</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0" w:type="dxa"/>
            <w:vAlign w:val="bottom"/>
            <w:gridSpan w:val="6"/>
          </w:tcPr>
          <w:p>
            <w:pPr>
              <w:jc w:val="right"/>
              <w:ind w:right="660"/>
              <w:spacing w:after="0"/>
              <w:rPr>
                <w:sz w:val="20"/>
                <w:szCs w:val="20"/>
                <w:color w:val="auto"/>
              </w:rPr>
            </w:pPr>
            <w:r>
              <w:rPr>
                <w:rFonts w:ascii="Arial" w:cs="Arial" w:eastAsia="Arial" w:hAnsi="Arial"/>
                <w:sz w:val="17"/>
                <w:szCs w:val="17"/>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50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gridSpan w:val="2"/>
          </w:tcPr>
          <w:p>
            <w:pPr>
              <w:jc w:val="right"/>
              <w:ind w:right="480"/>
              <w:spacing w:after="0" w:line="194" w:lineRule="exact"/>
              <w:rPr>
                <w:sz w:val="20"/>
                <w:szCs w:val="20"/>
                <w:color w:val="auto"/>
              </w:rPr>
            </w:pPr>
            <w:r>
              <w:rPr>
                <w:rFonts w:ascii="Arial" w:cs="Arial" w:eastAsia="Arial" w:hAnsi="Arial"/>
                <w:sz w:val="17"/>
                <w:szCs w:val="17"/>
                <w:color w:val="auto"/>
              </w:rPr>
              <w:t>May 3,</w:t>
            </w:r>
          </w:p>
        </w:tc>
        <w:tc>
          <w:tcPr>
            <w:tcW w:w="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60" w:type="dxa"/>
            <w:vAlign w:val="bottom"/>
            <w:tcBorders>
              <w:top w:val="single" w:sz="8" w:color="auto"/>
            </w:tcBorders>
          </w:tcPr>
          <w:p>
            <w:pPr>
              <w:jc w:val="right"/>
              <w:ind w:right="174"/>
              <w:spacing w:after="0" w:line="194" w:lineRule="exact"/>
              <w:rPr>
                <w:sz w:val="20"/>
                <w:szCs w:val="20"/>
                <w:color w:val="auto"/>
              </w:rPr>
            </w:pPr>
            <w:r>
              <w:rPr>
                <w:rFonts w:ascii="Arial" w:cs="Arial" w:eastAsia="Arial" w:hAnsi="Arial"/>
                <w:sz w:val="17"/>
                <w:szCs w:val="17"/>
                <w:color w:val="auto"/>
              </w:rPr>
              <w:t>April 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5"/>
        </w:trPr>
        <w:tc>
          <w:tcPr>
            <w:tcW w:w="8800" w:type="dxa"/>
            <w:vAlign w:val="bottom"/>
            <w:gridSpan w:val="3"/>
          </w:tcPr>
          <w:p>
            <w:pPr>
              <w:spacing w:after="0"/>
              <w:rPr>
                <w:sz w:val="20"/>
                <w:szCs w:val="20"/>
                <w:color w:val="auto"/>
              </w:rPr>
            </w:pPr>
            <w:r>
              <w:rPr>
                <w:rFonts w:ascii="Arial" w:cs="Arial" w:eastAsia="Arial" w:hAnsi="Arial"/>
                <w:sz w:val="17"/>
                <w:szCs w:val="17"/>
                <w:b w:val="1"/>
                <w:bCs w:val="1"/>
                <w:color w:val="auto"/>
              </w:rPr>
              <w:t>Cash flows from operating activities: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82,962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68,385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Adjustments to reconcile net income to net cash provided by operating activities:</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Depreciation and amortization</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49,000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47,742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Loss on disposition of property and equipment</w:t>
            </w: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2,324</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1,832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Share-based compensation</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10,996</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9,430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Excess tax benefit from share-based compensation</w:t>
            </w:r>
          </w:p>
        </w:tc>
        <w:tc>
          <w:tcPr>
            <w:tcW w:w="22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(1,961)</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(1,921)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Changes in assets and liabilities: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Inventories</w:t>
            </w: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9,136</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10,543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current assets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(3,882)</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(2,263)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Accounts payable</w:t>
            </w:r>
          </w:p>
        </w:tc>
        <w:tc>
          <w:tcPr>
            <w:tcW w:w="22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(28,539)</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(12,023)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Other current liabilities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(16,550)</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18,699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Other long-term assets and liabilities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3,213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1,461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provided by operating activities</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106,699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141,885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tcBorders>
              <w:top w:val="single" w:sz="8" w:color="CCEEFF"/>
            </w:tcBorders>
            <w:gridSpan w:val="2"/>
          </w:tcPr>
          <w:p>
            <w:pPr>
              <w:spacing w:after="0"/>
              <w:rPr>
                <w:sz w:val="20"/>
                <w:szCs w:val="20"/>
                <w:color w:val="auto"/>
              </w:rPr>
            </w:pPr>
            <w:r>
              <w:rPr>
                <w:rFonts w:ascii="Arial" w:cs="Arial" w:eastAsia="Arial" w:hAnsi="Arial"/>
                <w:sz w:val="17"/>
                <w:szCs w:val="17"/>
                <w:b w:val="1"/>
                <w:bCs w:val="1"/>
                <w:color w:val="auto"/>
              </w:rPr>
              <w:t>Cash flows from investing activities:</w:t>
            </w: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Purchase of property and equipment</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(46,178)</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(57,434)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Proceeds from sale of property and equipment</w:t>
            </w: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550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491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Proceeds from insurance recoveries of property and equipment</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668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850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Net cash used in investing activities</w:t>
            </w:r>
          </w:p>
        </w:tc>
        <w:tc>
          <w:tcPr>
            <w:tcW w:w="22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(45,188)</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(56,275)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Cash flows from financing activities:</w:t>
            </w:r>
          </w:p>
        </w:tc>
        <w:tc>
          <w:tcPr>
            <w:tcW w:w="22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Proceeds from issuance of long-term debt</w:t>
            </w: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92,600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Principal payments under long-term debt and other long-term obligations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(125,087)</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(92,704)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Proceeds from exercise of share-based compensation awards</w:t>
            </w:r>
          </w:p>
        </w:tc>
        <w:tc>
          <w:tcPr>
            <w:tcW w:w="22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5,195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16,729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Excess tax benefit from share-based compensation</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1,961</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1,921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Purchases and retirement of common stock</w:t>
            </w:r>
          </w:p>
        </w:tc>
        <w:tc>
          <w:tcPr>
            <w:tcW w:w="22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(3,570)</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(12,279)</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Deferred financing costs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(263)</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Dividends on common stock</w:t>
            </w:r>
          </w:p>
        </w:tc>
        <w:tc>
          <w:tcPr>
            <w:tcW w:w="220" w:type="dxa"/>
            <w:vAlign w:val="bottom"/>
          </w:tcPr>
          <w:p>
            <w:pPr>
              <w:spacing w:after="0"/>
              <w:rPr>
                <w:sz w:val="17"/>
                <w:szCs w:val="17"/>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(33,515)</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(16,568)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2"/>
        </w:trPr>
        <w:tc>
          <w:tcPr>
            <w:tcW w:w="20" w:type="dxa"/>
            <w:vAlign w:val="bottom"/>
            <w:vMerge w:val="continue"/>
          </w:tcPr>
          <w:p>
            <w:pPr>
              <w:spacing w:after="0"/>
              <w:rPr>
                <w:sz w:val="18"/>
                <w:szCs w:val="18"/>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cash used in financing activities</w:t>
            </w: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(155,016)</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(10,564)</w:t>
            </w: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5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(decrease) increase in cash and cash equivalents</w:t>
            </w:r>
          </w:p>
        </w:tc>
        <w:tc>
          <w:tcPr>
            <w:tcW w:w="22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(93,505)</w:t>
            </w: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75,046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Cash and cash equivalents, beginning of period</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151,962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52,274</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850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vMerge w:val="continue"/>
          </w:tcPr>
          <w:p>
            <w:pPr>
              <w:spacing w:after="0"/>
              <w:rPr>
                <w:sz w:val="21"/>
                <w:szCs w:val="21"/>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and cash equivalents, end of period</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58,457</w:t>
            </w:r>
          </w:p>
        </w:tc>
        <w:tc>
          <w:tcPr>
            <w:tcW w:w="1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127,320</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850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4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shd w:val="clear" w:color="auto" w:fill="CCEEFF"/>
          </w:tcPr>
          <w:p>
            <w:pPr>
              <w:spacing w:after="0"/>
              <w:rPr>
                <w:sz w:val="20"/>
                <w:szCs w:val="20"/>
                <w:color w:val="auto"/>
              </w:rPr>
            </w:pPr>
            <w:r>
              <w:rPr>
                <w:rFonts w:ascii="Arial" w:cs="Arial" w:eastAsia="Arial" w:hAnsi="Arial"/>
                <w:sz w:val="17"/>
                <w:szCs w:val="17"/>
                <w:b w:val="1"/>
                <w:bCs w:val="1"/>
                <w:color w:val="auto"/>
              </w:rPr>
              <w:t>Supplemental disclosures of cash flow information:</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color w:val="auto"/>
              </w:rPr>
              <w:t>Cash paid during the period for:</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Interest, net of amounts capitalized</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29,670</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29,593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Income taxes</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35,659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tcPr>
          <w:p>
            <w:pPr>
              <w:jc w:val="right"/>
              <w:ind w:right="100"/>
              <w:spacing w:after="0"/>
              <w:rPr>
                <w:sz w:val="20"/>
                <w:szCs w:val="20"/>
                <w:color w:val="auto"/>
              </w:rPr>
            </w:pPr>
            <w:r>
              <w:rPr>
                <w:rFonts w:ascii="Arial" w:cs="Arial" w:eastAsia="Arial" w:hAnsi="Arial"/>
                <w:sz w:val="17"/>
                <w:szCs w:val="17"/>
                <w:color w:val="auto"/>
              </w:rPr>
              <w:t>11,764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vMerge w:val="restart"/>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5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780" w:type="dxa"/>
            <w:vAlign w:val="bottom"/>
            <w:gridSpan w:val="2"/>
          </w:tcPr>
          <w:p>
            <w:pPr>
              <w:spacing w:after="0"/>
              <w:rPr>
                <w:sz w:val="20"/>
                <w:szCs w:val="20"/>
                <w:color w:val="auto"/>
              </w:rPr>
            </w:pPr>
            <w:r>
              <w:rPr>
                <w:rFonts w:ascii="Arial" w:cs="Arial" w:eastAsia="Arial" w:hAnsi="Arial"/>
                <w:sz w:val="17"/>
                <w:szCs w:val="17"/>
                <w:b w:val="1"/>
                <w:bCs w:val="1"/>
                <w:color w:val="auto"/>
              </w:rPr>
              <w:t>Supplemental schedule of non-cash financing activity:</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78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Change in fair value of interest rate swaps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17,493</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12,902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85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8780" w:type="dxa"/>
            <w:vAlign w:val="bottom"/>
            <w:gridSpan w:val="2"/>
          </w:tcPr>
          <w:p>
            <w:pPr>
              <w:ind w:left="140"/>
              <w:spacing w:after="0"/>
              <w:rPr>
                <w:sz w:val="20"/>
                <w:szCs w:val="20"/>
                <w:color w:val="auto"/>
              </w:rPr>
            </w:pPr>
            <w:r>
              <w:rPr>
                <w:rFonts w:ascii="Arial" w:cs="Arial" w:eastAsia="Arial" w:hAnsi="Arial"/>
                <w:sz w:val="17"/>
                <w:szCs w:val="17"/>
                <w:color w:val="auto"/>
              </w:rPr>
              <w:t>Change in deferred tax asset for interest rate swaps</w:t>
            </w: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1080" w:type="dxa"/>
            <w:vAlign w:val="bottom"/>
            <w:gridSpan w:val="2"/>
          </w:tcPr>
          <w:p>
            <w:pPr>
              <w:jc w:val="right"/>
              <w:ind w:right="80"/>
              <w:spacing w:after="0"/>
              <w:rPr>
                <w:sz w:val="20"/>
                <w:szCs w:val="20"/>
                <w:color w:val="auto"/>
              </w:rPr>
            </w:pPr>
            <w:r>
              <w:rPr>
                <w:rFonts w:ascii="Arial" w:cs="Arial" w:eastAsia="Arial" w:hAnsi="Arial"/>
                <w:sz w:val="17"/>
                <w:szCs w:val="17"/>
                <w:color w:val="auto"/>
              </w:rPr>
              <w:t>(6,711)</w:t>
            </w:r>
          </w:p>
        </w:tc>
        <w:tc>
          <w:tcPr>
            <w:tcW w:w="2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7"/>
                <w:szCs w:val="17"/>
                <w:color w:val="auto"/>
              </w:rPr>
              <w:t>(2,000)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5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Arial" w:cs="Arial" w:eastAsia="Arial" w:hAnsi="Arial"/>
          <w:sz w:val="17"/>
          <w:szCs w:val="17"/>
          <w:color w:val="auto"/>
        </w:rPr>
        <w:t>See Notes to unaudited Condensed Consolidated Financial Statements.</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6" w:name="page7"/>
    <w:bookmarkEnd w:id="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7" w:lineRule="exact"/>
        <w:rPr>
          <w:sz w:val="20"/>
          <w:szCs w:val="20"/>
          <w:color w:val="auto"/>
        </w:rPr>
      </w:pPr>
    </w:p>
    <w:p>
      <w:pPr>
        <w:ind w:left="4020"/>
        <w:spacing w:after="0"/>
        <w:rPr>
          <w:sz w:val="20"/>
          <w:szCs w:val="20"/>
          <w:color w:val="auto"/>
        </w:rPr>
      </w:pPr>
      <w:r>
        <w:rPr>
          <w:rFonts w:ascii="Arial" w:cs="Arial" w:eastAsia="Arial" w:hAnsi="Arial"/>
          <w:sz w:val="17"/>
          <w:szCs w:val="17"/>
          <w:b w:val="1"/>
          <w:bCs w:val="1"/>
          <w:u w:val="single" w:color="auto"/>
          <w:color w:val="auto"/>
        </w:rPr>
        <w:t>CRACKER BARREL OLD COUNTRY STORE, INC.</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NOTES TO CONDENSED CONSOLIDATED FINANCIAL STATEMENTS</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(In thousands, except percentages, share and per share data)</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(Unaudited)</w:t>
      </w:r>
    </w:p>
    <w:p>
      <w:pPr>
        <w:spacing w:after="0" w:line="227" w:lineRule="exact"/>
        <w:rPr>
          <w:sz w:val="20"/>
          <w:szCs w:val="20"/>
          <w:color w:val="auto"/>
        </w:rPr>
      </w:pPr>
    </w:p>
    <w:p>
      <w:pPr>
        <w:ind w:left="620" w:hanging="617"/>
        <w:spacing w:after="0"/>
        <w:tabs>
          <w:tab w:leader="none" w:pos="620" w:val="left"/>
        </w:tabs>
        <w:numPr>
          <w:ilvl w:val="0"/>
          <w:numId w:val="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Condensed Consolidated Financial Statements</w:t>
      </w:r>
    </w:p>
    <w:p>
      <w:pPr>
        <w:spacing w:after="0" w:line="249" w:lineRule="exact"/>
        <w:rPr>
          <w:sz w:val="20"/>
          <w:szCs w:val="20"/>
          <w:color w:val="auto"/>
        </w:rPr>
      </w:pPr>
    </w:p>
    <w:p>
      <w:pPr>
        <w:jc w:val="both"/>
        <w:ind w:firstLine="620"/>
        <w:spacing w:after="0" w:line="312" w:lineRule="auto"/>
        <w:rPr>
          <w:sz w:val="20"/>
          <w:szCs w:val="20"/>
          <w:color w:val="auto"/>
        </w:rPr>
      </w:pPr>
      <w:r>
        <w:rPr>
          <w:rFonts w:ascii="Arial" w:cs="Arial" w:eastAsia="Arial" w:hAnsi="Arial"/>
          <w:sz w:val="16"/>
          <w:szCs w:val="16"/>
          <w:color w:val="auto"/>
        </w:rPr>
        <w:t>Cracker Barrel Old Country Store, Inc. and its affiliates (collectively, in these Notes to Condensed Consolidated Financial Statements, the “Company”) are principally engaged in the operation and development in the United States of the Cracker Barrel Old Country Store® (“Cracker Barrel”) concept.</w:t>
      </w:r>
    </w:p>
    <w:p>
      <w:pPr>
        <w:spacing w:after="0" w:line="167"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The condensed consolidated balance sheets at May 3, 2013 and August 3, 2012 and the related condensed consolidated statements of income, comprehensive income and cash flows for the quarters and/or nine-month periods ended May 3, 2013 and April 27, 2012, have been prepared by the Company in accordance with accounting principles generally accepted in the United States of America (“GAAP”) and pursuant to the rules and regulations of the Securities and Exchange Commission (the “SEC”) without audit. In the opinion of management, all adjustments (consisting of normal and recurring items) necessary for a fair presentation of such condensed consolidated financial statements have been made. The results of operations for any interim period are not necessarily indicative of results for a full year.</w:t>
      </w:r>
    </w:p>
    <w:p>
      <w:pPr>
        <w:spacing w:after="0" w:line="210"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These condensed consolidated financial statements should be read in conjunction with the audited consolidated financial statements and notes thereto contained in the Company's Annual Report on Form 10-K for the year ended August 3, 2012 (the “2012 Form 10-K”). The accounting policies used in preparing these condensed consolidated financial statements are the same as described in the 2012 Form 10-K. References to a year in these Notes to Condensed Consolidated Financial Statements are to the Company’s fiscal year unless otherwise noted.</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 Adopted</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Presentation of Comprehensive Income</w:t>
      </w:r>
    </w:p>
    <w:p>
      <w:pPr>
        <w:spacing w:after="0" w:line="249" w:lineRule="exact"/>
        <w:rPr>
          <w:sz w:val="20"/>
          <w:szCs w:val="20"/>
          <w:color w:val="auto"/>
        </w:rPr>
      </w:pPr>
    </w:p>
    <w:p>
      <w:pPr>
        <w:jc w:val="both"/>
        <w:ind w:firstLine="620"/>
        <w:spacing w:after="0" w:line="299" w:lineRule="auto"/>
        <w:rPr>
          <w:sz w:val="20"/>
          <w:szCs w:val="20"/>
          <w:color w:val="auto"/>
        </w:rPr>
      </w:pPr>
      <w:r>
        <w:rPr>
          <w:rFonts w:ascii="Arial" w:cs="Arial" w:eastAsia="Arial" w:hAnsi="Arial"/>
          <w:sz w:val="15"/>
          <w:szCs w:val="15"/>
          <w:color w:val="auto"/>
        </w:rPr>
        <w:t>In June 2011, the Financial Accounting Standards Board (“FASB”) issued amended accounting guidance which requires companies to present total comprehensive income and its components and the components of net income in either a single continuous statement of comprehensive income or in two consecutive statements reporting net income and comprehensive income. This requirement eliminates the option to present components of comprehensive income as part of the statement of changes in shareholders’ equity. This guidance affects only the presentation of comprehensive income and does not change the components of comprehensive income. The Company adopted this accounting guidance on a retrospective basis in the first quarter of 2013 by presenting separate but consecutive statements. The adoption of this accounting guidance did not have an impact on the Company’s consolidated financial position or results of operations.</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7" w:name="page8"/>
    <w:bookmarkEnd w:id="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Recent Accounting Pronouncements Not Yet Adopted</w:t>
      </w:r>
    </w:p>
    <w:p>
      <w:pPr>
        <w:spacing w:after="0" w:line="243"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Disclosures about Offsetting Assets and Liabilities</w:t>
      </w:r>
    </w:p>
    <w:p>
      <w:pPr>
        <w:spacing w:after="0" w:line="249" w:lineRule="exact"/>
        <w:rPr>
          <w:sz w:val="20"/>
          <w:szCs w:val="20"/>
          <w:color w:val="auto"/>
        </w:rPr>
      </w:pPr>
    </w:p>
    <w:p>
      <w:pPr>
        <w:jc w:val="both"/>
        <w:ind w:firstLine="620"/>
        <w:spacing w:after="0" w:line="257" w:lineRule="auto"/>
        <w:rPr>
          <w:sz w:val="20"/>
          <w:szCs w:val="20"/>
          <w:color w:val="auto"/>
        </w:rPr>
      </w:pPr>
      <w:r>
        <w:rPr>
          <w:rFonts w:ascii="Arial" w:cs="Arial" w:eastAsia="Arial" w:hAnsi="Arial"/>
          <w:sz w:val="17"/>
          <w:szCs w:val="17"/>
          <w:color w:val="auto"/>
        </w:rPr>
        <w:t>In December 2011, the FASB issued accounting guidance which requires companies to disclose information about the nature of their rights of setoff and related arrangements associated with their financial instruments and derivative instruments to enable users of financial statements to understand the effect of those arrangements on their financial position. Each company will be required to provide both net and gross information in the notes to its financial statements for relevant assets and liabilities that are eligible for offset. In January 2013, the FASB issued additional accounting guidance which limits these disclosures to derivatives, repurchase agreements and securities lending transactions to the extent that they are offset in the financial statements or subject to an enforceable master netting arrangement or similar agreement. These disclosure requirements are effective for fiscal years beginning on or after January 1, 2013 on a retrospective basis. The Company does not expect that the adoption of these disclosure requirements in the first quarter of 2014 will have a significant impact on its consolidated financial position or results of operations.</w:t>
      </w:r>
    </w:p>
    <w:p>
      <w:pPr>
        <w:spacing w:after="0" w:line="204" w:lineRule="exact"/>
        <w:rPr>
          <w:sz w:val="20"/>
          <w:szCs w:val="20"/>
          <w:color w:val="auto"/>
        </w:rPr>
      </w:pPr>
    </w:p>
    <w:p>
      <w:pPr>
        <w:ind w:left="620"/>
        <w:spacing w:after="0"/>
        <w:rPr>
          <w:sz w:val="20"/>
          <w:szCs w:val="20"/>
          <w:color w:val="auto"/>
        </w:rPr>
      </w:pPr>
      <w:r>
        <w:rPr>
          <w:rFonts w:ascii="Arial" w:cs="Arial" w:eastAsia="Arial" w:hAnsi="Arial"/>
          <w:sz w:val="17"/>
          <w:szCs w:val="17"/>
          <w:b w:val="1"/>
          <w:bCs w:val="1"/>
          <w:color w:val="auto"/>
        </w:rPr>
        <w:t>Reporting of Amounts Reclassified Out of Accumulated Other Comprehensive Income</w:t>
      </w:r>
    </w:p>
    <w:p>
      <w:pPr>
        <w:spacing w:after="0" w:line="249" w:lineRule="exact"/>
        <w:rPr>
          <w:sz w:val="20"/>
          <w:szCs w:val="20"/>
          <w:color w:val="auto"/>
        </w:rPr>
      </w:pPr>
    </w:p>
    <w:p>
      <w:pPr>
        <w:jc w:val="both"/>
        <w:ind w:firstLine="620"/>
        <w:spacing w:after="0" w:line="275" w:lineRule="auto"/>
        <w:rPr>
          <w:sz w:val="20"/>
          <w:szCs w:val="20"/>
          <w:color w:val="auto"/>
        </w:rPr>
      </w:pPr>
      <w:r>
        <w:rPr>
          <w:rFonts w:ascii="Arial" w:cs="Arial" w:eastAsia="Arial" w:hAnsi="Arial"/>
          <w:sz w:val="16"/>
          <w:szCs w:val="16"/>
          <w:color w:val="auto"/>
        </w:rPr>
        <w:t>In February 2013, the FASB issued accounting guidance which requires companies to provide information regarding the amounts reclassified out of accumulated other comprehensive income by component. A company will be required to present, either on the face of the statement where net income is presented or in the notes, significant amounts reclassified out of accumulated other comprehensive income by the respective line items of net income but only if the amount reclassified is required by GAAP to be reclassified to net income in its entirety in the same reporting period. For other amounts that are not required under GAAP to be reclassified in their entirety to net income, a company is required to cross-reference to other disclosures required under GAAP that provide additional detail regarding those amounts. This accounting guidance is effective for fiscal years beginning after December 15, 2012 on a prospective basis. Since the guidance only affects presentation and disclosure of amounts reclassified out of accumulated other comprehensive income, the adoption of this guidance in the first quarter of 2014 is not expected to have a significant impact on the Company’s consolidated financial position or results of operations.</w:t>
      </w:r>
    </w:p>
    <w:p>
      <w:pPr>
        <w:spacing w:after="0" w:line="192" w:lineRule="exact"/>
        <w:rPr>
          <w:sz w:val="20"/>
          <w:szCs w:val="20"/>
          <w:color w:val="auto"/>
        </w:rPr>
      </w:pPr>
    </w:p>
    <w:p>
      <w:pPr>
        <w:ind w:left="620" w:hanging="617"/>
        <w:spacing w:after="0"/>
        <w:tabs>
          <w:tab w:leader="none" w:pos="620"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Fair Value Measurements</w:t>
      </w:r>
    </w:p>
    <w:p>
      <w:pPr>
        <w:spacing w:after="0" w:line="249"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color w:val="auto"/>
        </w:rPr>
        <w:t>The Company’s assets and liabilities measured at fair value on a recurring basis at May 3, 2013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color w:val="auto"/>
                <w:w w:val="89"/>
              </w:rPr>
              <w:t>Quoted Prices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color w:val="auto"/>
                <w:w w:val="99"/>
              </w:rPr>
              <w:t>in Active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color w:val="auto"/>
                <w:w w:val="94"/>
              </w:rPr>
              <w:t>Significant</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Markets for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color w:val="auto"/>
                <w:w w:val="89"/>
              </w:rPr>
              <w:t>Other</w:t>
            </w:r>
          </w:p>
        </w:tc>
        <w:tc>
          <w:tcPr>
            <w:tcW w:w="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7"/>
                <w:szCs w:val="17"/>
                <w:color w:val="auto"/>
                <w:w w:val="96"/>
              </w:rPr>
              <w:t>Significant</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Identical</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color w:val="auto"/>
                <w:w w:val="89"/>
              </w:rPr>
              <w:t>Observable</w:t>
            </w:r>
          </w:p>
        </w:tc>
        <w:tc>
          <w:tcPr>
            <w:tcW w:w="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7"/>
                <w:szCs w:val="17"/>
                <w:color w:val="auto"/>
                <w:w w:val="91"/>
              </w:rPr>
              <w:t>Unobservable</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7"/>
                <w:szCs w:val="17"/>
                <w:color w:val="auto"/>
                <w:w w:val="90"/>
              </w:rPr>
              <w:t>Assets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color w:val="auto"/>
                <w:w w:val="90"/>
              </w:rPr>
              <w:t>Inputs</w:t>
            </w:r>
          </w:p>
        </w:tc>
        <w:tc>
          <w:tcPr>
            <w:tcW w:w="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7"/>
                <w:szCs w:val="17"/>
                <w:color w:val="auto"/>
                <w:w w:val="90"/>
              </w:rPr>
              <w:t>Inputs</w:t>
            </w:r>
          </w:p>
        </w:tc>
        <w:tc>
          <w:tcPr>
            <w:tcW w:w="100" w:type="dxa"/>
            <w:vAlign w:val="bottom"/>
          </w:tcPr>
          <w:p>
            <w:pPr>
              <w:spacing w:after="0"/>
              <w:rPr>
                <w:sz w:val="17"/>
                <w:szCs w:val="17"/>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7"/>
                <w:szCs w:val="17"/>
                <w:color w:val="auto"/>
                <w:w w:val="87"/>
              </w:rPr>
              <w:t>Fair Value as</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color w:val="auto"/>
                <w:w w:val="93"/>
              </w:rPr>
              <w:t>(Level 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color w:val="auto"/>
                <w:w w:val="93"/>
              </w:rPr>
              <w:t>(Level 2)</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color w:val="auto"/>
                <w:w w:val="96"/>
              </w:rPr>
              <w:t>(Level 3)</w:t>
            </w:r>
          </w:p>
        </w:tc>
        <w:tc>
          <w:tcPr>
            <w:tcW w:w="220" w:type="dxa"/>
            <w:vAlign w:val="bottom"/>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5"/>
              </w:rPr>
              <w:t>of May 3, 2013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Cash equivalents*</w:t>
            </w:r>
          </w:p>
        </w:tc>
        <w:tc>
          <w:tcPr>
            <w:tcW w:w="19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29,766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29,766</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Deferred compensation plan assets**</w:t>
            </w:r>
          </w:p>
        </w:tc>
        <w:tc>
          <w:tcPr>
            <w:tcW w:w="1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31,046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31,046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vMerge w:val="continue"/>
          </w:tcPr>
          <w:p>
            <w:pPr>
              <w:spacing w:after="0"/>
              <w:rPr>
                <w:sz w:val="21"/>
                <w:szCs w:val="21"/>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Total assets at fair value</w:t>
            </w:r>
          </w:p>
        </w:tc>
        <w:tc>
          <w:tcPr>
            <w:tcW w:w="188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60,812</w:t>
            </w:r>
          </w:p>
        </w:tc>
        <w:tc>
          <w:tcPr>
            <w:tcW w:w="1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60,812</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4160" w:type="dxa"/>
            <w:vAlign w:val="bottom"/>
            <w:tcBorders>
              <w:top w:val="single" w:sz="8" w:color="CCEEFF"/>
            </w:tcBorders>
          </w:tcPr>
          <w:p>
            <w:pPr>
              <w:spacing w:after="0"/>
              <w:rPr>
                <w:sz w:val="17"/>
                <w:szCs w:val="17"/>
                <w:color w:val="auto"/>
              </w:rPr>
            </w:pPr>
          </w:p>
        </w:tc>
        <w:tc>
          <w:tcPr>
            <w:tcW w:w="188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swap liability (see Note 5)</w:t>
            </w:r>
          </w:p>
        </w:tc>
        <w:tc>
          <w:tcPr>
            <w:tcW w:w="188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16,888</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16,888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160" w:type="dxa"/>
            <w:vAlign w:val="bottom"/>
            <w:shd w:val="clear" w:color="auto" w:fill="CCEEFF"/>
          </w:tcPr>
          <w:p>
            <w:pPr>
              <w:spacing w:after="0"/>
              <w:rPr>
                <w:sz w:val="2"/>
                <w:szCs w:val="2"/>
                <w:color w:val="auto"/>
              </w:rPr>
            </w:pPr>
          </w:p>
        </w:tc>
        <w:tc>
          <w:tcPr>
            <w:tcW w:w="188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160" w:type="dxa"/>
            <w:vAlign w:val="bottom"/>
          </w:tcPr>
          <w:p>
            <w:pPr>
              <w:spacing w:after="0"/>
              <w:rPr>
                <w:sz w:val="20"/>
                <w:szCs w:val="20"/>
                <w:color w:val="auto"/>
              </w:rPr>
            </w:pPr>
            <w:r>
              <w:rPr>
                <w:rFonts w:ascii="Arial" w:cs="Arial" w:eastAsia="Arial" w:hAnsi="Arial"/>
                <w:sz w:val="17"/>
                <w:szCs w:val="17"/>
                <w:color w:val="auto"/>
              </w:rPr>
              <w:t>Total liabilities at fair value</w:t>
            </w:r>
          </w:p>
        </w:tc>
        <w:tc>
          <w:tcPr>
            <w:tcW w:w="18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16,888</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gridSpan w:val="2"/>
          </w:tcPr>
          <w:p>
            <w:pPr>
              <w:jc w:val="right"/>
              <w:ind w:right="100"/>
              <w:spacing w:after="0"/>
              <w:rPr>
                <w:sz w:val="20"/>
                <w:szCs w:val="20"/>
                <w:color w:val="auto"/>
              </w:rPr>
            </w:pPr>
            <w:r>
              <w:rPr>
                <w:rFonts w:ascii="Arial" w:cs="Arial" w:eastAsia="Arial" w:hAnsi="Arial"/>
                <w:sz w:val="17"/>
                <w:szCs w:val="17"/>
                <w:color w:val="auto"/>
              </w:rPr>
              <w:t>16,888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1880" w:type="dxa"/>
            <w:vAlign w:val="bottom"/>
            <w:vMerge w:val="restart"/>
          </w:tcPr>
          <w:p>
            <w:pPr>
              <w:jc w:val="right"/>
              <w:ind w:right="243"/>
              <w:spacing w:after="0"/>
              <w:rPr>
                <w:sz w:val="20"/>
                <w:szCs w:val="20"/>
                <w:color w:val="auto"/>
              </w:rPr>
            </w:pPr>
            <w:r>
              <w:rPr>
                <w:rFonts w:ascii="Arial" w:cs="Arial" w:eastAsia="Arial" w:hAnsi="Arial"/>
                <w:sz w:val="14"/>
                <w:szCs w:val="14"/>
                <w:color w:val="auto"/>
              </w:rPr>
              <w:t>8</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20" w:type="dxa"/>
            <w:vAlign w:val="bottom"/>
          </w:tcPr>
          <w:p>
            <w:pPr>
              <w:spacing w:after="0"/>
              <w:rPr>
                <w:sz w:val="24"/>
                <w:szCs w:val="24"/>
                <w:color w:val="auto"/>
              </w:rPr>
            </w:pPr>
          </w:p>
        </w:tc>
        <w:tc>
          <w:tcPr>
            <w:tcW w:w="4160" w:type="dxa"/>
            <w:vAlign w:val="bottom"/>
          </w:tcPr>
          <w:p>
            <w:pPr>
              <w:spacing w:after="0"/>
              <w:rPr>
                <w:sz w:val="24"/>
                <w:szCs w:val="24"/>
                <w:color w:val="auto"/>
              </w:rPr>
            </w:pPr>
          </w:p>
        </w:tc>
        <w:tc>
          <w:tcPr>
            <w:tcW w:w="188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160" w:type="dxa"/>
            <w:vAlign w:val="bottom"/>
            <w:tcBorders>
              <w:bottom w:val="single" w:sz="8" w:color="808080"/>
            </w:tcBorders>
          </w:tcPr>
          <w:p>
            <w:pPr>
              <w:spacing w:after="0"/>
              <w:rPr>
                <w:sz w:val="8"/>
                <w:szCs w:val="8"/>
                <w:color w:val="auto"/>
              </w:rPr>
            </w:pPr>
          </w:p>
        </w:tc>
        <w:tc>
          <w:tcPr>
            <w:tcW w:w="188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240" w:type="dxa"/>
            <w:vAlign w:val="bottom"/>
            <w:tcBorders>
              <w:bottom w:val="single" w:sz="8" w:color="808080"/>
            </w:tcBorders>
          </w:tcPr>
          <w:p>
            <w:pPr>
              <w:spacing w:after="0"/>
              <w:rPr>
                <w:sz w:val="8"/>
                <w:szCs w:val="8"/>
                <w:color w:val="auto"/>
              </w:rPr>
            </w:pPr>
          </w:p>
        </w:tc>
        <w:tc>
          <w:tcPr>
            <w:tcW w:w="80" w:type="dxa"/>
            <w:vAlign w:val="bottom"/>
            <w:tcBorders>
              <w:bottom w:val="single" w:sz="8" w:color="808080"/>
            </w:tcBorders>
          </w:tcPr>
          <w:p>
            <w:pPr>
              <w:spacing w:after="0"/>
              <w:rPr>
                <w:sz w:val="8"/>
                <w:szCs w:val="8"/>
                <w:color w:val="auto"/>
              </w:rPr>
            </w:pPr>
          </w:p>
        </w:tc>
        <w:tc>
          <w:tcPr>
            <w:tcW w:w="10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102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161"/>
        </w:trPr>
        <w:tc>
          <w:tcPr>
            <w:tcW w:w="60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1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4"/>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540" w:type="dxa"/>
            <w:vAlign w:val="bottom"/>
            <w:gridSpan w:val="7"/>
          </w:tcPr>
          <w:p>
            <w:pPr>
              <w:ind w:left="320"/>
              <w:spacing w:after="0"/>
              <w:rPr>
                <w:sz w:val="20"/>
                <w:szCs w:val="20"/>
                <w:color w:val="auto"/>
              </w:rPr>
            </w:pPr>
            <w:r>
              <w:rPr>
                <w:rFonts w:ascii="Arial" w:cs="Arial" w:eastAsia="Arial" w:hAnsi="Arial"/>
                <w:sz w:val="17"/>
                <w:szCs w:val="17"/>
                <w:color w:val="auto"/>
                <w:w w:val="94"/>
              </w:rPr>
              <w:t>The Company’s assets and liabilities measured at fair value on a recurring basis at August 3, 2012 were as follows:</w:t>
            </w: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8"/>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60" w:type="dxa"/>
            <w:vAlign w:val="bottom"/>
          </w:tcPr>
          <w:p>
            <w:pPr>
              <w:jc w:val="center"/>
              <w:ind w:right="14"/>
              <w:spacing w:after="0"/>
              <w:rPr>
                <w:sz w:val="20"/>
                <w:szCs w:val="20"/>
                <w:color w:val="auto"/>
              </w:rPr>
            </w:pPr>
            <w:r>
              <w:rPr>
                <w:rFonts w:ascii="Arial" w:cs="Arial" w:eastAsia="Arial" w:hAnsi="Arial"/>
                <w:sz w:val="17"/>
                <w:szCs w:val="17"/>
                <w:color w:val="auto"/>
                <w:w w:val="89"/>
              </w:rPr>
              <w:t>Quoted Prices</w:t>
            </w: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4"/>
              <w:spacing w:after="0"/>
              <w:rPr>
                <w:sz w:val="20"/>
                <w:szCs w:val="20"/>
                <w:color w:val="auto"/>
              </w:rPr>
            </w:pPr>
            <w:r>
              <w:rPr>
                <w:rFonts w:ascii="Arial" w:cs="Arial" w:eastAsia="Arial" w:hAnsi="Arial"/>
                <w:sz w:val="17"/>
                <w:szCs w:val="17"/>
                <w:color w:val="auto"/>
                <w:w w:val="99"/>
              </w:rPr>
              <w:t>in Active</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color w:val="auto"/>
                <w:w w:val="94"/>
              </w:rPr>
              <w:t>Significant</w:t>
            </w: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14"/>
              <w:spacing w:after="0"/>
              <w:rPr>
                <w:sz w:val="20"/>
                <w:szCs w:val="20"/>
                <w:color w:val="auto"/>
              </w:rPr>
            </w:pPr>
            <w:r>
              <w:rPr>
                <w:rFonts w:ascii="Arial" w:cs="Arial" w:eastAsia="Arial" w:hAnsi="Arial"/>
                <w:sz w:val="17"/>
                <w:szCs w:val="17"/>
                <w:color w:val="auto"/>
                <w:w w:val="94"/>
              </w:rPr>
              <w:t>Markets for</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color w:val="auto"/>
                <w:w w:val="89"/>
              </w:rPr>
              <w:t>Other</w:t>
            </w:r>
          </w:p>
        </w:tc>
        <w:tc>
          <w:tcPr>
            <w:tcW w:w="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7"/>
                <w:szCs w:val="17"/>
                <w:color w:val="auto"/>
                <w:w w:val="96"/>
              </w:rPr>
              <w:t>Significant</w:t>
            </w:r>
          </w:p>
        </w:tc>
        <w:tc>
          <w:tcPr>
            <w:tcW w:w="14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54"/>
              <w:spacing w:after="0"/>
              <w:rPr>
                <w:sz w:val="20"/>
                <w:szCs w:val="20"/>
                <w:color w:val="auto"/>
              </w:rPr>
            </w:pPr>
            <w:r>
              <w:rPr>
                <w:rFonts w:ascii="Arial" w:cs="Arial" w:eastAsia="Arial" w:hAnsi="Arial"/>
                <w:sz w:val="17"/>
                <w:szCs w:val="17"/>
                <w:color w:val="auto"/>
                <w:w w:val="94"/>
              </w:rPr>
              <w:t>Identical</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color w:val="auto"/>
                <w:w w:val="89"/>
              </w:rPr>
              <w:t>Observable</w:t>
            </w:r>
          </w:p>
        </w:tc>
        <w:tc>
          <w:tcPr>
            <w:tcW w:w="80" w:type="dxa"/>
            <w:vAlign w:val="bottom"/>
          </w:tcPr>
          <w:p>
            <w:pPr>
              <w:spacing w:after="0"/>
              <w:rPr>
                <w:sz w:val="17"/>
                <w:szCs w:val="17"/>
                <w:color w:val="auto"/>
              </w:rPr>
            </w:pPr>
          </w:p>
        </w:tc>
        <w:tc>
          <w:tcPr>
            <w:tcW w:w="1280" w:type="dxa"/>
            <w:vAlign w:val="bottom"/>
            <w:gridSpan w:val="2"/>
          </w:tcPr>
          <w:p>
            <w:pPr>
              <w:jc w:val="center"/>
              <w:ind w:right="280"/>
              <w:spacing w:after="0"/>
              <w:rPr>
                <w:sz w:val="20"/>
                <w:szCs w:val="20"/>
                <w:color w:val="auto"/>
              </w:rPr>
            </w:pPr>
            <w:r>
              <w:rPr>
                <w:rFonts w:ascii="Arial" w:cs="Arial" w:eastAsia="Arial" w:hAnsi="Arial"/>
                <w:sz w:val="17"/>
                <w:szCs w:val="17"/>
                <w:color w:val="auto"/>
                <w:w w:val="91"/>
              </w:rPr>
              <w:t>Unobservable</w:t>
            </w:r>
          </w:p>
        </w:tc>
        <w:tc>
          <w:tcPr>
            <w:tcW w:w="140" w:type="dxa"/>
            <w:vAlign w:val="bottom"/>
          </w:tcPr>
          <w:p>
            <w:pPr>
              <w:spacing w:after="0"/>
              <w:rPr>
                <w:sz w:val="17"/>
                <w:szCs w:val="17"/>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7"/>
                <w:szCs w:val="17"/>
                <w:color w:val="auto"/>
                <w:w w:val="93"/>
              </w:rPr>
              <w:t>Fair Value as</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center"/>
              <w:ind w:right="74"/>
              <w:spacing w:after="0"/>
              <w:rPr>
                <w:sz w:val="20"/>
                <w:szCs w:val="20"/>
                <w:color w:val="auto"/>
              </w:rPr>
            </w:pPr>
            <w:r>
              <w:rPr>
                <w:rFonts w:ascii="Arial" w:cs="Arial" w:eastAsia="Arial" w:hAnsi="Arial"/>
                <w:sz w:val="17"/>
                <w:szCs w:val="17"/>
                <w:color w:val="auto"/>
                <w:w w:val="90"/>
              </w:rPr>
              <w:t>Assets</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60" w:type="dxa"/>
            <w:vAlign w:val="bottom"/>
            <w:gridSpan w:val="2"/>
          </w:tcPr>
          <w:p>
            <w:pPr>
              <w:jc w:val="center"/>
              <w:ind w:right="360"/>
              <w:spacing w:after="0"/>
              <w:rPr>
                <w:sz w:val="20"/>
                <w:szCs w:val="20"/>
                <w:color w:val="auto"/>
              </w:rPr>
            </w:pPr>
            <w:r>
              <w:rPr>
                <w:rFonts w:ascii="Arial" w:cs="Arial" w:eastAsia="Arial" w:hAnsi="Arial"/>
                <w:sz w:val="17"/>
                <w:szCs w:val="17"/>
                <w:color w:val="auto"/>
                <w:w w:val="90"/>
              </w:rPr>
              <w:t>Inputs</w:t>
            </w:r>
          </w:p>
        </w:tc>
        <w:tc>
          <w:tcPr>
            <w:tcW w:w="80" w:type="dxa"/>
            <w:vAlign w:val="bottom"/>
          </w:tcPr>
          <w:p>
            <w:pPr>
              <w:spacing w:after="0"/>
              <w:rPr>
                <w:sz w:val="17"/>
                <w:szCs w:val="17"/>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7"/>
                <w:szCs w:val="17"/>
                <w:color w:val="auto"/>
                <w:w w:val="90"/>
              </w:rPr>
              <w:t>Inputs</w:t>
            </w:r>
          </w:p>
        </w:tc>
        <w:tc>
          <w:tcPr>
            <w:tcW w:w="14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of August 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74"/>
              <w:spacing w:after="0"/>
              <w:rPr>
                <w:sz w:val="20"/>
                <w:szCs w:val="20"/>
                <w:color w:val="auto"/>
              </w:rPr>
            </w:pPr>
            <w:r>
              <w:rPr>
                <w:rFonts w:ascii="Arial" w:cs="Arial" w:eastAsia="Arial" w:hAnsi="Arial"/>
                <w:sz w:val="17"/>
                <w:szCs w:val="17"/>
                <w:color w:val="auto"/>
                <w:w w:val="93"/>
              </w:rPr>
              <w:t>(Level 1)</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34"/>
              <w:spacing w:after="0"/>
              <w:rPr>
                <w:sz w:val="20"/>
                <w:szCs w:val="20"/>
                <w:color w:val="auto"/>
              </w:rPr>
            </w:pPr>
            <w:r>
              <w:rPr>
                <w:rFonts w:ascii="Arial" w:cs="Arial" w:eastAsia="Arial" w:hAnsi="Arial"/>
                <w:sz w:val="17"/>
                <w:szCs w:val="17"/>
                <w:color w:val="auto"/>
                <w:w w:val="93"/>
              </w:rPr>
              <w:t>(Level 2)</w:t>
            </w:r>
          </w:p>
        </w:tc>
        <w:tc>
          <w:tcPr>
            <w:tcW w:w="24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14"/>
              <w:spacing w:after="0"/>
              <w:rPr>
                <w:sz w:val="20"/>
                <w:szCs w:val="20"/>
                <w:color w:val="auto"/>
              </w:rPr>
            </w:pPr>
            <w:r>
              <w:rPr>
                <w:rFonts w:ascii="Arial" w:cs="Arial" w:eastAsia="Arial" w:hAnsi="Arial"/>
                <w:sz w:val="17"/>
                <w:szCs w:val="17"/>
                <w:color w:val="auto"/>
                <w:w w:val="96"/>
              </w:rPr>
              <w:t>(Level 3)</w:t>
            </w:r>
          </w:p>
        </w:tc>
        <w:tc>
          <w:tcPr>
            <w:tcW w:w="2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104,531</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104,531</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gridSpan w:val="2"/>
          </w:tcPr>
          <w:p>
            <w:pPr>
              <w:spacing w:after="0"/>
              <w:rPr>
                <w:sz w:val="20"/>
                <w:szCs w:val="20"/>
                <w:color w:val="auto"/>
              </w:rPr>
            </w:pPr>
            <w:r>
              <w:rPr>
                <w:rFonts w:ascii="Arial" w:cs="Arial" w:eastAsia="Arial" w:hAnsi="Arial"/>
                <w:sz w:val="17"/>
                <w:szCs w:val="17"/>
                <w:color w:val="auto"/>
              </w:rPr>
              <w:t>Deferred compensation plan assets**</w:t>
            </w:r>
          </w:p>
        </w:tc>
        <w:tc>
          <w:tcPr>
            <w:tcW w:w="10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29,443</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29,443</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tcPr>
          <w:p>
            <w:pPr>
              <w:spacing w:after="0"/>
              <w:rPr>
                <w:sz w:val="2"/>
                <w:szCs w:val="2"/>
                <w:color w:val="auto"/>
              </w:rPr>
            </w:pPr>
          </w:p>
        </w:tc>
        <w:tc>
          <w:tcPr>
            <w:tcW w:w="57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6"/>
        </w:trPr>
        <w:tc>
          <w:tcPr>
            <w:tcW w:w="20" w:type="dxa"/>
            <w:vAlign w:val="bottom"/>
            <w:vMerge w:val="continue"/>
          </w:tcPr>
          <w:p>
            <w:pPr>
              <w:spacing w:after="0"/>
              <w:rPr>
                <w:sz w:val="21"/>
                <w:szCs w:val="21"/>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Total assets at fair value</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133,974</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21"/>
                <w:szCs w:val="21"/>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133,974</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5760" w:type="dxa"/>
            <w:vAlign w:val="bottom"/>
            <w:tcBorders>
              <w:top w:val="single" w:sz="8" w:color="CCEEFF"/>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106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Interest rate swap liability (see Note 5)</w:t>
            </w:r>
          </w:p>
        </w:tc>
        <w:tc>
          <w:tcPr>
            <w:tcW w:w="10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34,381</w:t>
            </w:r>
          </w:p>
        </w:tc>
        <w:tc>
          <w:tcPr>
            <w:tcW w:w="24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34,381</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576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102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gridSpan w:val="2"/>
          </w:tcPr>
          <w:p>
            <w:pPr>
              <w:spacing w:after="0"/>
              <w:rPr>
                <w:sz w:val="20"/>
                <w:szCs w:val="20"/>
                <w:color w:val="auto"/>
              </w:rPr>
            </w:pPr>
            <w:r>
              <w:rPr>
                <w:rFonts w:ascii="Arial" w:cs="Arial" w:eastAsia="Arial" w:hAnsi="Arial"/>
                <w:sz w:val="17"/>
                <w:szCs w:val="17"/>
                <w:color w:val="auto"/>
              </w:rPr>
              <w:t>Total liabilities at fair value</w:t>
            </w: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34,381</w:t>
            </w:r>
          </w:p>
        </w:tc>
        <w:tc>
          <w:tcPr>
            <w:tcW w:w="24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7"/>
                <w:szCs w:val="17"/>
                <w:color w:val="auto"/>
              </w:rPr>
              <w:t>--</w:t>
            </w:r>
          </w:p>
        </w:tc>
        <w:tc>
          <w:tcPr>
            <w:tcW w:w="22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gridSpan w:val="2"/>
          </w:tcPr>
          <w:p>
            <w:pPr>
              <w:jc w:val="right"/>
              <w:ind w:right="100"/>
              <w:spacing w:after="0"/>
              <w:rPr>
                <w:sz w:val="20"/>
                <w:szCs w:val="20"/>
                <w:color w:val="auto"/>
              </w:rPr>
            </w:pPr>
            <w:r>
              <w:rPr>
                <w:rFonts w:ascii="Arial" w:cs="Arial" w:eastAsia="Arial" w:hAnsi="Arial"/>
                <w:sz w:val="17"/>
                <w:szCs w:val="17"/>
                <w:color w:val="auto"/>
              </w:rPr>
              <w:t>34,381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7"/>
          <w:szCs w:val="17"/>
          <w:color w:val="auto"/>
        </w:rPr>
        <w:t>*Consists of money market fund investments.</w:t>
      </w:r>
    </w:p>
    <w:p>
      <w:pPr>
        <w:spacing w:after="0" w:line="22"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**Represents plan assets invested in mutual funds established under a Rabbi Trust for the Company’s non-qualified savings plan and is included in the Consolidated Balance Sheets as other assets.</w:t>
      </w:r>
    </w:p>
    <w:p>
      <w:pPr>
        <w:spacing w:after="0" w:line="200"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The Company’s money market fund investments and deferred compensation plan assets are measured at fair value using quoted market prices. The fair value of the Company’s interest rate swap liabilities is determined based on the present value of expected future cash flows. Since the values of the Company’s interest rate swaps are based on the LIBOR forward curve, which is observable at commonly quoted intervals for the full terms of the swaps, it is considered a Level 2 input. Non-performance risk is reflected in determining the fair value of the interest rate swaps by using the Company’s credit spread less the risk-free interest rate, both of which are observable at commonly quoted intervals for the terms of the swaps. Thus, the adjustment for non-performance risk is also considered a Level 2 input.</w:t>
      </w:r>
    </w:p>
    <w:p>
      <w:pPr>
        <w:spacing w:after="0" w:line="210"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 fair values of the Company’s accounts receivable and accounts payable approximate their carrying amounts because of their short duration. The fair value of the Company’s variable rate debt, based on quoted market prices, which are considered Level 1 inputs, approximates its carrying amount at May 3, 2013 and August 3, 2012.</w:t>
      </w:r>
    </w:p>
    <w:p>
      <w:pPr>
        <w:spacing w:after="0" w:line="196" w:lineRule="exact"/>
        <w:rPr>
          <w:sz w:val="20"/>
          <w:szCs w:val="20"/>
          <w:color w:val="auto"/>
        </w:rPr>
      </w:pPr>
    </w:p>
    <w:p>
      <w:pPr>
        <w:ind w:left="620" w:hanging="617"/>
        <w:spacing w:after="0"/>
        <w:tabs>
          <w:tab w:leader="none" w:pos="620" w:val="left"/>
        </w:tabs>
        <w:numPr>
          <w:ilvl w:val="0"/>
          <w:numId w:val="6"/>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Inventories</w:t>
      </w:r>
    </w:p>
    <w:p>
      <w:pPr>
        <w:spacing w:after="0" w:line="249" w:lineRule="exact"/>
        <w:rPr>
          <w:rFonts w:ascii="Arial" w:cs="Arial" w:eastAsia="Arial" w:hAnsi="Arial"/>
          <w:sz w:val="17"/>
          <w:szCs w:val="17"/>
          <w:b w:val="1"/>
          <w:bCs w:val="1"/>
          <w:color w:val="auto"/>
        </w:rPr>
      </w:pPr>
    </w:p>
    <w:p>
      <w:pPr>
        <w:ind w:left="620"/>
        <w:spacing w:after="0"/>
        <w:rPr>
          <w:rFonts w:ascii="Arial" w:cs="Arial" w:eastAsia="Arial" w:hAnsi="Arial"/>
          <w:sz w:val="17"/>
          <w:szCs w:val="17"/>
          <w:b w:val="1"/>
          <w:bCs w:val="1"/>
          <w:color w:val="auto"/>
        </w:rPr>
      </w:pPr>
      <w:r>
        <w:rPr>
          <w:rFonts w:ascii="Arial" w:cs="Arial" w:eastAsia="Arial" w:hAnsi="Arial"/>
          <w:sz w:val="17"/>
          <w:szCs w:val="17"/>
          <w:color w:val="auto"/>
        </w:rPr>
        <w:t>Inventories were comprised of the following at:</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88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May 3, 2013</w:t>
            </w:r>
          </w:p>
        </w:tc>
        <w:tc>
          <w:tcPr>
            <w:tcW w:w="200" w:type="dxa"/>
            <w:vAlign w:val="bottom"/>
          </w:tcPr>
          <w:p>
            <w:pPr>
              <w:spacing w:after="0"/>
              <w:rPr>
                <w:sz w:val="19"/>
                <w:szCs w:val="19"/>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2"/>
              </w:rPr>
              <w:t>August 3, 2012</w:t>
            </w:r>
          </w:p>
        </w:tc>
        <w:tc>
          <w:tcPr>
            <w:tcW w:w="10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Retail</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98,110</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108,846</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4240" w:type="dxa"/>
            <w:vAlign w:val="bottom"/>
            <w:gridSpan w:val="2"/>
          </w:tcPr>
          <w:p>
            <w:pPr>
              <w:spacing w:after="0"/>
              <w:rPr>
                <w:sz w:val="20"/>
                <w:szCs w:val="20"/>
                <w:color w:val="auto"/>
              </w:rPr>
            </w:pPr>
            <w:r>
              <w:rPr>
                <w:rFonts w:ascii="Arial" w:cs="Arial" w:eastAsia="Arial" w:hAnsi="Arial"/>
                <w:sz w:val="17"/>
                <w:szCs w:val="17"/>
                <w:color w:val="auto"/>
              </w:rPr>
              <w:t>Restaurant</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21,185</w:t>
            </w: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19,728</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Supplies</w:t>
            </w: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14,836</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14,693</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20" w:type="dxa"/>
            <w:vAlign w:val="bottom"/>
          </w:tcPr>
          <w:p>
            <w:pPr>
              <w:spacing w:after="0"/>
              <w:rPr>
                <w:sz w:val="17"/>
                <w:szCs w:val="17"/>
                <w:color w:val="auto"/>
              </w:rPr>
            </w:pPr>
          </w:p>
        </w:tc>
        <w:tc>
          <w:tcPr>
            <w:tcW w:w="4240" w:type="dxa"/>
            <w:vAlign w:val="bottom"/>
            <w:gridSpan w:val="2"/>
          </w:tcPr>
          <w:p>
            <w:pPr>
              <w:ind w:left="160"/>
              <w:spacing w:after="0"/>
              <w:rPr>
                <w:sz w:val="20"/>
                <w:szCs w:val="20"/>
                <w:color w:val="auto"/>
              </w:rPr>
            </w:pPr>
            <w:r>
              <w:rPr>
                <w:rFonts w:ascii="Arial" w:cs="Arial" w:eastAsia="Arial" w:hAnsi="Arial"/>
                <w:sz w:val="17"/>
                <w:szCs w:val="17"/>
                <w:color w:val="auto"/>
              </w:rPr>
              <w:t>Total</w:t>
            </w:r>
          </w:p>
        </w:tc>
        <w:tc>
          <w:tcPr>
            <w:tcW w:w="19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134,131</w:t>
            </w:r>
          </w:p>
        </w:tc>
        <w:tc>
          <w:tcPr>
            <w:tcW w:w="320" w:type="dxa"/>
            <w:vAlign w:val="bottom"/>
          </w:tcPr>
          <w:p>
            <w:pPr>
              <w:jc w:val="right"/>
              <w:ind w:right="161"/>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143,267</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vMerge w:val="restart"/>
          </w:tcPr>
          <w:p>
            <w:pPr>
              <w:jc w:val="right"/>
              <w:ind w:right="394"/>
              <w:spacing w:after="0"/>
              <w:rPr>
                <w:sz w:val="20"/>
                <w:szCs w:val="20"/>
                <w:color w:val="auto"/>
              </w:rPr>
            </w:pPr>
            <w:r>
              <w:rPr>
                <w:rFonts w:ascii="Arial" w:cs="Arial" w:eastAsia="Arial" w:hAnsi="Arial"/>
                <w:sz w:val="17"/>
                <w:szCs w:val="17"/>
                <w:b w:val="1"/>
                <w:bCs w:val="1"/>
                <w:color w:val="auto"/>
                <w:w w:val="84"/>
              </w:rPr>
              <w:t>4.</w:t>
            </w:r>
          </w:p>
        </w:tc>
        <w:tc>
          <w:tcPr>
            <w:tcW w:w="360" w:type="dxa"/>
            <w:vAlign w:val="bottom"/>
            <w:vMerge w:val="restart"/>
          </w:tcPr>
          <w:p>
            <w:pPr>
              <w:spacing w:after="0"/>
              <w:rPr>
                <w:sz w:val="20"/>
                <w:szCs w:val="20"/>
                <w:color w:val="auto"/>
              </w:rPr>
            </w:pPr>
            <w:r>
              <w:rPr>
                <w:rFonts w:ascii="Arial" w:cs="Arial" w:eastAsia="Arial" w:hAnsi="Arial"/>
                <w:sz w:val="17"/>
                <w:szCs w:val="17"/>
                <w:b w:val="1"/>
                <w:bCs w:val="1"/>
                <w:color w:val="auto"/>
                <w:w w:val="89"/>
              </w:rPr>
              <w:t>Debt</w:t>
            </w:r>
          </w:p>
        </w:tc>
        <w:tc>
          <w:tcPr>
            <w:tcW w:w="3880" w:type="dxa"/>
            <w:vAlign w:val="bottom"/>
            <w:vMerge w:val="restart"/>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7"/>
        </w:trPr>
        <w:tc>
          <w:tcPr>
            <w:tcW w:w="620" w:type="dxa"/>
            <w:vAlign w:val="bottom"/>
            <w:vMerge w:val="continue"/>
          </w:tcPr>
          <w:p>
            <w:pPr>
              <w:spacing w:after="0"/>
              <w:rPr>
                <w:sz w:val="24"/>
                <w:szCs w:val="24"/>
                <w:color w:val="auto"/>
              </w:rPr>
            </w:pPr>
          </w:p>
        </w:tc>
        <w:tc>
          <w:tcPr>
            <w:tcW w:w="360" w:type="dxa"/>
            <w:vAlign w:val="bottom"/>
            <w:tcBorders>
              <w:bottom w:val="single" w:sz="8" w:color="auto"/>
            </w:tcBorders>
            <w:vMerge w:val="continue"/>
          </w:tcPr>
          <w:p>
            <w:pPr>
              <w:spacing w:after="0"/>
              <w:rPr>
                <w:sz w:val="24"/>
                <w:szCs w:val="24"/>
                <w:color w:val="auto"/>
              </w:rPr>
            </w:pPr>
          </w:p>
        </w:tc>
        <w:tc>
          <w:tcPr>
            <w:tcW w:w="3880" w:type="dxa"/>
            <w:vAlign w:val="bottom"/>
            <w:vMerge w:val="continue"/>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6"/>
        </w:trPr>
        <w:tc>
          <w:tcPr>
            <w:tcW w:w="620" w:type="dxa"/>
            <w:vAlign w:val="bottom"/>
          </w:tcPr>
          <w:p>
            <w:pPr>
              <w:spacing w:after="0"/>
              <w:rPr>
                <w:sz w:val="24"/>
                <w:szCs w:val="24"/>
                <w:color w:val="auto"/>
              </w:rPr>
            </w:pPr>
          </w:p>
        </w:tc>
        <w:tc>
          <w:tcPr>
            <w:tcW w:w="4240" w:type="dxa"/>
            <w:vAlign w:val="bottom"/>
            <w:gridSpan w:val="2"/>
          </w:tcPr>
          <w:p>
            <w:pPr>
              <w:spacing w:after="0"/>
              <w:rPr>
                <w:sz w:val="20"/>
                <w:szCs w:val="20"/>
                <w:color w:val="auto"/>
              </w:rPr>
            </w:pPr>
            <w:r>
              <w:rPr>
                <w:rFonts w:ascii="Arial" w:cs="Arial" w:eastAsia="Arial" w:hAnsi="Arial"/>
                <w:sz w:val="17"/>
                <w:szCs w:val="17"/>
                <w:color w:val="auto"/>
              </w:rPr>
              <w:t>Long-term debt consisted of the following at:</w:t>
            </w:r>
          </w:p>
        </w:tc>
        <w:tc>
          <w:tcPr>
            <w:tcW w:w="1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rPr>
              <w:t>May 3, 2013</w:t>
            </w:r>
          </w:p>
        </w:tc>
        <w:tc>
          <w:tcPr>
            <w:tcW w:w="200" w:type="dxa"/>
            <w:vAlign w:val="bottom"/>
          </w:tcPr>
          <w:p>
            <w:pPr>
              <w:spacing w:after="0"/>
              <w:rPr>
                <w:sz w:val="24"/>
                <w:szCs w:val="24"/>
                <w:color w:val="auto"/>
              </w:rPr>
            </w:pPr>
          </w:p>
        </w:tc>
        <w:tc>
          <w:tcPr>
            <w:tcW w:w="112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2"/>
              </w:rPr>
              <w:t>August 3, 2012</w:t>
            </w: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Revolving credit facility expiring on July 8, 2016</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212,500</w:t>
            </w:r>
          </w:p>
        </w:tc>
        <w:tc>
          <w:tcPr>
            <w:tcW w:w="320" w:type="dxa"/>
            <w:vAlign w:val="bottom"/>
            <w:shd w:val="clear" w:color="auto" w:fill="CCEEFF"/>
          </w:tcPr>
          <w:p>
            <w:pPr>
              <w:jc w:val="right"/>
              <w:ind w:right="161"/>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312,500</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4240" w:type="dxa"/>
            <w:vAlign w:val="bottom"/>
            <w:gridSpan w:val="2"/>
          </w:tcPr>
          <w:p>
            <w:pPr>
              <w:spacing w:after="0"/>
              <w:rPr>
                <w:sz w:val="20"/>
                <w:szCs w:val="20"/>
                <w:color w:val="auto"/>
              </w:rPr>
            </w:pPr>
            <w:r>
              <w:rPr>
                <w:rFonts w:ascii="Arial" w:cs="Arial" w:eastAsia="Arial" w:hAnsi="Arial"/>
                <w:sz w:val="17"/>
                <w:szCs w:val="17"/>
                <w:color w:val="auto"/>
              </w:rPr>
              <w:t>Term loan payable on or before July 8, 2016</w:t>
            </w: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187,500</w:t>
            </w: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212,500</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620" w:type="dxa"/>
            <w:vAlign w:val="bottom"/>
          </w:tcPr>
          <w:p>
            <w:pPr>
              <w:spacing w:after="0"/>
              <w:rPr>
                <w:sz w:val="18"/>
                <w:szCs w:val="18"/>
                <w:color w:val="auto"/>
              </w:rPr>
            </w:pPr>
          </w:p>
        </w:tc>
        <w:tc>
          <w:tcPr>
            <w:tcW w:w="424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7"/>
                <w:szCs w:val="17"/>
                <w:color w:val="auto"/>
              </w:rPr>
              <w:t>Note payable</w:t>
            </w:r>
          </w:p>
        </w:tc>
        <w:tc>
          <w:tcPr>
            <w:tcW w:w="19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63</w:t>
            </w:r>
          </w:p>
        </w:tc>
        <w:tc>
          <w:tcPr>
            <w:tcW w:w="2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142</w:t>
            </w:r>
          </w:p>
        </w:tc>
        <w:tc>
          <w:tcPr>
            <w:tcW w:w="100" w:type="dxa"/>
            <w:vAlign w:val="bottom"/>
            <w:tcBorders>
              <w:bottom w:val="single" w:sz="8" w:color="CCEEFF"/>
            </w:tcBorders>
            <w:shd w:val="clear" w:color="auto" w:fill="CCEEFF"/>
          </w:tcPr>
          <w:p>
            <w:pPr>
              <w:spacing w:after="0"/>
              <w:rPr>
                <w:sz w:val="18"/>
                <w:szCs w:val="18"/>
                <w:color w:val="auto"/>
              </w:rPr>
            </w:pPr>
          </w:p>
        </w:tc>
        <w:tc>
          <w:tcPr>
            <w:tcW w:w="2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400,063</w:t>
            </w:r>
          </w:p>
        </w:tc>
        <w:tc>
          <w:tcPr>
            <w:tcW w:w="320" w:type="dxa"/>
            <w:vAlign w:val="bottom"/>
          </w:tcPr>
          <w:p>
            <w:pPr>
              <w:spacing w:after="0"/>
              <w:rPr>
                <w:sz w:val="17"/>
                <w:szCs w:val="17"/>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525,142</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20" w:type="dxa"/>
            <w:vAlign w:val="bottom"/>
          </w:tcPr>
          <w:p>
            <w:pPr>
              <w:spacing w:after="0"/>
              <w:rPr>
                <w:sz w:val="17"/>
                <w:szCs w:val="17"/>
                <w:color w:val="auto"/>
              </w:rPr>
            </w:pPr>
          </w:p>
        </w:tc>
        <w:tc>
          <w:tcPr>
            <w:tcW w:w="42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Current maturities</w:t>
            </w:r>
          </w:p>
        </w:tc>
        <w:tc>
          <w:tcPr>
            <w:tcW w:w="1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(63)</w:t>
            </w:r>
          </w:p>
        </w:tc>
        <w:tc>
          <w:tcPr>
            <w:tcW w:w="32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(106)</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
        </w:trPr>
        <w:tc>
          <w:tcPr>
            <w:tcW w:w="620" w:type="dxa"/>
            <w:vAlign w:val="bottom"/>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900" w:type="dxa"/>
            <w:vAlign w:val="bottom"/>
            <w:shd w:val="clear" w:color="auto" w:fill="CCEEFF"/>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620" w:type="dxa"/>
            <w:vAlign w:val="bottom"/>
          </w:tcPr>
          <w:p>
            <w:pPr>
              <w:spacing w:after="0"/>
              <w:rPr>
                <w:sz w:val="17"/>
                <w:szCs w:val="17"/>
                <w:color w:val="auto"/>
              </w:rPr>
            </w:pPr>
          </w:p>
        </w:tc>
        <w:tc>
          <w:tcPr>
            <w:tcW w:w="4240" w:type="dxa"/>
            <w:vAlign w:val="bottom"/>
            <w:gridSpan w:val="2"/>
          </w:tcPr>
          <w:p>
            <w:pPr>
              <w:spacing w:after="0"/>
              <w:rPr>
                <w:sz w:val="20"/>
                <w:szCs w:val="20"/>
                <w:color w:val="auto"/>
              </w:rPr>
            </w:pPr>
            <w:r>
              <w:rPr>
                <w:rFonts w:ascii="Arial" w:cs="Arial" w:eastAsia="Arial" w:hAnsi="Arial"/>
                <w:sz w:val="17"/>
                <w:szCs w:val="17"/>
                <w:color w:val="auto"/>
              </w:rPr>
              <w:t>Long-term debt</w:t>
            </w:r>
          </w:p>
        </w:tc>
        <w:tc>
          <w:tcPr>
            <w:tcW w:w="190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180"/>
              <w:spacing w:after="0"/>
              <w:rPr>
                <w:sz w:val="20"/>
                <w:szCs w:val="20"/>
                <w:color w:val="auto"/>
              </w:rPr>
            </w:pPr>
            <w:r>
              <w:rPr>
                <w:rFonts w:ascii="Arial" w:cs="Arial" w:eastAsia="Arial" w:hAnsi="Arial"/>
                <w:sz w:val="17"/>
                <w:szCs w:val="17"/>
                <w:color w:val="auto"/>
              </w:rPr>
              <w:t>400,000</w:t>
            </w:r>
          </w:p>
        </w:tc>
        <w:tc>
          <w:tcPr>
            <w:tcW w:w="320" w:type="dxa"/>
            <w:vAlign w:val="bottom"/>
          </w:tcPr>
          <w:p>
            <w:pPr>
              <w:jc w:val="right"/>
              <w:ind w:right="161"/>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100"/>
              <w:spacing w:after="0"/>
              <w:rPr>
                <w:sz w:val="20"/>
                <w:szCs w:val="20"/>
                <w:color w:val="auto"/>
              </w:rPr>
            </w:pPr>
            <w:r>
              <w:rPr>
                <w:rFonts w:ascii="Arial" w:cs="Arial" w:eastAsia="Arial" w:hAnsi="Arial"/>
                <w:sz w:val="17"/>
                <w:szCs w:val="17"/>
                <w:color w:val="auto"/>
              </w:rPr>
              <w:t>525,036</w:t>
            </w:r>
          </w:p>
        </w:tc>
        <w:tc>
          <w:tcPr>
            <w:tcW w:w="2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1900" w:type="dxa"/>
            <w:vAlign w:val="bottom"/>
            <w:vMerge w:val="restart"/>
          </w:tcPr>
          <w:p>
            <w:pPr>
              <w:jc w:val="right"/>
              <w:ind w:right="940"/>
              <w:spacing w:after="0"/>
              <w:rPr>
                <w:sz w:val="20"/>
                <w:szCs w:val="20"/>
                <w:color w:val="auto"/>
              </w:rPr>
            </w:pPr>
            <w:r>
              <w:rPr>
                <w:rFonts w:ascii="Arial" w:cs="Arial" w:eastAsia="Arial" w:hAnsi="Arial"/>
                <w:sz w:val="14"/>
                <w:szCs w:val="14"/>
                <w:color w:val="auto"/>
              </w:rPr>
              <w:t>9</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620" w:type="dxa"/>
            <w:vAlign w:val="bottom"/>
            <w:tcBorders>
              <w:bottom w:val="single" w:sz="8" w:color="808080"/>
            </w:tcBorders>
          </w:tcPr>
          <w:p>
            <w:pPr>
              <w:spacing w:after="0"/>
              <w:rPr>
                <w:sz w:val="8"/>
                <w:szCs w:val="8"/>
                <w:color w:val="auto"/>
              </w:rPr>
            </w:pPr>
          </w:p>
        </w:tc>
        <w:tc>
          <w:tcPr>
            <w:tcW w:w="360" w:type="dxa"/>
            <w:vAlign w:val="bottom"/>
            <w:tcBorders>
              <w:bottom w:val="single" w:sz="8" w:color="808080"/>
            </w:tcBorders>
          </w:tcPr>
          <w:p>
            <w:pPr>
              <w:spacing w:after="0"/>
              <w:rPr>
                <w:sz w:val="8"/>
                <w:szCs w:val="8"/>
                <w:color w:val="auto"/>
              </w:rPr>
            </w:pPr>
          </w:p>
        </w:tc>
        <w:tc>
          <w:tcPr>
            <w:tcW w:w="3880" w:type="dxa"/>
            <w:vAlign w:val="bottom"/>
            <w:tcBorders>
              <w:bottom w:val="single" w:sz="8" w:color="808080"/>
            </w:tcBorders>
          </w:tcPr>
          <w:p>
            <w:pPr>
              <w:spacing w:after="0"/>
              <w:rPr>
                <w:sz w:val="8"/>
                <w:szCs w:val="8"/>
                <w:color w:val="auto"/>
              </w:rPr>
            </w:pPr>
          </w:p>
        </w:tc>
        <w:tc>
          <w:tcPr>
            <w:tcW w:w="19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9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320" w:type="dxa"/>
            <w:vAlign w:val="bottom"/>
            <w:tcBorders>
              <w:bottom w:val="single" w:sz="8" w:color="808080"/>
            </w:tcBorders>
          </w:tcPr>
          <w:p>
            <w:pPr>
              <w:spacing w:after="0"/>
              <w:rPr>
                <w:sz w:val="8"/>
                <w:szCs w:val="8"/>
                <w:color w:val="auto"/>
              </w:rPr>
            </w:pPr>
          </w:p>
        </w:tc>
        <w:tc>
          <w:tcPr>
            <w:tcW w:w="80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9" w:name="page10"/>
    <w:bookmarkEnd w:id="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3"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The Company’s $750,000 credit facility (the “Credit Facility”) consists of a term loan and a $500,000 revolving credit facility (the “Revolving Credit Facility”). At May 3, 2013, the Company had $212,500 of outstanding borrowings under the Revolving Credit Facility and $28,171 of standby letters of credit, which reduce the Company’s availability under the Revolving Credit Facility (see Note 11). At May 3, 2013, the Company had $259,329 in borrowing availability under the Revolving Credit Facility.</w:t>
      </w:r>
    </w:p>
    <w:p>
      <w:pPr>
        <w:spacing w:after="0" w:line="205"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In accordance with the Credit Facility, outstanding borrowings bear interest, at the Company’s election, either at LIBOR or prime plus a percentage point spread based on certain specified financial ratios under the Credit Facility. As of May 3, 2013, the Company’s outstanding borrowings were swapped at a weighted average interest rate of 3.98% (see Note 5 for information on the Company’s interest rate swaps).</w:t>
      </w:r>
    </w:p>
    <w:p>
      <w:pPr>
        <w:spacing w:after="0" w:line="202"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Credit Facility contains customary financial covenants, which include maintenance of a maximum consolidated total leverage ratio and a minimum consolidated interest coverage ratio. At May 3, 2013, the Company was in compliance with all debt covenants.</w:t>
      </w:r>
    </w:p>
    <w:p>
      <w:pPr>
        <w:spacing w:after="0" w:line="189" w:lineRule="exact"/>
        <w:rPr>
          <w:sz w:val="20"/>
          <w:szCs w:val="20"/>
          <w:color w:val="auto"/>
        </w:rPr>
      </w:pPr>
    </w:p>
    <w:p>
      <w:pPr>
        <w:jc w:val="both"/>
        <w:ind w:firstLine="620"/>
        <w:spacing w:after="0" w:line="278" w:lineRule="auto"/>
        <w:rPr>
          <w:sz w:val="20"/>
          <w:szCs w:val="20"/>
          <w:color w:val="auto"/>
        </w:rPr>
      </w:pPr>
      <w:r>
        <w:rPr>
          <w:rFonts w:ascii="Arial" w:cs="Arial" w:eastAsia="Arial" w:hAnsi="Arial"/>
          <w:sz w:val="16"/>
          <w:szCs w:val="16"/>
          <w:color w:val="auto"/>
        </w:rPr>
        <w:t>The Credit Facility also imposes restrictions on the amount of dividends the Company is permitted to pay. Prior to the June 3, 2013 amendment described below, if there was no default existing and the total of the Company’s availability under the Revolving Credit Facility plus the Company’s cash and cash equivalents on hand was at least $100,000 (the “liquidity requirements”), the Company could declare and pay cash dividends on shares of its common stock if the aggregate amount of dividends paid in any fiscal year was less than 20% of Consolidated EBITDA from continuing operations (as defined in the Credit Facility) (the “20% limitation”) during the immediately preceding fiscal year. In any event, as long as the liquidity requirements were met, dividends could be declared and paid in any fiscal year up to the amount of dividends permitted and paid in the preceding fiscal year without regard to the 20% limitation.</w:t>
      </w:r>
    </w:p>
    <w:p>
      <w:pPr>
        <w:spacing w:after="0" w:line="193"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Effective June 3, 2013, the Company amended the Credit Facility to provide more flexibility with regard to the dividends the Company is permitted to pay. Under the amended Credit Facility, if there is no default existing and the liquidity requirements are met, the Company may declare and pay cash dividends on shares of its common stock if the aggregate amount of dividends paid in any fiscal year is less than the sum of (1) the 20% limitation and (2) provided the Company’s consolidated total leverage ratio is 3.25 to 1.00 or less, $100,000 (less the amount of any share repurchases during the current fiscal year). In any event, as long as the liquidity requirements are met, dividends may be declared and paid in any fiscal year up to the amount of dividends permitted and paid in the preceding fiscal year without regard to the 20% limitation.</w:t>
      </w:r>
    </w:p>
    <w:p>
      <w:pPr>
        <w:spacing w:after="0" w:line="210"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 note payable consists of a five-year note with a vendor with an original principal amount of $507 and represents the financing of prepaid maintenance for telecommunications equipment. The note payable is payable in monthly installments of principal and interest of $9 through October 16, 2013 and bears interest at 2.88% per year.</w:t>
      </w:r>
    </w:p>
    <w:p>
      <w:pPr>
        <w:spacing w:after="0" w:line="196" w:lineRule="exact"/>
        <w:rPr>
          <w:sz w:val="20"/>
          <w:szCs w:val="20"/>
          <w:color w:val="auto"/>
        </w:rPr>
      </w:pPr>
    </w:p>
    <w:p>
      <w:pPr>
        <w:ind w:left="620" w:hanging="617"/>
        <w:spacing w:after="0"/>
        <w:tabs>
          <w:tab w:leader="none" w:pos="620" w:val="left"/>
        </w:tabs>
        <w:numPr>
          <w:ilvl w:val="0"/>
          <w:numId w:val="7"/>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Derivative Instruments and Hedging Activities</w:t>
      </w:r>
    </w:p>
    <w:p>
      <w:pPr>
        <w:spacing w:after="0" w:line="249" w:lineRule="exact"/>
        <w:rPr>
          <w:sz w:val="20"/>
          <w:szCs w:val="20"/>
          <w:color w:val="auto"/>
        </w:rPr>
      </w:pPr>
    </w:p>
    <w:p>
      <w:pPr>
        <w:ind w:firstLine="620"/>
        <w:spacing w:after="0" w:line="312" w:lineRule="auto"/>
        <w:rPr>
          <w:sz w:val="20"/>
          <w:szCs w:val="20"/>
          <w:color w:val="auto"/>
        </w:rPr>
      </w:pPr>
      <w:r>
        <w:rPr>
          <w:rFonts w:ascii="Arial" w:cs="Arial" w:eastAsia="Arial" w:hAnsi="Arial"/>
          <w:sz w:val="16"/>
          <w:szCs w:val="16"/>
          <w:color w:val="auto"/>
        </w:rPr>
        <w:t>The Company has interest rate risk relative to its outstanding borrowings (see Note 4). The Company’s policy has been to manage interest cost using a mix of fixed and variable rate debt. To manage this risk in a cost efficient manner, the Company uses derivative instruments, specifically interest rate swaps.</w:t>
      </w:r>
    </w:p>
    <w:p>
      <w:pPr>
        <w:spacing w:after="0" w:line="3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0" w:name="page11"/>
    <w:bookmarkEnd w:id="1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For each of the Company’s interest rate swaps, the Company has agreed to exchange with a counterparty the difference between fixed and variable interest amounts calculated by reference to an agreed-upon notional principal amount. The interest rates on the portion of the Company’s outstanding debt covered by its interest rate swaps are fixed at the rates in the table below plus the Company’s credit spread. The Company’s weighted average credit spread at May 3, 2013 was 1.75%. All of the Company’s interest rate swaps are accounted for as cash flow hedges.</w:t>
      </w:r>
    </w:p>
    <w:p>
      <w:pPr>
        <w:spacing w:after="0" w:line="205" w:lineRule="exact"/>
        <w:rPr>
          <w:sz w:val="20"/>
          <w:szCs w:val="20"/>
          <w:color w:val="auto"/>
        </w:rPr>
      </w:pPr>
    </w:p>
    <w:p>
      <w:pPr>
        <w:ind w:left="620"/>
        <w:spacing w:after="0"/>
        <w:rPr>
          <w:sz w:val="20"/>
          <w:szCs w:val="20"/>
          <w:color w:val="auto"/>
        </w:rPr>
      </w:pPr>
      <w:r>
        <w:rPr>
          <w:rFonts w:ascii="Arial" w:cs="Arial" w:eastAsia="Arial" w:hAnsi="Arial"/>
          <w:sz w:val="17"/>
          <w:szCs w:val="17"/>
          <w:color w:val="auto"/>
        </w:rPr>
        <w:t>A summary of the Company’s interest rate swaps at May 3, 2013 is as follows:</w:t>
      </w:r>
    </w:p>
    <w:p>
      <w:pPr>
        <w:spacing w:after="0" w:line="200" w:lineRule="exact"/>
        <w:rPr>
          <w:sz w:val="20"/>
          <w:szCs w:val="20"/>
          <w:color w:val="auto"/>
        </w:rPr>
      </w:pPr>
    </w:p>
    <w:p>
      <w:pPr>
        <w:spacing w:after="0" w:line="250"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3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center"/>
              <w:ind w:left="14"/>
              <w:spacing w:after="0"/>
              <w:rPr>
                <w:sz w:val="20"/>
                <w:szCs w:val="20"/>
                <w:color w:val="auto"/>
              </w:rPr>
            </w:pPr>
            <w:r>
              <w:rPr>
                <w:rFonts w:ascii="Arial" w:cs="Arial" w:eastAsia="Arial" w:hAnsi="Arial"/>
                <w:sz w:val="17"/>
                <w:szCs w:val="17"/>
                <w:color w:val="auto"/>
                <w:w w:val="90"/>
              </w:rPr>
              <w:t>Term</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ind w:left="60"/>
              <w:spacing w:after="0"/>
              <w:rPr>
                <w:sz w:val="20"/>
                <w:szCs w:val="20"/>
                <w:color w:val="auto"/>
              </w:rPr>
            </w:pPr>
            <w:r>
              <w:rPr>
                <w:rFonts w:ascii="Arial" w:cs="Arial" w:eastAsia="Arial" w:hAnsi="Arial"/>
                <w:sz w:val="17"/>
                <w:szCs w:val="17"/>
                <w:color w:val="auto"/>
              </w:rPr>
              <w:t>Notional</w:t>
            </w: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25"/>
        </w:trPr>
        <w:tc>
          <w:tcPr>
            <w:tcW w:w="3220" w:type="dxa"/>
            <w:vAlign w:val="bottom"/>
            <w:tcBorders>
              <w:bottom w:val="single" w:sz="8" w:color="auto"/>
            </w:tcBorders>
          </w:tcPr>
          <w:p>
            <w:pPr>
              <w:ind w:left="1220"/>
              <w:spacing w:after="0"/>
              <w:rPr>
                <w:sz w:val="20"/>
                <w:szCs w:val="20"/>
                <w:color w:val="auto"/>
              </w:rPr>
            </w:pPr>
            <w:r>
              <w:rPr>
                <w:rFonts w:ascii="Arial" w:cs="Arial" w:eastAsia="Arial" w:hAnsi="Arial"/>
                <w:sz w:val="17"/>
                <w:szCs w:val="17"/>
                <w:color w:val="auto"/>
              </w:rPr>
              <w:t>Trade Date</w:t>
            </w:r>
          </w:p>
        </w:tc>
        <w:tc>
          <w:tcPr>
            <w:tcW w:w="220" w:type="dxa"/>
            <w:vAlign w:val="bottom"/>
          </w:tcPr>
          <w:p>
            <w:pPr>
              <w:spacing w:after="0"/>
              <w:rPr>
                <w:sz w:val="19"/>
                <w:szCs w:val="19"/>
                <w:color w:val="auto"/>
              </w:rPr>
            </w:pPr>
          </w:p>
        </w:tc>
        <w:tc>
          <w:tcPr>
            <w:tcW w:w="1280" w:type="dxa"/>
            <w:vAlign w:val="bottom"/>
            <w:tcBorders>
              <w:bottom w:val="single" w:sz="8" w:color="auto"/>
            </w:tcBorders>
          </w:tcPr>
          <w:p>
            <w:pPr>
              <w:ind w:left="120"/>
              <w:spacing w:after="0"/>
              <w:rPr>
                <w:sz w:val="20"/>
                <w:szCs w:val="20"/>
                <w:color w:val="auto"/>
              </w:rPr>
            </w:pPr>
            <w:r>
              <w:rPr>
                <w:rFonts w:ascii="Arial" w:cs="Arial" w:eastAsia="Arial" w:hAnsi="Arial"/>
                <w:sz w:val="17"/>
                <w:szCs w:val="17"/>
                <w:color w:val="auto"/>
              </w:rPr>
              <w:t>Effective Date</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center"/>
              <w:ind w:left="14"/>
              <w:spacing w:after="0"/>
              <w:rPr>
                <w:sz w:val="20"/>
                <w:szCs w:val="20"/>
                <w:color w:val="auto"/>
              </w:rPr>
            </w:pPr>
            <w:r>
              <w:rPr>
                <w:rFonts w:ascii="Arial" w:cs="Arial" w:eastAsia="Arial" w:hAnsi="Arial"/>
                <w:sz w:val="17"/>
                <w:szCs w:val="17"/>
                <w:color w:val="auto"/>
                <w:w w:val="92"/>
              </w:rPr>
              <w:t>(in Years)</w:t>
            </w:r>
          </w:p>
        </w:tc>
        <w:tc>
          <w:tcPr>
            <w:tcW w:w="16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14"/>
              <w:spacing w:after="0"/>
              <w:rPr>
                <w:sz w:val="20"/>
                <w:szCs w:val="20"/>
                <w:color w:val="auto"/>
              </w:rPr>
            </w:pPr>
            <w:r>
              <w:rPr>
                <w:rFonts w:ascii="Arial" w:cs="Arial" w:eastAsia="Arial" w:hAnsi="Arial"/>
                <w:sz w:val="17"/>
                <w:szCs w:val="17"/>
                <w:color w:val="auto"/>
              </w:rPr>
              <w:t>Amount</w:t>
            </w:r>
          </w:p>
        </w:tc>
        <w:tc>
          <w:tcPr>
            <w:tcW w:w="180" w:type="dxa"/>
            <w:vAlign w:val="bottom"/>
          </w:tcPr>
          <w:p>
            <w:pPr>
              <w:spacing w:after="0"/>
              <w:rPr>
                <w:sz w:val="19"/>
                <w:szCs w:val="19"/>
                <w:color w:val="auto"/>
              </w:rPr>
            </w:pPr>
          </w:p>
        </w:tc>
        <w:tc>
          <w:tcPr>
            <w:tcW w:w="1120" w:type="dxa"/>
            <w:vAlign w:val="bottom"/>
            <w:tcBorders>
              <w:bottom w:val="single" w:sz="8" w:color="auto"/>
            </w:tcBorders>
          </w:tcPr>
          <w:p>
            <w:pPr>
              <w:ind w:left="160"/>
              <w:spacing w:after="0"/>
              <w:rPr>
                <w:sz w:val="20"/>
                <w:szCs w:val="20"/>
                <w:color w:val="auto"/>
              </w:rPr>
            </w:pPr>
            <w:r>
              <w:rPr>
                <w:rFonts w:ascii="Arial" w:cs="Arial" w:eastAsia="Arial" w:hAnsi="Arial"/>
                <w:sz w:val="17"/>
                <w:szCs w:val="17"/>
                <w:color w:val="auto"/>
              </w:rPr>
              <w:t>Fixed Rate</w:t>
            </w:r>
          </w:p>
        </w:tc>
        <w:tc>
          <w:tcPr>
            <w:tcW w:w="180" w:type="dxa"/>
            <w:vAlign w:val="bottom"/>
          </w:tcPr>
          <w:p>
            <w:pPr>
              <w:spacing w:after="0"/>
              <w:rPr>
                <w:sz w:val="19"/>
                <w:szCs w:val="19"/>
                <w:color w:val="auto"/>
              </w:rPr>
            </w:pPr>
          </w:p>
        </w:tc>
      </w:tr>
      <w:tr>
        <w:trPr>
          <w:trHeight w:val="206"/>
        </w:trPr>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August 10, 2010</w:t>
            </w:r>
          </w:p>
        </w:tc>
        <w:tc>
          <w:tcPr>
            <w:tcW w:w="15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May 3, 2013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200,000</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2.73%</w:t>
            </w:r>
          </w:p>
        </w:tc>
      </w:tr>
      <w:tr>
        <w:trPr>
          <w:trHeight w:val="206"/>
        </w:trPr>
        <w:tc>
          <w:tcPr>
            <w:tcW w:w="3220" w:type="dxa"/>
            <w:vAlign w:val="bottom"/>
          </w:tcPr>
          <w:p>
            <w:pPr>
              <w:spacing w:after="0"/>
              <w:rPr>
                <w:sz w:val="20"/>
                <w:szCs w:val="20"/>
                <w:color w:val="auto"/>
              </w:rPr>
            </w:pPr>
            <w:r>
              <w:rPr>
                <w:rFonts w:ascii="Arial" w:cs="Arial" w:eastAsia="Arial" w:hAnsi="Arial"/>
                <w:sz w:val="17"/>
                <w:szCs w:val="17"/>
                <w:color w:val="auto"/>
              </w:rPr>
              <w:t>July 25, 2011</w:t>
            </w:r>
          </w:p>
        </w:tc>
        <w:tc>
          <w:tcPr>
            <w:tcW w:w="1500" w:type="dxa"/>
            <w:vAlign w:val="bottom"/>
            <w:gridSpan w:val="2"/>
          </w:tcPr>
          <w:p>
            <w:pPr>
              <w:ind w:left="220"/>
              <w:spacing w:after="0"/>
              <w:rPr>
                <w:sz w:val="20"/>
                <w:szCs w:val="20"/>
                <w:color w:val="auto"/>
              </w:rPr>
            </w:pPr>
            <w:r>
              <w:rPr>
                <w:rFonts w:ascii="Arial" w:cs="Arial" w:eastAsia="Arial" w:hAnsi="Arial"/>
                <w:sz w:val="17"/>
                <w:szCs w:val="17"/>
                <w:color w:val="auto"/>
              </w:rPr>
              <w:t>May 3, 2013</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50,000</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2.00%</w:t>
            </w:r>
          </w:p>
        </w:tc>
      </w:tr>
      <w:tr>
        <w:trPr>
          <w:trHeight w:val="206"/>
        </w:trPr>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July 25, 2011</w:t>
            </w:r>
          </w:p>
        </w:tc>
        <w:tc>
          <w:tcPr>
            <w:tcW w:w="15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May 3, 2013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50,000</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2.45%</w:t>
            </w:r>
          </w:p>
        </w:tc>
      </w:tr>
      <w:tr>
        <w:trPr>
          <w:trHeight w:val="206"/>
        </w:trPr>
        <w:tc>
          <w:tcPr>
            <w:tcW w:w="3220" w:type="dxa"/>
            <w:vAlign w:val="bottom"/>
          </w:tcPr>
          <w:p>
            <w:pPr>
              <w:spacing w:after="0"/>
              <w:rPr>
                <w:sz w:val="20"/>
                <w:szCs w:val="20"/>
                <w:color w:val="auto"/>
              </w:rPr>
            </w:pPr>
            <w:r>
              <w:rPr>
                <w:rFonts w:ascii="Arial" w:cs="Arial" w:eastAsia="Arial" w:hAnsi="Arial"/>
                <w:sz w:val="17"/>
                <w:szCs w:val="17"/>
                <w:color w:val="auto"/>
              </w:rPr>
              <w:t>September 19, 2011</w:t>
            </w:r>
          </w:p>
        </w:tc>
        <w:tc>
          <w:tcPr>
            <w:tcW w:w="1500" w:type="dxa"/>
            <w:vAlign w:val="bottom"/>
            <w:gridSpan w:val="2"/>
          </w:tcPr>
          <w:p>
            <w:pPr>
              <w:ind w:left="220"/>
              <w:spacing w:after="0"/>
              <w:rPr>
                <w:sz w:val="20"/>
                <w:szCs w:val="20"/>
                <w:color w:val="auto"/>
              </w:rPr>
            </w:pPr>
            <w:r>
              <w:rPr>
                <w:rFonts w:ascii="Arial" w:cs="Arial" w:eastAsia="Arial" w:hAnsi="Arial"/>
                <w:sz w:val="17"/>
                <w:szCs w:val="17"/>
                <w:color w:val="auto"/>
              </w:rPr>
              <w:t>May 3, 2013</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25,000</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1.05%</w:t>
            </w:r>
          </w:p>
        </w:tc>
      </w:tr>
      <w:tr>
        <w:trPr>
          <w:trHeight w:val="206"/>
        </w:trPr>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September 19, 2011</w:t>
            </w:r>
          </w:p>
        </w:tc>
        <w:tc>
          <w:tcPr>
            <w:tcW w:w="15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May 3, 2013</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25,000</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1.05%</w:t>
            </w:r>
          </w:p>
        </w:tc>
      </w:tr>
      <w:tr>
        <w:trPr>
          <w:trHeight w:val="206"/>
        </w:trPr>
        <w:tc>
          <w:tcPr>
            <w:tcW w:w="3220" w:type="dxa"/>
            <w:vAlign w:val="bottom"/>
          </w:tcPr>
          <w:p>
            <w:pPr>
              <w:spacing w:after="0"/>
              <w:rPr>
                <w:sz w:val="20"/>
                <w:szCs w:val="20"/>
                <w:color w:val="auto"/>
              </w:rPr>
            </w:pPr>
            <w:r>
              <w:rPr>
                <w:rFonts w:ascii="Arial" w:cs="Arial" w:eastAsia="Arial" w:hAnsi="Arial"/>
                <w:sz w:val="17"/>
                <w:szCs w:val="17"/>
                <w:color w:val="auto"/>
              </w:rPr>
              <w:t>December 7, 2011</w:t>
            </w:r>
          </w:p>
        </w:tc>
        <w:tc>
          <w:tcPr>
            <w:tcW w:w="1500" w:type="dxa"/>
            <w:vAlign w:val="bottom"/>
            <w:gridSpan w:val="2"/>
          </w:tcPr>
          <w:p>
            <w:pPr>
              <w:ind w:left="220"/>
              <w:spacing w:after="0"/>
              <w:rPr>
                <w:sz w:val="20"/>
                <w:szCs w:val="20"/>
                <w:color w:val="auto"/>
              </w:rPr>
            </w:pPr>
            <w:r>
              <w:rPr>
                <w:rFonts w:ascii="Arial" w:cs="Arial" w:eastAsia="Arial" w:hAnsi="Arial"/>
                <w:sz w:val="17"/>
                <w:szCs w:val="17"/>
                <w:color w:val="auto"/>
              </w:rPr>
              <w:t>May 3, 2013</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50,000</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1.40%</w:t>
            </w:r>
          </w:p>
        </w:tc>
      </w:tr>
      <w:tr>
        <w:trPr>
          <w:trHeight w:val="206"/>
        </w:trPr>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March 18, 2013</w:t>
            </w:r>
          </w:p>
        </w:tc>
        <w:tc>
          <w:tcPr>
            <w:tcW w:w="15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May 3, 2015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50,000</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1.51%</w:t>
            </w:r>
          </w:p>
        </w:tc>
      </w:tr>
      <w:tr>
        <w:trPr>
          <w:trHeight w:val="206"/>
        </w:trPr>
        <w:tc>
          <w:tcPr>
            <w:tcW w:w="3220" w:type="dxa"/>
            <w:vAlign w:val="bottom"/>
          </w:tcPr>
          <w:p>
            <w:pPr>
              <w:spacing w:after="0"/>
              <w:rPr>
                <w:sz w:val="20"/>
                <w:szCs w:val="20"/>
                <w:color w:val="auto"/>
              </w:rPr>
            </w:pPr>
            <w:r>
              <w:rPr>
                <w:rFonts w:ascii="Arial" w:cs="Arial" w:eastAsia="Arial" w:hAnsi="Arial"/>
                <w:sz w:val="17"/>
                <w:szCs w:val="17"/>
                <w:color w:val="auto"/>
              </w:rPr>
              <w:t>April 8, 2013</w:t>
            </w:r>
          </w:p>
        </w:tc>
        <w:tc>
          <w:tcPr>
            <w:tcW w:w="1500" w:type="dxa"/>
            <w:vAlign w:val="bottom"/>
            <w:gridSpan w:val="2"/>
          </w:tcPr>
          <w:p>
            <w:pPr>
              <w:ind w:left="220"/>
              <w:spacing w:after="0"/>
              <w:rPr>
                <w:sz w:val="20"/>
                <w:szCs w:val="20"/>
                <w:color w:val="auto"/>
              </w:rPr>
            </w:pPr>
            <w:r>
              <w:rPr>
                <w:rFonts w:ascii="Arial" w:cs="Arial" w:eastAsia="Arial" w:hAnsi="Arial"/>
                <w:sz w:val="17"/>
                <w:szCs w:val="17"/>
                <w:color w:val="auto"/>
              </w:rPr>
              <w:t>May 3, 2015</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50,000</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1.05%</w:t>
            </w:r>
          </w:p>
        </w:tc>
      </w:tr>
      <w:tr>
        <w:trPr>
          <w:trHeight w:val="206"/>
        </w:trPr>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April 15, 2013</w:t>
            </w:r>
          </w:p>
        </w:tc>
        <w:tc>
          <w:tcPr>
            <w:tcW w:w="15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May 3, 2015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50,000</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1.03%</w:t>
            </w:r>
          </w:p>
        </w:tc>
      </w:tr>
      <w:tr>
        <w:trPr>
          <w:trHeight w:val="206"/>
        </w:trPr>
        <w:tc>
          <w:tcPr>
            <w:tcW w:w="3220" w:type="dxa"/>
            <w:vAlign w:val="bottom"/>
          </w:tcPr>
          <w:p>
            <w:pPr>
              <w:spacing w:after="0"/>
              <w:rPr>
                <w:sz w:val="20"/>
                <w:szCs w:val="20"/>
                <w:color w:val="auto"/>
              </w:rPr>
            </w:pPr>
            <w:r>
              <w:rPr>
                <w:rFonts w:ascii="Arial" w:cs="Arial" w:eastAsia="Arial" w:hAnsi="Arial"/>
                <w:sz w:val="17"/>
                <w:szCs w:val="17"/>
                <w:color w:val="auto"/>
              </w:rPr>
              <w:t>April 22, 2013</w:t>
            </w:r>
          </w:p>
        </w:tc>
        <w:tc>
          <w:tcPr>
            <w:tcW w:w="1500" w:type="dxa"/>
            <w:vAlign w:val="bottom"/>
            <w:gridSpan w:val="2"/>
          </w:tcPr>
          <w:p>
            <w:pPr>
              <w:ind w:left="220"/>
              <w:spacing w:after="0"/>
              <w:rPr>
                <w:sz w:val="20"/>
                <w:szCs w:val="20"/>
                <w:color w:val="auto"/>
              </w:rPr>
            </w:pPr>
            <w:r>
              <w:rPr>
                <w:rFonts w:ascii="Arial" w:cs="Arial" w:eastAsia="Arial" w:hAnsi="Arial"/>
                <w:sz w:val="17"/>
                <w:szCs w:val="17"/>
                <w:color w:val="auto"/>
              </w:rPr>
              <w:t>May 3, 2015</w:t>
            </w: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gridSpan w:val="2"/>
          </w:tcPr>
          <w:p>
            <w:pPr>
              <w:jc w:val="right"/>
              <w:ind w:right="80"/>
              <w:spacing w:after="0"/>
              <w:rPr>
                <w:sz w:val="20"/>
                <w:szCs w:val="20"/>
                <w:color w:val="auto"/>
              </w:rPr>
            </w:pPr>
            <w:r>
              <w:rPr>
                <w:rFonts w:ascii="Arial" w:cs="Arial" w:eastAsia="Arial" w:hAnsi="Arial"/>
                <w:sz w:val="17"/>
                <w:szCs w:val="17"/>
                <w:color w:val="auto"/>
              </w:rPr>
              <w:t>3</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7"/>
                <w:szCs w:val="17"/>
                <w:color w:val="auto"/>
              </w:rPr>
              <w:t>25,000</w:t>
            </w:r>
          </w:p>
        </w:tc>
        <w:tc>
          <w:tcPr>
            <w:tcW w:w="1300" w:type="dxa"/>
            <w:vAlign w:val="bottom"/>
            <w:gridSpan w:val="2"/>
          </w:tcPr>
          <w:p>
            <w:pPr>
              <w:jc w:val="right"/>
              <w:ind w:right="40"/>
              <w:spacing w:after="0"/>
              <w:rPr>
                <w:sz w:val="20"/>
                <w:szCs w:val="20"/>
                <w:color w:val="auto"/>
              </w:rPr>
            </w:pPr>
            <w:r>
              <w:rPr>
                <w:rFonts w:ascii="Arial" w:cs="Arial" w:eastAsia="Arial" w:hAnsi="Arial"/>
                <w:sz w:val="17"/>
                <w:szCs w:val="17"/>
                <w:color w:val="auto"/>
              </w:rPr>
              <w:t>1.30%</w:t>
            </w:r>
          </w:p>
        </w:tc>
      </w:tr>
      <w:tr>
        <w:trPr>
          <w:trHeight w:val="206"/>
        </w:trPr>
        <w:tc>
          <w:tcPr>
            <w:tcW w:w="3220" w:type="dxa"/>
            <w:vAlign w:val="bottom"/>
            <w:shd w:val="clear" w:color="auto" w:fill="CCEEFF"/>
          </w:tcPr>
          <w:p>
            <w:pPr>
              <w:spacing w:after="0"/>
              <w:rPr>
                <w:sz w:val="20"/>
                <w:szCs w:val="20"/>
                <w:color w:val="auto"/>
              </w:rPr>
            </w:pPr>
            <w:r>
              <w:rPr>
                <w:rFonts w:ascii="Arial" w:cs="Arial" w:eastAsia="Arial" w:hAnsi="Arial"/>
                <w:sz w:val="17"/>
                <w:szCs w:val="17"/>
                <w:color w:val="auto"/>
              </w:rPr>
              <w:t>April 25, 2013</w:t>
            </w:r>
          </w:p>
        </w:tc>
        <w:tc>
          <w:tcPr>
            <w:tcW w:w="1500" w:type="dxa"/>
            <w:vAlign w:val="bottom"/>
            <w:gridSpan w:val="2"/>
            <w:shd w:val="clear" w:color="auto" w:fill="CCEEFF"/>
          </w:tcPr>
          <w:p>
            <w:pPr>
              <w:ind w:left="220"/>
              <w:spacing w:after="0"/>
              <w:rPr>
                <w:sz w:val="20"/>
                <w:szCs w:val="20"/>
                <w:color w:val="auto"/>
              </w:rPr>
            </w:pPr>
            <w:r>
              <w:rPr>
                <w:rFonts w:ascii="Arial" w:cs="Arial" w:eastAsia="Arial" w:hAnsi="Arial"/>
                <w:sz w:val="17"/>
                <w:szCs w:val="17"/>
                <w:color w:val="auto"/>
              </w:rPr>
              <w:t>May 3, 2015</w:t>
            </w:r>
          </w:p>
        </w:tc>
        <w:tc>
          <w:tcPr>
            <w:tcW w:w="1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24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7"/>
                <w:szCs w:val="17"/>
                <w:color w:val="auto"/>
              </w:rPr>
              <w:t>25,000</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1.29%</w:t>
            </w:r>
          </w:p>
        </w:tc>
      </w:tr>
    </w:tbl>
    <w:p>
      <w:pPr>
        <w:spacing w:after="0" w:line="194" w:lineRule="exact"/>
        <w:rPr>
          <w:sz w:val="20"/>
          <w:szCs w:val="20"/>
          <w:color w:val="auto"/>
        </w:rPr>
      </w:pPr>
    </w:p>
    <w:p>
      <w:pPr>
        <w:ind w:left="620"/>
        <w:spacing w:after="0"/>
        <w:rPr>
          <w:sz w:val="20"/>
          <w:szCs w:val="20"/>
          <w:color w:val="auto"/>
        </w:rPr>
      </w:pPr>
      <w:r>
        <w:rPr>
          <w:rFonts w:ascii="Arial" w:cs="Arial" w:eastAsia="Arial" w:hAnsi="Arial"/>
          <w:sz w:val="17"/>
          <w:szCs w:val="17"/>
          <w:color w:val="auto"/>
        </w:rPr>
        <w:t>The Company’s interest rate swap with a notional amount of $525,000 and a fixed rate of 5.57% expired on May 3, 2013.</w:t>
      </w:r>
    </w:p>
    <w:p>
      <w:pPr>
        <w:spacing w:after="0" w:line="24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Company does not hold or use derivative instruments for trading purposes. The Company also does not have any derivatives not designated as hedging instruments and has not designated any non-derivatives as hedging instruments.</w:t>
      </w:r>
    </w:p>
    <w:p>
      <w:pPr>
        <w:spacing w:after="0" w:line="189"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estimated fair values of the Company’s derivative instruments as of May 3, 2013 and August 3, 2012 were as follows: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24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040" w:type="dxa"/>
            <w:vAlign w:val="bottom"/>
            <w:tcBorders>
              <w:bottom w:val="single" w:sz="8" w:color="auto"/>
            </w:tcBorders>
          </w:tcPr>
          <w:p>
            <w:pPr>
              <w:ind w:left="1680"/>
              <w:spacing w:after="0"/>
              <w:rPr>
                <w:sz w:val="20"/>
                <w:szCs w:val="20"/>
                <w:color w:val="auto"/>
              </w:rPr>
            </w:pPr>
            <w:r>
              <w:rPr>
                <w:rFonts w:ascii="Arial" w:cs="Arial" w:eastAsia="Arial" w:hAnsi="Arial"/>
                <w:sz w:val="17"/>
                <w:szCs w:val="17"/>
                <w:color w:val="auto"/>
              </w:rPr>
              <w:t>Balance Sheet Location</w:t>
            </w:r>
          </w:p>
        </w:tc>
        <w:tc>
          <w:tcPr>
            <w:tcW w:w="1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74"/>
              <w:spacing w:after="0"/>
              <w:rPr>
                <w:sz w:val="20"/>
                <w:szCs w:val="20"/>
                <w:color w:val="auto"/>
              </w:rPr>
            </w:pPr>
            <w:r>
              <w:rPr>
                <w:rFonts w:ascii="Arial" w:cs="Arial" w:eastAsia="Arial" w:hAnsi="Arial"/>
                <w:sz w:val="17"/>
                <w:szCs w:val="17"/>
                <w:color w:val="auto"/>
                <w:w w:val="91"/>
              </w:rPr>
              <w:t>May 3, 2013</w:t>
            </w:r>
          </w:p>
        </w:tc>
        <w:tc>
          <w:tcPr>
            <w:tcW w:w="240" w:type="dxa"/>
            <w:vAlign w:val="bottom"/>
          </w:tcPr>
          <w:p>
            <w:pPr>
              <w:spacing w:after="0"/>
              <w:rPr>
                <w:sz w:val="19"/>
                <w:szCs w:val="19"/>
                <w:color w:val="auto"/>
              </w:rPr>
            </w:pPr>
          </w:p>
        </w:tc>
        <w:tc>
          <w:tcPr>
            <w:tcW w:w="1120" w:type="dxa"/>
            <w:vAlign w:val="bottom"/>
            <w:tcBorders>
              <w:bottom w:val="single" w:sz="8" w:color="auto"/>
            </w:tcBorders>
            <w:gridSpan w:val="2"/>
          </w:tcPr>
          <w:p>
            <w:pPr>
              <w:ind w:left="20"/>
              <w:spacing w:after="0"/>
              <w:rPr>
                <w:sz w:val="20"/>
                <w:szCs w:val="20"/>
                <w:color w:val="auto"/>
              </w:rPr>
            </w:pPr>
            <w:r>
              <w:rPr>
                <w:rFonts w:ascii="Arial" w:cs="Arial" w:eastAsia="Arial" w:hAnsi="Arial"/>
                <w:sz w:val="17"/>
                <w:szCs w:val="17"/>
                <w:color w:val="auto"/>
                <w:w w:val="94"/>
              </w:rPr>
              <w:t>August 3, 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swap</w:t>
            </w:r>
          </w:p>
        </w:tc>
        <w:tc>
          <w:tcPr>
            <w:tcW w:w="6220" w:type="dxa"/>
            <w:vAlign w:val="bottom"/>
            <w:gridSpan w:val="2"/>
            <w:shd w:val="clear" w:color="auto" w:fill="CCEEFF"/>
          </w:tcPr>
          <w:p>
            <w:pPr>
              <w:ind w:left="1180"/>
              <w:spacing w:after="0"/>
              <w:rPr>
                <w:sz w:val="20"/>
                <w:szCs w:val="20"/>
                <w:color w:val="auto"/>
              </w:rPr>
            </w:pPr>
            <w:r>
              <w:rPr>
                <w:rFonts w:ascii="Arial" w:cs="Arial" w:eastAsia="Arial" w:hAnsi="Arial"/>
                <w:sz w:val="17"/>
                <w:szCs w:val="17"/>
                <w:color w:val="auto"/>
              </w:rPr>
              <w:t>Current interest rate swap liability</w:t>
            </w: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20,215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460" w:type="dxa"/>
            <w:vAlign w:val="bottom"/>
          </w:tcPr>
          <w:p>
            <w:pPr>
              <w:spacing w:after="0"/>
              <w:rPr>
                <w:sz w:val="20"/>
                <w:szCs w:val="20"/>
                <w:color w:val="auto"/>
              </w:rPr>
            </w:pPr>
            <w:r>
              <w:rPr>
                <w:rFonts w:ascii="Arial" w:cs="Arial" w:eastAsia="Arial" w:hAnsi="Arial"/>
                <w:sz w:val="17"/>
                <w:szCs w:val="17"/>
                <w:color w:val="auto"/>
              </w:rPr>
              <w:t>Interest rate swaps</w:t>
            </w:r>
          </w:p>
        </w:tc>
        <w:tc>
          <w:tcPr>
            <w:tcW w:w="6220" w:type="dxa"/>
            <w:vAlign w:val="bottom"/>
            <w:gridSpan w:val="2"/>
          </w:tcPr>
          <w:p>
            <w:pPr>
              <w:ind w:left="1180"/>
              <w:spacing w:after="0"/>
              <w:rPr>
                <w:sz w:val="20"/>
                <w:szCs w:val="20"/>
                <w:color w:val="auto"/>
              </w:rPr>
            </w:pPr>
            <w:r>
              <w:rPr>
                <w:rFonts w:ascii="Arial" w:cs="Arial" w:eastAsia="Arial" w:hAnsi="Arial"/>
                <w:sz w:val="17"/>
                <w:szCs w:val="17"/>
                <w:color w:val="auto"/>
              </w:rPr>
              <w:t>Long-term interest rate swap liability</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80" w:type="dxa"/>
            <w:vAlign w:val="bottom"/>
            <w:gridSpan w:val="2"/>
          </w:tcPr>
          <w:p>
            <w:pPr>
              <w:jc w:val="right"/>
              <w:ind w:right="240"/>
              <w:spacing w:after="0"/>
              <w:rPr>
                <w:sz w:val="20"/>
                <w:szCs w:val="20"/>
                <w:color w:val="auto"/>
              </w:rPr>
            </w:pPr>
            <w:r>
              <w:rPr>
                <w:rFonts w:ascii="Arial" w:cs="Arial" w:eastAsia="Arial" w:hAnsi="Arial"/>
                <w:sz w:val="17"/>
                <w:szCs w:val="17"/>
                <w:color w:val="auto"/>
              </w:rPr>
              <w:t>16,888</w:t>
            </w:r>
          </w:p>
        </w:tc>
        <w:tc>
          <w:tcPr>
            <w:tcW w:w="360" w:type="dxa"/>
            <w:vAlign w:val="bottom"/>
          </w:tcPr>
          <w:p>
            <w:pPr>
              <w:spacing w:after="0"/>
              <w:rPr>
                <w:sz w:val="17"/>
                <w:szCs w:val="17"/>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7"/>
                <w:szCs w:val="17"/>
                <w:color w:val="auto"/>
              </w:rPr>
              <w:t>14,166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24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vMerge w:val="continue"/>
          </w:tcPr>
          <w:p>
            <w:pPr>
              <w:spacing w:after="0"/>
              <w:rPr>
                <w:sz w:val="19"/>
                <w:szCs w:val="19"/>
                <w:color w:val="auto"/>
              </w:rPr>
            </w:pPr>
          </w:p>
        </w:tc>
        <w:tc>
          <w:tcPr>
            <w:tcW w:w="2460" w:type="dxa"/>
            <w:vAlign w:val="bottom"/>
            <w:shd w:val="clear" w:color="auto" w:fill="CCEEFF"/>
          </w:tcPr>
          <w:p>
            <w:pPr>
              <w:spacing w:after="0"/>
              <w:rPr>
                <w:sz w:val="20"/>
                <w:szCs w:val="20"/>
                <w:color w:val="auto"/>
              </w:rPr>
            </w:pPr>
            <w:r>
              <w:rPr>
                <w:rFonts w:ascii="Arial" w:cs="Arial" w:eastAsia="Arial" w:hAnsi="Arial"/>
                <w:sz w:val="17"/>
                <w:szCs w:val="17"/>
                <w:color w:val="auto"/>
              </w:rPr>
              <w:t>Total (See Note 2)</w:t>
            </w:r>
          </w:p>
        </w:tc>
        <w:tc>
          <w:tcPr>
            <w:tcW w:w="1180" w:type="dxa"/>
            <w:vAlign w:val="bottom"/>
            <w:shd w:val="clear" w:color="auto" w:fill="CCEEFF"/>
          </w:tcPr>
          <w:p>
            <w:pPr>
              <w:spacing w:after="0"/>
              <w:rPr>
                <w:sz w:val="19"/>
                <w:szCs w:val="19"/>
                <w:color w:val="auto"/>
              </w:rPr>
            </w:pPr>
          </w:p>
        </w:tc>
        <w:tc>
          <w:tcPr>
            <w:tcW w:w="504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w:t>
            </w:r>
          </w:p>
        </w:tc>
        <w:tc>
          <w:tcPr>
            <w:tcW w:w="128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16,888</w:t>
            </w:r>
          </w:p>
        </w:tc>
        <w:tc>
          <w:tcPr>
            <w:tcW w:w="360" w:type="dxa"/>
            <w:vAlign w:val="bottom"/>
            <w:shd w:val="clear" w:color="auto" w:fill="CCEEFF"/>
          </w:tcPr>
          <w:p>
            <w:pPr>
              <w:spacing w:after="0"/>
              <w:rPr>
                <w:sz w:val="20"/>
                <w:szCs w:val="20"/>
                <w:color w:val="auto"/>
              </w:rPr>
            </w:pPr>
            <w:r>
              <w:rPr>
                <w:rFonts w:ascii="Arial" w:cs="Arial" w:eastAsia="Arial" w:hAnsi="Arial"/>
                <w:sz w:val="17"/>
                <w:szCs w:val="17"/>
                <w:color w:val="auto"/>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34,381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1180" w:type="dxa"/>
            <w:vAlign w:val="bottom"/>
            <w:tcBorders>
              <w:top w:val="single" w:sz="8" w:color="CCEEFF"/>
            </w:tcBorders>
            <w:shd w:val="clear" w:color="auto" w:fill="CCEEFF"/>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The estimated fair value of the Company’s interest rate swap liabilities incorporates the Company’s non-performance risk (see Note 2). The adjustment related to the Company’s non-performance risk at May 3, 2013 and August 3, 2012 resulted in reductions of $360 and $851, respectively, in the fair value of the interest rate swap liabilities. The offset to the interest rate swap liabilities is recorded in accumulated other comprehensive loss (“AOCL”), net of the deferred tax asset, and will be reclassified into earnings over the term of the underlying debt. As of May 3, 2013, the estimated pre-tax portion of AOCL that is expected to be reclassified into earnings over the next twelve months is $5,959. Cash flows related to the interest rate swap are included in interest expense and in operating activities.</w:t>
      </w:r>
    </w:p>
    <w:p>
      <w:pPr>
        <w:spacing w:after="0" w:line="210"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following table summarizes the pre-tax effects of the Company’s derivative instruments on AOCL for the nine-month period ended May 3, 2013 and the year ended August 3, 2012: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3460" w:type="dxa"/>
            <w:vAlign w:val="bottom"/>
          </w:tcPr>
          <w:p>
            <w:pPr>
              <w:spacing w:after="0"/>
              <w:rPr>
                <w:sz w:val="17"/>
                <w:szCs w:val="17"/>
                <w:color w:val="auto"/>
              </w:rPr>
            </w:pPr>
          </w:p>
        </w:tc>
        <w:tc>
          <w:tcPr>
            <w:tcW w:w="7960" w:type="dxa"/>
            <w:vAlign w:val="bottom"/>
            <w:gridSpan w:val="8"/>
          </w:tcPr>
          <w:p>
            <w:pPr>
              <w:ind w:left="4800"/>
              <w:spacing w:after="0"/>
              <w:rPr>
                <w:sz w:val="20"/>
                <w:szCs w:val="20"/>
                <w:color w:val="auto"/>
              </w:rPr>
            </w:pPr>
            <w:r>
              <w:rPr>
                <w:rFonts w:ascii="Arial" w:cs="Arial" w:eastAsia="Arial" w:hAnsi="Arial"/>
                <w:sz w:val="17"/>
                <w:szCs w:val="17"/>
                <w:color w:val="auto"/>
                <w:w w:val="96"/>
              </w:rPr>
              <w:t>Amount of Income Recognized in AOCL on</w:t>
            </w:r>
          </w:p>
        </w:tc>
      </w:tr>
      <w:tr>
        <w:trPr>
          <w:trHeight w:val="225"/>
        </w:trPr>
        <w:tc>
          <w:tcPr>
            <w:tcW w:w="3460" w:type="dxa"/>
            <w:vAlign w:val="bottom"/>
          </w:tcPr>
          <w:p>
            <w:pPr>
              <w:spacing w:after="0"/>
              <w:rPr>
                <w:sz w:val="19"/>
                <w:szCs w:val="19"/>
                <w:color w:val="auto"/>
              </w:rPr>
            </w:pPr>
          </w:p>
        </w:tc>
        <w:tc>
          <w:tcPr>
            <w:tcW w:w="48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980" w:type="dxa"/>
            <w:vAlign w:val="bottom"/>
            <w:gridSpan w:val="6"/>
          </w:tcPr>
          <w:p>
            <w:pPr>
              <w:jc w:val="right"/>
              <w:ind w:right="560"/>
              <w:spacing w:after="0"/>
              <w:rPr>
                <w:sz w:val="20"/>
                <w:szCs w:val="20"/>
                <w:color w:val="auto"/>
              </w:rPr>
            </w:pPr>
            <w:r>
              <w:rPr>
                <w:rFonts w:ascii="Arial" w:cs="Arial" w:eastAsia="Arial" w:hAnsi="Arial"/>
                <w:sz w:val="17"/>
                <w:szCs w:val="17"/>
                <w:color w:val="auto"/>
              </w:rPr>
              <w:t>Derivatives (Effective Portion)</w:t>
            </w:r>
          </w:p>
        </w:tc>
      </w:tr>
      <w:tr>
        <w:trPr>
          <w:trHeight w:val="212"/>
        </w:trPr>
        <w:tc>
          <w:tcPr>
            <w:tcW w:w="34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560" w:type="dxa"/>
            <w:vAlign w:val="bottom"/>
            <w:tcBorders>
              <w:top w:val="single" w:sz="8" w:color="auto"/>
            </w:tcBorders>
            <w:gridSpan w:val="3"/>
          </w:tcPr>
          <w:p>
            <w:pPr>
              <w:spacing w:after="0"/>
              <w:rPr>
                <w:sz w:val="20"/>
                <w:szCs w:val="20"/>
                <w:color w:val="auto"/>
              </w:rPr>
            </w:pPr>
            <w:r>
              <w:rPr>
                <w:rFonts w:ascii="Arial" w:cs="Arial" w:eastAsia="Arial" w:hAnsi="Arial"/>
                <w:sz w:val="17"/>
                <w:szCs w:val="17"/>
                <w:color w:val="auto"/>
              </w:rPr>
              <w:t>Nine Months Ended</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center"/>
              <w:ind w:right="54"/>
              <w:spacing w:after="0"/>
              <w:rPr>
                <w:sz w:val="20"/>
                <w:szCs w:val="20"/>
                <w:color w:val="auto"/>
              </w:rPr>
            </w:pPr>
            <w:r>
              <w:rPr>
                <w:rFonts w:ascii="Arial" w:cs="Arial" w:eastAsia="Arial" w:hAnsi="Arial"/>
                <w:sz w:val="17"/>
                <w:szCs w:val="17"/>
                <w:color w:val="auto"/>
                <w:w w:val="89"/>
              </w:rPr>
              <w:t>Year Ended</w:t>
            </w:r>
          </w:p>
        </w:tc>
        <w:tc>
          <w:tcPr>
            <w:tcW w:w="100" w:type="dxa"/>
            <w:vAlign w:val="bottom"/>
          </w:tcPr>
          <w:p>
            <w:pPr>
              <w:spacing w:after="0"/>
              <w:rPr>
                <w:sz w:val="18"/>
                <w:szCs w:val="18"/>
                <w:color w:val="auto"/>
              </w:rPr>
            </w:pPr>
          </w:p>
        </w:tc>
      </w:tr>
      <w:tr>
        <w:trPr>
          <w:trHeight w:val="212"/>
        </w:trPr>
        <w:tc>
          <w:tcPr>
            <w:tcW w:w="3460" w:type="dxa"/>
            <w:vAlign w:val="bottom"/>
          </w:tcPr>
          <w:p>
            <w:pPr>
              <w:spacing w:after="0"/>
              <w:rPr>
                <w:sz w:val="18"/>
                <w:szCs w:val="18"/>
                <w:color w:val="auto"/>
              </w:rPr>
            </w:pPr>
          </w:p>
        </w:tc>
        <w:tc>
          <w:tcPr>
            <w:tcW w:w="48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24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7"/>
                <w:szCs w:val="17"/>
                <w:color w:val="auto"/>
              </w:rPr>
              <w:t>May 3, 2013</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60" w:type="dxa"/>
            <w:vAlign w:val="bottom"/>
            <w:tcBorders>
              <w:top w:val="single" w:sz="8" w:color="auto"/>
              <w:bottom w:val="single" w:sz="8" w:color="auto"/>
            </w:tcBorders>
          </w:tcPr>
          <w:p>
            <w:pPr>
              <w:jc w:val="center"/>
              <w:ind w:right="74"/>
              <w:spacing w:after="0"/>
              <w:rPr>
                <w:sz w:val="20"/>
                <w:szCs w:val="20"/>
                <w:color w:val="auto"/>
              </w:rPr>
            </w:pPr>
            <w:r>
              <w:rPr>
                <w:rFonts w:ascii="Arial" w:cs="Arial" w:eastAsia="Arial" w:hAnsi="Arial"/>
                <w:sz w:val="17"/>
                <w:szCs w:val="17"/>
                <w:color w:val="auto"/>
                <w:w w:val="92"/>
              </w:rPr>
              <w:t>August 3, 2012</w:t>
            </w:r>
          </w:p>
        </w:tc>
        <w:tc>
          <w:tcPr>
            <w:tcW w:w="100" w:type="dxa"/>
            <w:vAlign w:val="bottom"/>
          </w:tcPr>
          <w:p>
            <w:pPr>
              <w:spacing w:after="0"/>
              <w:rPr>
                <w:sz w:val="18"/>
                <w:szCs w:val="18"/>
                <w:color w:val="auto"/>
              </w:rPr>
            </w:pPr>
          </w:p>
        </w:tc>
      </w:tr>
      <w:tr>
        <w:trPr>
          <w:trHeight w:val="205"/>
        </w:trPr>
        <w:tc>
          <w:tcPr>
            <w:tcW w:w="3460" w:type="dxa"/>
            <w:vAlign w:val="bottom"/>
          </w:tcPr>
          <w:p>
            <w:pPr>
              <w:spacing w:after="0"/>
              <w:rPr>
                <w:sz w:val="20"/>
                <w:szCs w:val="20"/>
                <w:color w:val="auto"/>
              </w:rPr>
            </w:pPr>
            <w:r>
              <w:rPr>
                <w:rFonts w:ascii="Arial" w:cs="Arial" w:eastAsia="Arial" w:hAnsi="Arial"/>
                <w:sz w:val="17"/>
                <w:szCs w:val="17"/>
                <w:color w:val="auto"/>
              </w:rPr>
              <w:t>Cash flow hedges:</w:t>
            </w:r>
          </w:p>
        </w:tc>
        <w:tc>
          <w:tcPr>
            <w:tcW w:w="48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8"/>
        </w:trPr>
        <w:tc>
          <w:tcPr>
            <w:tcW w:w="346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swaps</w:t>
            </w:r>
          </w:p>
        </w:tc>
        <w:tc>
          <w:tcPr>
            <w:tcW w:w="4980" w:type="dxa"/>
            <w:vAlign w:val="bottom"/>
            <w:gridSpan w:val="2"/>
            <w:shd w:val="clear" w:color="auto" w:fill="CCEEFF"/>
          </w:tcPr>
          <w:p>
            <w:pPr>
              <w:ind w:left="4800"/>
              <w:spacing w:after="0"/>
              <w:rPr>
                <w:sz w:val="20"/>
                <w:szCs w:val="20"/>
                <w:color w:val="auto"/>
              </w:rPr>
            </w:pPr>
            <w:r>
              <w:rPr>
                <w:rFonts w:ascii="Arial" w:cs="Arial" w:eastAsia="Arial" w:hAnsi="Arial"/>
                <w:sz w:val="17"/>
                <w:szCs w:val="17"/>
                <w:color w:val="auto"/>
              </w:rPr>
              <w:t>$</w:t>
            </w:r>
          </w:p>
        </w:tc>
        <w:tc>
          <w:tcPr>
            <w:tcW w:w="13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17,493</w:t>
            </w: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7"/>
                <w:szCs w:val="17"/>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17,223</w:t>
            </w:r>
          </w:p>
        </w:tc>
      </w:tr>
      <w:tr>
        <w:trPr>
          <w:trHeight w:val="522"/>
        </w:trPr>
        <w:tc>
          <w:tcPr>
            <w:tcW w:w="3460" w:type="dxa"/>
            <w:vAlign w:val="bottom"/>
            <w:tcBorders>
              <w:top w:val="single" w:sz="8" w:color="CCEEFF"/>
            </w:tcBorders>
          </w:tcPr>
          <w:p>
            <w:pPr>
              <w:spacing w:after="0"/>
              <w:rPr>
                <w:sz w:val="24"/>
                <w:szCs w:val="24"/>
                <w:color w:val="auto"/>
              </w:rPr>
            </w:pPr>
          </w:p>
        </w:tc>
        <w:tc>
          <w:tcPr>
            <w:tcW w:w="4800" w:type="dxa"/>
            <w:vAlign w:val="bottom"/>
            <w:tcBorders>
              <w:top w:val="single" w:sz="8" w:color="CCEEFF"/>
            </w:tcBorders>
          </w:tcPr>
          <w:p>
            <w:pPr>
              <w:jc w:val="right"/>
              <w:ind w:right="2400"/>
              <w:spacing w:after="0"/>
              <w:rPr>
                <w:sz w:val="20"/>
                <w:szCs w:val="20"/>
                <w:color w:val="auto"/>
              </w:rPr>
            </w:pPr>
            <w:r>
              <w:rPr>
                <w:rFonts w:ascii="Arial" w:cs="Arial" w:eastAsia="Arial" w:hAnsi="Arial"/>
                <w:sz w:val="14"/>
                <w:szCs w:val="14"/>
                <w:color w:val="auto"/>
              </w:rPr>
              <w:t>11</w:t>
            </w:r>
          </w:p>
        </w:tc>
        <w:tc>
          <w:tcPr>
            <w:tcW w:w="18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r>
      <w:tr>
        <w:trPr>
          <w:trHeight w:val="98"/>
        </w:trPr>
        <w:tc>
          <w:tcPr>
            <w:tcW w:w="3460" w:type="dxa"/>
            <w:vAlign w:val="bottom"/>
            <w:tcBorders>
              <w:bottom w:val="single" w:sz="8" w:color="808080"/>
            </w:tcBorders>
          </w:tcPr>
          <w:p>
            <w:pPr>
              <w:spacing w:after="0"/>
              <w:rPr>
                <w:sz w:val="8"/>
                <w:szCs w:val="8"/>
                <w:color w:val="auto"/>
              </w:rPr>
            </w:pPr>
          </w:p>
        </w:tc>
        <w:tc>
          <w:tcPr>
            <w:tcW w:w="4800" w:type="dxa"/>
            <w:vAlign w:val="bottom"/>
            <w:tcBorders>
              <w:bottom w:val="single" w:sz="8" w:color="808080"/>
            </w:tcBorders>
          </w:tcPr>
          <w:p>
            <w:pPr>
              <w:spacing w:after="0"/>
              <w:rPr>
                <w:sz w:val="8"/>
                <w:szCs w:val="8"/>
                <w:color w:val="auto"/>
              </w:rPr>
            </w:pPr>
          </w:p>
        </w:tc>
        <w:tc>
          <w:tcPr>
            <w:tcW w:w="180" w:type="dxa"/>
            <w:vAlign w:val="bottom"/>
            <w:tcBorders>
              <w:bottom w:val="single" w:sz="8" w:color="808080"/>
            </w:tcBorders>
          </w:tcPr>
          <w:p>
            <w:pPr>
              <w:spacing w:after="0"/>
              <w:rPr>
                <w:sz w:val="8"/>
                <w:szCs w:val="8"/>
                <w:color w:val="auto"/>
              </w:rPr>
            </w:pPr>
          </w:p>
        </w:tc>
        <w:tc>
          <w:tcPr>
            <w:tcW w:w="1240" w:type="dxa"/>
            <w:vAlign w:val="bottom"/>
            <w:tcBorders>
              <w:bottom w:val="single" w:sz="8" w:color="808080"/>
            </w:tcBorders>
          </w:tcPr>
          <w:p>
            <w:pPr>
              <w:spacing w:after="0"/>
              <w:rPr>
                <w:sz w:val="8"/>
                <w:szCs w:val="8"/>
                <w:color w:val="auto"/>
              </w:rPr>
            </w:pPr>
          </w:p>
        </w:tc>
        <w:tc>
          <w:tcPr>
            <w:tcW w:w="14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0" w:type="dxa"/>
            <w:vAlign w:val="bottom"/>
            <w:tcBorders>
              <w:bottom w:val="single" w:sz="8" w:color="808080"/>
            </w:tcBorders>
          </w:tcPr>
          <w:p>
            <w:pPr>
              <w:spacing w:after="0"/>
              <w:rPr>
                <w:sz w:val="8"/>
                <w:szCs w:val="8"/>
                <w:color w:val="auto"/>
              </w:rPr>
            </w:pPr>
          </w:p>
        </w:tc>
        <w:tc>
          <w:tcPr>
            <w:tcW w:w="1260" w:type="dxa"/>
            <w:vAlign w:val="bottom"/>
            <w:tcBorders>
              <w:bottom w:val="single" w:sz="8" w:color="808080"/>
            </w:tcBorders>
          </w:tcPr>
          <w:p>
            <w:pPr>
              <w:spacing w:after="0"/>
              <w:rPr>
                <w:sz w:val="8"/>
                <w:szCs w:val="8"/>
                <w:color w:val="auto"/>
              </w:rPr>
            </w:pPr>
          </w:p>
        </w:tc>
        <w:tc>
          <w:tcPr>
            <w:tcW w:w="10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1" w:name="page12"/>
    <w:bookmarkEnd w:id="1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The following table summarizes the pre-tax effects of the Company’s derivative instruments on income for the quarters and nine-month periods ended May 3, 2013 and April 27, 2012: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4580" w:type="dxa"/>
            <w:vAlign w:val="bottom"/>
          </w:tcPr>
          <w:p>
            <w:pPr>
              <w:spacing w:after="0"/>
              <w:rPr>
                <w:sz w:val="17"/>
                <w:szCs w:val="17"/>
                <w:color w:val="auto"/>
              </w:rPr>
            </w:pPr>
          </w:p>
        </w:tc>
        <w:tc>
          <w:tcPr>
            <w:tcW w:w="1720" w:type="dxa"/>
            <w:vAlign w:val="bottom"/>
            <w:gridSpan w:val="3"/>
          </w:tcPr>
          <w:p>
            <w:pPr>
              <w:jc w:val="center"/>
              <w:ind w:right="320"/>
              <w:spacing w:after="0"/>
              <w:rPr>
                <w:sz w:val="20"/>
                <w:szCs w:val="20"/>
                <w:color w:val="auto"/>
              </w:rPr>
            </w:pPr>
            <w:r>
              <w:rPr>
                <w:rFonts w:ascii="Arial" w:cs="Arial" w:eastAsia="Arial" w:hAnsi="Arial"/>
                <w:sz w:val="17"/>
                <w:szCs w:val="17"/>
                <w:color w:val="auto"/>
                <w:w w:val="93"/>
              </w:rPr>
              <w:t>Location of Loss</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4580" w:type="dxa"/>
            <w:vAlign w:val="bottom"/>
          </w:tcPr>
          <w:p>
            <w:pPr>
              <w:spacing w:after="0"/>
              <w:rPr>
                <w:sz w:val="17"/>
                <w:szCs w:val="17"/>
                <w:color w:val="auto"/>
              </w:rPr>
            </w:pPr>
          </w:p>
        </w:tc>
        <w:tc>
          <w:tcPr>
            <w:tcW w:w="1720" w:type="dxa"/>
            <w:vAlign w:val="bottom"/>
            <w:gridSpan w:val="3"/>
          </w:tcPr>
          <w:p>
            <w:pPr>
              <w:jc w:val="center"/>
              <w:ind w:right="340"/>
              <w:spacing w:after="0"/>
              <w:rPr>
                <w:sz w:val="20"/>
                <w:szCs w:val="20"/>
                <w:color w:val="auto"/>
              </w:rPr>
            </w:pPr>
            <w:r>
              <w:rPr>
                <w:rFonts w:ascii="Arial" w:cs="Arial" w:eastAsia="Arial" w:hAnsi="Arial"/>
                <w:sz w:val="17"/>
                <w:szCs w:val="17"/>
                <w:color w:val="auto"/>
                <w:w w:val="93"/>
              </w:rPr>
              <w:t>Reclassified from</w:t>
            </w: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6"/>
        </w:trPr>
        <w:tc>
          <w:tcPr>
            <w:tcW w:w="4580" w:type="dxa"/>
            <w:vAlign w:val="bottom"/>
          </w:tcPr>
          <w:p>
            <w:pPr>
              <w:spacing w:after="0"/>
              <w:rPr>
                <w:sz w:val="17"/>
                <w:szCs w:val="17"/>
                <w:color w:val="auto"/>
              </w:rPr>
            </w:pPr>
          </w:p>
        </w:tc>
        <w:tc>
          <w:tcPr>
            <w:tcW w:w="1720" w:type="dxa"/>
            <w:vAlign w:val="bottom"/>
            <w:gridSpan w:val="3"/>
          </w:tcPr>
          <w:p>
            <w:pPr>
              <w:jc w:val="center"/>
              <w:ind w:right="340"/>
              <w:spacing w:after="0"/>
              <w:rPr>
                <w:sz w:val="20"/>
                <w:szCs w:val="20"/>
                <w:color w:val="auto"/>
              </w:rPr>
            </w:pPr>
            <w:r>
              <w:rPr>
                <w:rFonts w:ascii="Arial" w:cs="Arial" w:eastAsia="Arial" w:hAnsi="Arial"/>
                <w:sz w:val="17"/>
                <w:szCs w:val="17"/>
                <w:color w:val="auto"/>
                <w:w w:val="96"/>
              </w:rPr>
              <w:t>AOCL into Income</w:t>
            </w:r>
          </w:p>
        </w:tc>
        <w:tc>
          <w:tcPr>
            <w:tcW w:w="5120" w:type="dxa"/>
            <w:vAlign w:val="bottom"/>
            <w:gridSpan w:val="12"/>
          </w:tcPr>
          <w:p>
            <w:pPr>
              <w:ind w:left="520"/>
              <w:spacing w:after="0"/>
              <w:rPr>
                <w:sz w:val="20"/>
                <w:szCs w:val="20"/>
                <w:color w:val="auto"/>
              </w:rPr>
            </w:pPr>
            <w:r>
              <w:rPr>
                <w:rFonts w:ascii="Arial" w:cs="Arial" w:eastAsia="Arial" w:hAnsi="Arial"/>
                <w:sz w:val="17"/>
                <w:szCs w:val="17"/>
                <w:color w:val="auto"/>
              </w:rPr>
              <w:t>Amount of Loss Reclassified from AOCL into Income</w:t>
            </w:r>
          </w:p>
        </w:tc>
      </w:tr>
      <w:tr>
        <w:trPr>
          <w:trHeight w:val="225"/>
        </w:trPr>
        <w:tc>
          <w:tcPr>
            <w:tcW w:w="4580" w:type="dxa"/>
            <w:vAlign w:val="bottom"/>
          </w:tcPr>
          <w:p>
            <w:pPr>
              <w:spacing w:after="0"/>
              <w:rPr>
                <w:sz w:val="19"/>
                <w:szCs w:val="19"/>
                <w:color w:val="auto"/>
              </w:rPr>
            </w:pPr>
          </w:p>
        </w:tc>
        <w:tc>
          <w:tcPr>
            <w:tcW w:w="1720" w:type="dxa"/>
            <w:vAlign w:val="bottom"/>
            <w:gridSpan w:val="3"/>
          </w:tcPr>
          <w:p>
            <w:pPr>
              <w:jc w:val="center"/>
              <w:ind w:right="340"/>
              <w:spacing w:after="0"/>
              <w:rPr>
                <w:sz w:val="20"/>
                <w:szCs w:val="20"/>
                <w:color w:val="auto"/>
              </w:rPr>
            </w:pPr>
            <w:r>
              <w:rPr>
                <w:rFonts w:ascii="Arial" w:cs="Arial" w:eastAsia="Arial" w:hAnsi="Arial"/>
                <w:sz w:val="17"/>
                <w:szCs w:val="17"/>
                <w:color w:val="auto"/>
                <w:w w:val="96"/>
              </w:rPr>
              <w:t>(Effective Portion)</w:t>
            </w:r>
          </w:p>
        </w:tc>
        <w:tc>
          <w:tcPr>
            <w:tcW w:w="9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340" w:type="dxa"/>
            <w:vAlign w:val="bottom"/>
            <w:gridSpan w:val="6"/>
          </w:tcPr>
          <w:p>
            <w:pPr>
              <w:ind w:left="200"/>
              <w:spacing w:after="0"/>
              <w:rPr>
                <w:sz w:val="20"/>
                <w:szCs w:val="20"/>
                <w:color w:val="auto"/>
              </w:rPr>
            </w:pPr>
            <w:r>
              <w:rPr>
                <w:rFonts w:ascii="Arial" w:cs="Arial" w:eastAsia="Arial" w:hAnsi="Arial"/>
                <w:sz w:val="17"/>
                <w:szCs w:val="17"/>
                <w:color w:val="auto"/>
              </w:rPr>
              <w:t>(Effective Portion)</w:t>
            </w: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12"/>
        </w:trPr>
        <w:tc>
          <w:tcPr>
            <w:tcW w:w="4580" w:type="dxa"/>
            <w:vAlign w:val="bottom"/>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gridSpan w:val="3"/>
          </w:tcPr>
          <w:p>
            <w:pPr>
              <w:ind w:left="540"/>
              <w:spacing w:after="0"/>
              <w:rPr>
                <w:sz w:val="20"/>
                <w:szCs w:val="20"/>
                <w:color w:val="auto"/>
              </w:rPr>
            </w:pPr>
            <w:r>
              <w:rPr>
                <w:rFonts w:ascii="Arial" w:cs="Arial" w:eastAsia="Arial" w:hAnsi="Arial"/>
                <w:sz w:val="17"/>
                <w:szCs w:val="17"/>
                <w:color w:val="auto"/>
                <w:w w:val="89"/>
              </w:rPr>
              <w:t>Quarter Ended</w:t>
            </w:r>
          </w:p>
        </w:tc>
        <w:tc>
          <w:tcPr>
            <w:tcW w:w="7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2260" w:type="dxa"/>
            <w:vAlign w:val="bottom"/>
            <w:tcBorders>
              <w:top w:val="single" w:sz="8" w:color="auto"/>
              <w:bottom w:val="single" w:sz="8" w:color="auto"/>
            </w:tcBorders>
            <w:gridSpan w:val="4"/>
          </w:tcPr>
          <w:p>
            <w:pPr>
              <w:ind w:left="320"/>
              <w:spacing w:after="0"/>
              <w:rPr>
                <w:sz w:val="20"/>
                <w:szCs w:val="20"/>
                <w:color w:val="auto"/>
              </w:rPr>
            </w:pPr>
            <w:r>
              <w:rPr>
                <w:rFonts w:ascii="Arial" w:cs="Arial" w:eastAsia="Arial" w:hAnsi="Arial"/>
                <w:sz w:val="17"/>
                <w:szCs w:val="17"/>
                <w:color w:val="auto"/>
              </w:rPr>
              <w:t>Nine Months Ended</w:t>
            </w:r>
          </w:p>
        </w:tc>
        <w:tc>
          <w:tcPr>
            <w:tcW w:w="100" w:type="dxa"/>
            <w:vAlign w:val="bottom"/>
          </w:tcPr>
          <w:p>
            <w:pPr>
              <w:spacing w:after="0"/>
              <w:rPr>
                <w:sz w:val="18"/>
                <w:szCs w:val="18"/>
                <w:color w:val="auto"/>
              </w:rPr>
            </w:pPr>
          </w:p>
        </w:tc>
      </w:tr>
      <w:tr>
        <w:trPr>
          <w:trHeight w:val="194"/>
        </w:trPr>
        <w:tc>
          <w:tcPr>
            <w:tcW w:w="458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gridSpan w:val="2"/>
          </w:tcPr>
          <w:p>
            <w:pPr>
              <w:jc w:val="center"/>
              <w:ind w:right="440"/>
              <w:spacing w:after="0" w:line="194" w:lineRule="exact"/>
              <w:rPr>
                <w:sz w:val="20"/>
                <w:szCs w:val="20"/>
                <w:color w:val="auto"/>
              </w:rPr>
            </w:pPr>
            <w:r>
              <w:rPr>
                <w:rFonts w:ascii="Arial" w:cs="Arial" w:eastAsia="Arial" w:hAnsi="Arial"/>
                <w:sz w:val="17"/>
                <w:szCs w:val="17"/>
                <w:color w:val="auto"/>
                <w:w w:val="93"/>
              </w:rPr>
              <w:t>May 3,</w:t>
            </w:r>
          </w:p>
        </w:tc>
        <w:tc>
          <w:tcPr>
            <w:tcW w:w="1160" w:type="dxa"/>
            <w:vAlign w:val="bottom"/>
            <w:gridSpan w:val="2"/>
          </w:tcPr>
          <w:p>
            <w:pPr>
              <w:jc w:val="center"/>
              <w:spacing w:after="0" w:line="194" w:lineRule="exact"/>
              <w:rPr>
                <w:sz w:val="20"/>
                <w:szCs w:val="20"/>
                <w:color w:val="auto"/>
              </w:rPr>
            </w:pPr>
            <w:r>
              <w:rPr>
                <w:rFonts w:ascii="Arial" w:cs="Arial" w:eastAsia="Arial" w:hAnsi="Arial"/>
                <w:sz w:val="17"/>
                <w:szCs w:val="17"/>
                <w:color w:val="auto"/>
                <w:w w:val="99"/>
              </w:rPr>
              <w:t>April 27,</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40" w:type="dxa"/>
            <w:vAlign w:val="bottom"/>
            <w:gridSpan w:val="2"/>
          </w:tcPr>
          <w:p>
            <w:pPr>
              <w:jc w:val="center"/>
              <w:ind w:right="420"/>
              <w:spacing w:after="0" w:line="194" w:lineRule="exact"/>
              <w:rPr>
                <w:sz w:val="20"/>
                <w:szCs w:val="20"/>
                <w:color w:val="auto"/>
              </w:rPr>
            </w:pPr>
            <w:r>
              <w:rPr>
                <w:rFonts w:ascii="Arial" w:cs="Arial" w:eastAsia="Arial" w:hAnsi="Arial"/>
                <w:sz w:val="17"/>
                <w:szCs w:val="17"/>
                <w:color w:val="auto"/>
                <w:w w:val="93"/>
              </w:rPr>
              <w:t>May 3,</w:t>
            </w:r>
          </w:p>
        </w:tc>
        <w:tc>
          <w:tcPr>
            <w:tcW w:w="160" w:type="dxa"/>
            <w:vAlign w:val="bottom"/>
          </w:tcPr>
          <w:p>
            <w:pPr>
              <w:spacing w:after="0"/>
              <w:rPr>
                <w:sz w:val="16"/>
                <w:szCs w:val="16"/>
                <w:color w:val="auto"/>
              </w:rPr>
            </w:pPr>
          </w:p>
        </w:tc>
        <w:tc>
          <w:tcPr>
            <w:tcW w:w="960" w:type="dxa"/>
            <w:vAlign w:val="bottom"/>
          </w:tcPr>
          <w:p>
            <w:pPr>
              <w:jc w:val="center"/>
              <w:ind w:right="74"/>
              <w:spacing w:after="0" w:line="194" w:lineRule="exact"/>
              <w:rPr>
                <w:sz w:val="20"/>
                <w:szCs w:val="20"/>
                <w:color w:val="auto"/>
              </w:rPr>
            </w:pPr>
            <w:r>
              <w:rPr>
                <w:rFonts w:ascii="Arial" w:cs="Arial" w:eastAsia="Arial" w:hAnsi="Arial"/>
                <w:sz w:val="17"/>
                <w:szCs w:val="17"/>
                <w:color w:val="auto"/>
              </w:rPr>
              <w:t>April 27,</w:t>
            </w:r>
          </w:p>
        </w:tc>
        <w:tc>
          <w:tcPr>
            <w:tcW w:w="100" w:type="dxa"/>
            <w:vAlign w:val="bottom"/>
          </w:tcPr>
          <w:p>
            <w:pPr>
              <w:spacing w:after="0"/>
              <w:rPr>
                <w:sz w:val="16"/>
                <w:szCs w:val="16"/>
                <w:color w:val="auto"/>
              </w:rPr>
            </w:pPr>
          </w:p>
        </w:tc>
      </w:tr>
      <w:tr>
        <w:trPr>
          <w:trHeight w:val="225"/>
        </w:trPr>
        <w:tc>
          <w:tcPr>
            <w:tcW w:w="45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2013</w:t>
            </w:r>
          </w:p>
        </w:tc>
        <w:tc>
          <w:tcPr>
            <w:tcW w:w="2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w w:val="84"/>
              </w:rPr>
              <w:t>2012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2013</w:t>
            </w:r>
          </w:p>
        </w:tc>
        <w:tc>
          <w:tcPr>
            <w:tcW w:w="2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r>
      <w:tr>
        <w:trPr>
          <w:trHeight w:val="205"/>
        </w:trPr>
        <w:tc>
          <w:tcPr>
            <w:tcW w:w="4580" w:type="dxa"/>
            <w:vAlign w:val="bottom"/>
          </w:tcPr>
          <w:p>
            <w:pPr>
              <w:spacing w:after="0"/>
              <w:rPr>
                <w:sz w:val="20"/>
                <w:szCs w:val="20"/>
                <w:color w:val="auto"/>
              </w:rPr>
            </w:pPr>
            <w:r>
              <w:rPr>
                <w:rFonts w:ascii="Arial" w:cs="Arial" w:eastAsia="Arial" w:hAnsi="Arial"/>
                <w:sz w:val="17"/>
                <w:szCs w:val="17"/>
                <w:color w:val="auto"/>
              </w:rPr>
              <w:t>Cash flow hedges:</w:t>
            </w: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8"/>
        </w:trPr>
        <w:tc>
          <w:tcPr>
            <w:tcW w:w="4580" w:type="dxa"/>
            <w:vAlign w:val="bottom"/>
            <w:shd w:val="clear" w:color="auto" w:fill="CCEEFF"/>
          </w:tcPr>
          <w:p>
            <w:pPr>
              <w:spacing w:after="0"/>
              <w:rPr>
                <w:sz w:val="20"/>
                <w:szCs w:val="20"/>
                <w:color w:val="auto"/>
              </w:rPr>
            </w:pPr>
            <w:r>
              <w:rPr>
                <w:rFonts w:ascii="Arial" w:cs="Arial" w:eastAsia="Arial" w:hAnsi="Arial"/>
                <w:sz w:val="17"/>
                <w:szCs w:val="17"/>
                <w:color w:val="auto"/>
              </w:rPr>
              <w:t>Interest rate swaps</w:t>
            </w:r>
          </w:p>
        </w:tc>
        <w:tc>
          <w:tcPr>
            <w:tcW w:w="1720" w:type="dxa"/>
            <w:vAlign w:val="bottom"/>
            <w:gridSpan w:val="3"/>
            <w:shd w:val="clear" w:color="auto" w:fill="CCEEFF"/>
          </w:tcPr>
          <w:p>
            <w:pPr>
              <w:ind w:left="140"/>
              <w:spacing w:after="0"/>
              <w:rPr>
                <w:sz w:val="20"/>
                <w:szCs w:val="20"/>
                <w:color w:val="auto"/>
              </w:rPr>
            </w:pPr>
            <w:r>
              <w:rPr>
                <w:rFonts w:ascii="Arial" w:cs="Arial" w:eastAsia="Arial" w:hAnsi="Arial"/>
                <w:sz w:val="17"/>
                <w:szCs w:val="17"/>
                <w:color w:val="auto"/>
              </w:rPr>
              <w:t>Interest expense   $</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13,743</w:t>
            </w:r>
          </w:p>
        </w:tc>
        <w:tc>
          <w:tcPr>
            <w:tcW w:w="400" w:type="dxa"/>
            <w:vAlign w:val="bottom"/>
            <w:shd w:val="clear" w:color="auto" w:fill="CCEEFF"/>
          </w:tcPr>
          <w:p>
            <w:pPr>
              <w:jc w:val="right"/>
              <w:ind w:right="239"/>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7,222</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20,773</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22,134</w:t>
            </w:r>
          </w:p>
        </w:tc>
      </w:tr>
      <w:tr>
        <w:trPr>
          <w:trHeight w:val="20"/>
        </w:trPr>
        <w:tc>
          <w:tcPr>
            <w:tcW w:w="458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20"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Any portion of the fair value of the swaps determined to be ineffective will be recognized currently in earnings. No ineffectiveness has been recorded in the nine-month periods ended May 3, 2013 and April 27, 2012.</w:t>
      </w:r>
    </w:p>
    <w:p>
      <w:pPr>
        <w:spacing w:after="0" w:line="183" w:lineRule="exact"/>
        <w:rPr>
          <w:sz w:val="20"/>
          <w:szCs w:val="20"/>
          <w:color w:val="auto"/>
        </w:rPr>
      </w:pPr>
    </w:p>
    <w:p>
      <w:pPr>
        <w:ind w:left="620" w:hanging="617"/>
        <w:spacing w:after="0"/>
        <w:tabs>
          <w:tab w:leader="none" w:pos="620" w:val="left"/>
        </w:tabs>
        <w:numPr>
          <w:ilvl w:val="0"/>
          <w:numId w:val="8"/>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Shareholders’ Equity</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During the nine-month period ended May 3, 2013, the Company received proceeds of $5,195 from the exercise of share-based compensation awards and the corresponding issuance of 329,232 shares of its common stock. During the nine-month period ended May 3, 2013, the Company repurchased 44,300 shares of its common stock in the open market at an aggregate cost of $3,570.</w:t>
      </w:r>
    </w:p>
    <w:p>
      <w:pPr>
        <w:spacing w:after="0" w:line="202" w:lineRule="exact"/>
        <w:rPr>
          <w:sz w:val="20"/>
          <w:szCs w:val="20"/>
          <w:color w:val="auto"/>
        </w:rPr>
      </w:pPr>
    </w:p>
    <w:p>
      <w:pPr>
        <w:jc w:val="both"/>
        <w:ind w:firstLine="620"/>
        <w:spacing w:after="0" w:line="318" w:lineRule="auto"/>
        <w:rPr>
          <w:sz w:val="20"/>
          <w:szCs w:val="20"/>
          <w:color w:val="auto"/>
        </w:rPr>
      </w:pPr>
      <w:r>
        <w:rPr>
          <w:rFonts w:ascii="Arial" w:cs="Arial" w:eastAsia="Arial" w:hAnsi="Arial"/>
          <w:sz w:val="15"/>
          <w:szCs w:val="15"/>
          <w:color w:val="auto"/>
        </w:rPr>
        <w:t>During the nine-month period ended May 3, 2013, the Company paid dividends of $1.40 per share of its common stock. In addition, the Company declared a regular dividend of $0.50 per share of its common stock that was paid on May 6, 2013 to shareholders of record on April 19, 2013. During the fourth quarter of 2013, the Company declared a regular dividend of $0.75 per share of its common stock payable on August 5, 2013 to shareholders of record on July 19, 2013.</w:t>
      </w:r>
    </w:p>
    <w:p>
      <w:pPr>
        <w:spacing w:after="0" w:line="166"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During the nine-month period ended May 3, 2013, the unrealized loss, net of tax, on the Company’s interest rate swaps decreased by $10,782 to $10,376 and is recorded in AOCL (see Notes 2 and 5).</w:t>
      </w:r>
    </w:p>
    <w:p>
      <w:pPr>
        <w:spacing w:after="0" w:line="18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During the nine-month period ended May 3, 2013, total share-based compensation expense was $10,996. The excess tax benefit realized upon exercise of share-based compensation awards was $1,961.</w:t>
      </w:r>
    </w:p>
    <w:p>
      <w:pPr>
        <w:spacing w:after="0" w:line="183" w:lineRule="exact"/>
        <w:rPr>
          <w:sz w:val="20"/>
          <w:szCs w:val="20"/>
          <w:color w:val="auto"/>
        </w:rPr>
      </w:pPr>
    </w:p>
    <w:p>
      <w:pPr>
        <w:ind w:left="620" w:hanging="617"/>
        <w:spacing w:after="0"/>
        <w:tabs>
          <w:tab w:leader="none" w:pos="620" w:val="left"/>
        </w:tabs>
        <w:numPr>
          <w:ilvl w:val="0"/>
          <w:numId w:val="9"/>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Seasonality</w:t>
      </w:r>
    </w:p>
    <w:p>
      <w:pPr>
        <w:spacing w:after="0" w:line="249" w:lineRule="exact"/>
        <w:rPr>
          <w:sz w:val="20"/>
          <w:szCs w:val="20"/>
          <w:color w:val="auto"/>
        </w:rPr>
      </w:pPr>
    </w:p>
    <w:p>
      <w:pPr>
        <w:jc w:val="both"/>
        <w:ind w:firstLine="310"/>
        <w:spacing w:after="0" w:line="278" w:lineRule="auto"/>
        <w:rPr>
          <w:sz w:val="20"/>
          <w:szCs w:val="20"/>
          <w:color w:val="auto"/>
        </w:rPr>
      </w:pPr>
      <w:r>
        <w:rPr>
          <w:rFonts w:ascii="Arial" w:cs="Arial" w:eastAsia="Arial" w:hAnsi="Arial"/>
          <w:sz w:val="16"/>
          <w:szCs w:val="16"/>
          <w:color w:val="auto"/>
        </w:rPr>
        <w:t>Historically, the net income of the Company has been lower in the first and third quarters and higher in the second and fourth quarters. Management attributes these variations to the Christmas holiday shopping season and the summer vacation and travel season. The Company's retail sales, which are made substantially to the Company’s restaurant customers, historically have been highest in the Company's second quarter, which includes the Christmas holiday shopping season. Historically, interstate tourist traffic and the propensity to dine out have been higher during the summer months, thereby contributing to higher profits in the Company’s fourth quarter. The Company generally opens additional new locations throughout the year. Therefore, the results of operations for any interim period cannot be considered indicative of the operating results for an entire year.</w:t>
      </w:r>
    </w:p>
    <w:p>
      <w:pPr>
        <w:spacing w:after="0" w:line="32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2" w:name="page13"/>
    <w:bookmarkEnd w:id="1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ind w:left="620" w:hanging="617"/>
        <w:spacing w:after="0"/>
        <w:tabs>
          <w:tab w:leader="none" w:pos="620" w:val="left"/>
        </w:tabs>
        <w:numPr>
          <w:ilvl w:val="0"/>
          <w:numId w:val="10"/>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Segment Information</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Cracker Barrel stores represent a single, integrated operation with two related and substantially integrated product lines. The operating expenses of the restaurant and retail product lines of a Cracker Barrel store are shared and are indistinguishable in many respects. Accordingly, the Company currently manages its business on the basis of one reportable operating segment. All of the Company’s operations are located within the United States. Total revenue was comprised of the following at: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20" w:type="dxa"/>
            <w:vAlign w:val="bottom"/>
            <w:gridSpan w:val="5"/>
          </w:tcPr>
          <w:p>
            <w:pPr>
              <w:jc w:val="right"/>
              <w:ind w:right="694"/>
              <w:spacing w:after="0"/>
              <w:rPr>
                <w:sz w:val="20"/>
                <w:szCs w:val="20"/>
                <w:color w:val="auto"/>
              </w:rPr>
            </w:pPr>
            <w:r>
              <w:rPr>
                <w:rFonts w:ascii="Arial" w:cs="Arial" w:eastAsia="Arial" w:hAnsi="Arial"/>
                <w:sz w:val="17"/>
                <w:szCs w:val="17"/>
                <w:color w:val="auto"/>
              </w:rPr>
              <w:t>Quarter Ended</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gridSpan w:val="5"/>
          </w:tcPr>
          <w:p>
            <w:pPr>
              <w:jc w:val="right"/>
              <w:ind w:right="660"/>
              <w:spacing w:after="0"/>
              <w:rPr>
                <w:sz w:val="20"/>
                <w:szCs w:val="20"/>
                <w:color w:val="auto"/>
              </w:rPr>
            </w:pPr>
            <w:r>
              <w:rPr>
                <w:rFonts w:ascii="Arial" w:cs="Arial" w:eastAsia="Arial" w:hAnsi="Arial"/>
                <w:sz w:val="17"/>
                <w:szCs w:val="17"/>
                <w:color w:val="auto"/>
              </w:rPr>
              <w:t>Nine Months Ended</w:t>
            </w:r>
          </w:p>
        </w:tc>
      </w:tr>
      <w:tr>
        <w:trPr>
          <w:trHeight w:val="194"/>
        </w:trPr>
        <w:tc>
          <w:tcPr>
            <w:tcW w:w="60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120"/>
              <w:spacing w:after="0" w:line="194" w:lineRule="exact"/>
              <w:rPr>
                <w:sz w:val="20"/>
                <w:szCs w:val="20"/>
                <w:color w:val="auto"/>
              </w:rPr>
            </w:pPr>
            <w:r>
              <w:rPr>
                <w:rFonts w:ascii="Arial" w:cs="Arial" w:eastAsia="Arial" w:hAnsi="Arial"/>
                <w:sz w:val="17"/>
                <w:szCs w:val="17"/>
                <w:color w:val="auto"/>
              </w:rPr>
              <w:t>May 3,</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4"/>
              <w:spacing w:after="0" w:line="194" w:lineRule="exact"/>
              <w:rPr>
                <w:sz w:val="20"/>
                <w:szCs w:val="20"/>
                <w:color w:val="auto"/>
              </w:rPr>
            </w:pPr>
            <w:r>
              <w:rPr>
                <w:rFonts w:ascii="Arial" w:cs="Arial" w:eastAsia="Arial" w:hAnsi="Arial"/>
                <w:sz w:val="17"/>
                <w:szCs w:val="17"/>
                <w:color w:val="auto"/>
              </w:rPr>
              <w:t>April 27,</w:t>
            </w:r>
          </w:p>
        </w:tc>
        <w:tc>
          <w:tcPr>
            <w:tcW w:w="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140"/>
              <w:spacing w:after="0" w:line="194" w:lineRule="exact"/>
              <w:rPr>
                <w:sz w:val="20"/>
                <w:szCs w:val="20"/>
                <w:color w:val="auto"/>
              </w:rPr>
            </w:pPr>
            <w:r>
              <w:rPr>
                <w:rFonts w:ascii="Arial" w:cs="Arial" w:eastAsia="Arial" w:hAnsi="Arial"/>
                <w:sz w:val="17"/>
                <w:szCs w:val="17"/>
                <w:color w:val="auto"/>
              </w:rPr>
              <w:t>May 3,</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14"/>
              <w:spacing w:after="0" w:line="194" w:lineRule="exact"/>
              <w:rPr>
                <w:sz w:val="20"/>
                <w:szCs w:val="20"/>
                <w:color w:val="auto"/>
              </w:rPr>
            </w:pPr>
            <w:r>
              <w:rPr>
                <w:rFonts w:ascii="Arial" w:cs="Arial" w:eastAsia="Arial" w:hAnsi="Arial"/>
                <w:sz w:val="17"/>
                <w:szCs w:val="17"/>
                <w:color w:val="auto"/>
              </w:rPr>
              <w:t>April 27,</w:t>
            </w:r>
          </w:p>
        </w:tc>
        <w:tc>
          <w:tcPr>
            <w:tcW w:w="100" w:type="dxa"/>
            <w:vAlign w:val="bottom"/>
          </w:tcPr>
          <w:p>
            <w:pPr>
              <w:spacing w:after="0"/>
              <w:rPr>
                <w:sz w:val="16"/>
                <w:szCs w:val="16"/>
                <w:color w:val="auto"/>
              </w:rPr>
            </w:pPr>
          </w:p>
        </w:tc>
      </w:tr>
      <w:tr>
        <w:trPr>
          <w:trHeight w:val="225"/>
        </w:trPr>
        <w:tc>
          <w:tcPr>
            <w:tcW w:w="60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2012</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2013</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r>
      <w:tr>
        <w:trPr>
          <w:trHeight w:val="206"/>
        </w:trPr>
        <w:tc>
          <w:tcPr>
            <w:tcW w:w="6060" w:type="dxa"/>
            <w:vAlign w:val="bottom"/>
          </w:tcPr>
          <w:p>
            <w:pPr>
              <w:spacing w:after="0"/>
              <w:rPr>
                <w:sz w:val="20"/>
                <w:szCs w:val="20"/>
                <w:color w:val="auto"/>
              </w:rPr>
            </w:pPr>
            <w:r>
              <w:rPr>
                <w:rFonts w:ascii="Arial" w:cs="Arial" w:eastAsia="Arial" w:hAnsi="Arial"/>
                <w:sz w:val="17"/>
                <w:szCs w:val="17"/>
                <w:color w:val="auto"/>
              </w:rPr>
              <w:t>Revenue:</w:t>
            </w: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07"/>
        </w:trPr>
        <w:tc>
          <w:tcPr>
            <w:tcW w:w="6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Restaurant</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522,642</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500,025</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1,555,111</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1,485,065</w:t>
            </w:r>
          </w:p>
        </w:tc>
      </w:tr>
      <w:tr>
        <w:trPr>
          <w:trHeight w:val="206"/>
        </w:trPr>
        <w:tc>
          <w:tcPr>
            <w:tcW w:w="6060" w:type="dxa"/>
            <w:vAlign w:val="bottom"/>
          </w:tcPr>
          <w:p>
            <w:pPr>
              <w:ind w:left="160"/>
              <w:spacing w:after="0"/>
              <w:rPr>
                <w:sz w:val="20"/>
                <w:szCs w:val="20"/>
                <w:color w:val="auto"/>
              </w:rPr>
            </w:pPr>
            <w:r>
              <w:rPr>
                <w:rFonts w:ascii="Arial" w:cs="Arial" w:eastAsia="Arial" w:hAnsi="Arial"/>
                <w:sz w:val="17"/>
                <w:szCs w:val="17"/>
                <w:color w:val="auto"/>
              </w:rPr>
              <w:t>Retail</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117,765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108,489</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415,418</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395,120</w:t>
            </w:r>
          </w:p>
        </w:tc>
      </w:tr>
      <w:tr>
        <w:trPr>
          <w:trHeight w:val="26"/>
        </w:trPr>
        <w:tc>
          <w:tcPr>
            <w:tcW w:w="60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6"/>
        </w:trPr>
        <w:tc>
          <w:tcPr>
            <w:tcW w:w="6060" w:type="dxa"/>
            <w:vAlign w:val="bottom"/>
            <w:shd w:val="clear" w:color="auto" w:fill="CCEEFF"/>
          </w:tcPr>
          <w:p>
            <w:pPr>
              <w:ind w:left="160"/>
              <w:spacing w:after="0"/>
              <w:rPr>
                <w:sz w:val="20"/>
                <w:szCs w:val="20"/>
                <w:color w:val="auto"/>
              </w:rPr>
            </w:pPr>
            <w:r>
              <w:rPr>
                <w:rFonts w:ascii="Arial" w:cs="Arial" w:eastAsia="Arial" w:hAnsi="Arial"/>
                <w:sz w:val="17"/>
                <w:szCs w:val="17"/>
                <w:color w:val="auto"/>
              </w:rPr>
              <w:t>Total revenue</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640,407</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608,514</w:t>
            </w:r>
          </w:p>
        </w:tc>
        <w:tc>
          <w:tcPr>
            <w:tcW w:w="46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1,970,529</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1,880,185</w:t>
            </w:r>
          </w:p>
        </w:tc>
      </w:tr>
      <w:tr>
        <w:trPr>
          <w:trHeight w:val="20"/>
        </w:trPr>
        <w:tc>
          <w:tcPr>
            <w:tcW w:w="60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4" w:lineRule="exact"/>
        <w:rPr>
          <w:sz w:val="20"/>
          <w:szCs w:val="20"/>
          <w:color w:val="auto"/>
        </w:rPr>
      </w:pPr>
    </w:p>
    <w:p>
      <w:pPr>
        <w:ind w:left="620" w:hanging="617"/>
        <w:spacing w:after="0"/>
        <w:tabs>
          <w:tab w:leader="none" w:pos="620" w:val="left"/>
        </w:tabs>
        <w:numPr>
          <w:ilvl w:val="0"/>
          <w:numId w:val="11"/>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Share-Based Compensation</w:t>
      </w:r>
    </w:p>
    <w:p>
      <w:pPr>
        <w:spacing w:after="0" w:line="249"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Share-based compensation is recorded in general and administrative expenses in the accompanying Condensed Consolidated Statements of Income. Total share-based compensation was comprised of the following at:</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60" w:type="dxa"/>
            <w:vAlign w:val="bottom"/>
            <w:gridSpan w:val="5"/>
          </w:tcPr>
          <w:p>
            <w:pPr>
              <w:ind w:left="520"/>
              <w:spacing w:after="0"/>
              <w:rPr>
                <w:sz w:val="20"/>
                <w:szCs w:val="20"/>
                <w:color w:val="auto"/>
              </w:rPr>
            </w:pPr>
            <w:r>
              <w:rPr>
                <w:rFonts w:ascii="Arial" w:cs="Arial" w:eastAsia="Arial" w:hAnsi="Arial"/>
                <w:sz w:val="17"/>
                <w:szCs w:val="17"/>
                <w:color w:val="auto"/>
              </w:rPr>
              <w:t>Quarter Ended</w:t>
            </w:r>
          </w:p>
        </w:tc>
        <w:tc>
          <w:tcPr>
            <w:tcW w:w="220" w:type="dxa"/>
            <w:vAlign w:val="bottom"/>
          </w:tcPr>
          <w:p>
            <w:pPr>
              <w:spacing w:after="0"/>
              <w:rPr>
                <w:sz w:val="19"/>
                <w:szCs w:val="19"/>
                <w:color w:val="auto"/>
              </w:rPr>
            </w:pPr>
          </w:p>
        </w:tc>
        <w:tc>
          <w:tcPr>
            <w:tcW w:w="2360" w:type="dxa"/>
            <w:vAlign w:val="bottom"/>
            <w:gridSpan w:val="5"/>
          </w:tcPr>
          <w:p>
            <w:pPr>
              <w:jc w:val="right"/>
              <w:ind w:right="660"/>
              <w:spacing w:after="0"/>
              <w:rPr>
                <w:sz w:val="20"/>
                <w:szCs w:val="20"/>
                <w:color w:val="auto"/>
              </w:rPr>
            </w:pPr>
            <w:r>
              <w:rPr>
                <w:rFonts w:ascii="Arial" w:cs="Arial" w:eastAsia="Arial" w:hAnsi="Arial"/>
                <w:sz w:val="17"/>
                <w:szCs w:val="17"/>
                <w:color w:val="auto"/>
              </w:rPr>
              <w:t>Nine Months Ended</w:t>
            </w:r>
          </w:p>
        </w:tc>
      </w:tr>
      <w:tr>
        <w:trPr>
          <w:trHeight w:val="194"/>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254"/>
              <w:spacing w:after="0" w:line="194" w:lineRule="exact"/>
              <w:rPr>
                <w:sz w:val="20"/>
                <w:szCs w:val="20"/>
                <w:color w:val="auto"/>
              </w:rPr>
            </w:pPr>
            <w:r>
              <w:rPr>
                <w:rFonts w:ascii="Arial" w:cs="Arial" w:eastAsia="Arial" w:hAnsi="Arial"/>
                <w:sz w:val="17"/>
                <w:szCs w:val="17"/>
                <w:color w:val="auto"/>
              </w:rPr>
              <w:t>May 3,</w:t>
            </w:r>
          </w:p>
        </w:tc>
        <w:tc>
          <w:tcPr>
            <w:tcW w:w="2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4"/>
              <w:spacing w:after="0" w:line="194" w:lineRule="exact"/>
              <w:rPr>
                <w:sz w:val="20"/>
                <w:szCs w:val="20"/>
                <w:color w:val="auto"/>
              </w:rPr>
            </w:pPr>
            <w:r>
              <w:rPr>
                <w:rFonts w:ascii="Arial" w:cs="Arial" w:eastAsia="Arial" w:hAnsi="Arial"/>
                <w:sz w:val="17"/>
                <w:szCs w:val="17"/>
                <w:color w:val="auto"/>
              </w:rPr>
              <w:t>April 27,</w:t>
            </w:r>
          </w:p>
        </w:tc>
        <w:tc>
          <w:tcPr>
            <w:tcW w:w="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140"/>
              <w:spacing w:after="0" w:line="194" w:lineRule="exact"/>
              <w:rPr>
                <w:sz w:val="20"/>
                <w:szCs w:val="20"/>
                <w:color w:val="auto"/>
              </w:rPr>
            </w:pPr>
            <w:r>
              <w:rPr>
                <w:rFonts w:ascii="Arial" w:cs="Arial" w:eastAsia="Arial" w:hAnsi="Arial"/>
                <w:sz w:val="17"/>
                <w:szCs w:val="17"/>
                <w:color w:val="auto"/>
              </w:rPr>
              <w:t>May 3,</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14"/>
              <w:spacing w:after="0" w:line="194" w:lineRule="exact"/>
              <w:rPr>
                <w:sz w:val="20"/>
                <w:szCs w:val="20"/>
                <w:color w:val="auto"/>
              </w:rPr>
            </w:pPr>
            <w:r>
              <w:rPr>
                <w:rFonts w:ascii="Arial" w:cs="Arial" w:eastAsia="Arial" w:hAnsi="Arial"/>
                <w:sz w:val="17"/>
                <w:szCs w:val="17"/>
                <w:color w:val="auto"/>
              </w:rPr>
              <w:t>April 27,</w:t>
            </w:r>
          </w:p>
        </w:tc>
        <w:tc>
          <w:tcPr>
            <w:tcW w:w="100" w:type="dxa"/>
            <w:vAlign w:val="bottom"/>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60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2013</w:t>
            </w: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2012</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2013</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Nonvested stock awards</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5,074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2,774</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9,238</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6,839</w:t>
            </w:r>
          </w:p>
        </w:tc>
      </w:tr>
      <w:tr>
        <w:trPr>
          <w:trHeight w:val="206"/>
        </w:trPr>
        <w:tc>
          <w:tcPr>
            <w:tcW w:w="20" w:type="dxa"/>
            <w:vAlign w:val="bottom"/>
          </w:tcPr>
          <w:p>
            <w:pPr>
              <w:spacing w:after="0"/>
              <w:rPr>
                <w:sz w:val="17"/>
                <w:szCs w:val="17"/>
                <w:color w:val="auto"/>
              </w:rPr>
            </w:pPr>
          </w:p>
        </w:tc>
        <w:tc>
          <w:tcPr>
            <w:tcW w:w="6040" w:type="dxa"/>
            <w:vAlign w:val="bottom"/>
          </w:tcPr>
          <w:p>
            <w:pPr>
              <w:spacing w:after="0"/>
              <w:rPr>
                <w:sz w:val="20"/>
                <w:szCs w:val="20"/>
                <w:color w:val="auto"/>
              </w:rPr>
            </w:pPr>
            <w:r>
              <w:rPr>
                <w:rFonts w:ascii="Arial" w:cs="Arial" w:eastAsia="Arial" w:hAnsi="Arial"/>
                <w:sz w:val="17"/>
                <w:szCs w:val="17"/>
                <w:color w:val="auto"/>
              </w:rPr>
              <w:t>Performance-based market stock units (“MSU Grants”)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513</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491</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1,670</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1,526</w:t>
            </w:r>
          </w:p>
        </w:tc>
      </w:tr>
      <w:tr>
        <w:trPr>
          <w:trHeight w:val="206"/>
        </w:trPr>
        <w:tc>
          <w:tcPr>
            <w:tcW w:w="20" w:type="dxa"/>
            <w:vAlign w:val="bottom"/>
          </w:tcPr>
          <w:p>
            <w:pPr>
              <w:spacing w:after="0"/>
              <w:rPr>
                <w:sz w:val="17"/>
                <w:szCs w:val="17"/>
                <w:color w:val="auto"/>
              </w:rPr>
            </w:pPr>
          </w:p>
        </w:tc>
        <w:tc>
          <w:tcPr>
            <w:tcW w:w="6040" w:type="dxa"/>
            <w:vAlign w:val="bottom"/>
            <w:shd w:val="clear" w:color="auto" w:fill="CCEEFF"/>
          </w:tcPr>
          <w:p>
            <w:pPr>
              <w:spacing w:after="0"/>
              <w:rPr>
                <w:sz w:val="20"/>
                <w:szCs w:val="20"/>
                <w:color w:val="auto"/>
              </w:rPr>
            </w:pPr>
            <w:r>
              <w:rPr>
                <w:rFonts w:ascii="Arial" w:cs="Arial" w:eastAsia="Arial" w:hAnsi="Arial"/>
                <w:sz w:val="17"/>
                <w:szCs w:val="17"/>
                <w:color w:val="auto"/>
              </w:rPr>
              <w:t>Stock options</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219</w:t>
            </w: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88</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1,065</w:t>
            </w:r>
          </w:p>
        </w:tc>
      </w:tr>
      <w:tr>
        <w:trPr>
          <w:trHeight w:val="26"/>
        </w:trPr>
        <w:tc>
          <w:tcPr>
            <w:tcW w:w="20" w:type="dxa"/>
            <w:vAlign w:val="bottom"/>
          </w:tcPr>
          <w:p>
            <w:pPr>
              <w:spacing w:after="0"/>
              <w:rPr>
                <w:sz w:val="2"/>
                <w:szCs w:val="2"/>
                <w:color w:val="auto"/>
              </w:rPr>
            </w:pPr>
          </w:p>
        </w:tc>
        <w:tc>
          <w:tcPr>
            <w:tcW w:w="60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06"/>
        </w:trPr>
        <w:tc>
          <w:tcPr>
            <w:tcW w:w="20" w:type="dxa"/>
            <w:vAlign w:val="bottom"/>
          </w:tcPr>
          <w:p>
            <w:pPr>
              <w:spacing w:after="0"/>
              <w:rPr>
                <w:sz w:val="17"/>
                <w:szCs w:val="17"/>
                <w:color w:val="auto"/>
              </w:rPr>
            </w:pPr>
          </w:p>
        </w:tc>
        <w:tc>
          <w:tcPr>
            <w:tcW w:w="6040" w:type="dxa"/>
            <w:vAlign w:val="bottom"/>
          </w:tcPr>
          <w:p>
            <w:pPr>
              <w:spacing w:after="0"/>
              <w:rPr>
                <w:sz w:val="17"/>
                <w:szCs w:val="17"/>
                <w:color w:val="auto"/>
              </w:rPr>
            </w:pPr>
          </w:p>
        </w:tc>
        <w:tc>
          <w:tcPr>
            <w:tcW w:w="220" w:type="dxa"/>
            <w:vAlign w:val="bottom"/>
          </w:tcPr>
          <w:p>
            <w:pPr>
              <w:jc w:val="right"/>
              <w:ind w:right="34"/>
              <w:spacing w:after="0"/>
              <w:rPr>
                <w:sz w:val="20"/>
                <w:szCs w:val="20"/>
                <w:color w:val="auto"/>
              </w:rPr>
            </w:pPr>
            <w:r>
              <w:rPr>
                <w:rFonts w:ascii="Arial" w:cs="Arial" w:eastAsia="Arial" w:hAnsi="Arial"/>
                <w:sz w:val="17"/>
                <w:szCs w:val="17"/>
                <w:color w:val="auto"/>
                <w:w w:val="84"/>
              </w:rPr>
              <w:t>$</w:t>
            </w:r>
          </w:p>
        </w:tc>
        <w:tc>
          <w:tcPr>
            <w:tcW w:w="940" w:type="dxa"/>
            <w:vAlign w:val="bottom"/>
          </w:tcPr>
          <w:p>
            <w:pPr>
              <w:jc w:val="right"/>
              <w:spacing w:after="0"/>
              <w:rPr>
                <w:sz w:val="20"/>
                <w:szCs w:val="20"/>
                <w:color w:val="auto"/>
              </w:rPr>
            </w:pPr>
            <w:r>
              <w:rPr>
                <w:rFonts w:ascii="Arial" w:cs="Arial" w:eastAsia="Arial" w:hAnsi="Arial"/>
                <w:sz w:val="17"/>
                <w:szCs w:val="17"/>
                <w:color w:val="auto"/>
              </w:rPr>
              <w:t>5,587</w:t>
            </w:r>
          </w:p>
        </w:tc>
        <w:tc>
          <w:tcPr>
            <w:tcW w:w="22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980" w:type="dxa"/>
            <w:vAlign w:val="bottom"/>
          </w:tcPr>
          <w:p>
            <w:pPr>
              <w:jc w:val="right"/>
              <w:spacing w:after="0"/>
              <w:rPr>
                <w:sz w:val="20"/>
                <w:szCs w:val="20"/>
                <w:color w:val="auto"/>
              </w:rPr>
            </w:pPr>
            <w:r>
              <w:rPr>
                <w:rFonts w:ascii="Arial" w:cs="Arial" w:eastAsia="Arial" w:hAnsi="Arial"/>
                <w:sz w:val="17"/>
                <w:szCs w:val="17"/>
                <w:color w:val="auto"/>
              </w:rPr>
              <w:t>3,484</w:t>
            </w:r>
          </w:p>
        </w:tc>
        <w:tc>
          <w:tcPr>
            <w:tcW w:w="240" w:type="dxa"/>
            <w:vAlign w:val="bottom"/>
          </w:tcPr>
          <w:p>
            <w:pPr>
              <w:spacing w:after="0"/>
              <w:rPr>
                <w:sz w:val="17"/>
                <w:szCs w:val="17"/>
                <w:color w:val="auto"/>
              </w:rPr>
            </w:pP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10,996</w:t>
            </w:r>
          </w:p>
        </w:tc>
        <w:tc>
          <w:tcPr>
            <w:tcW w:w="220" w:type="dxa"/>
            <w:vAlign w:val="bottom"/>
          </w:tcPr>
          <w:p>
            <w:pPr>
              <w:spacing w:after="0"/>
              <w:rPr>
                <w:sz w:val="17"/>
                <w:szCs w:val="17"/>
                <w:color w:val="auto"/>
              </w:rPr>
            </w:pPr>
          </w:p>
        </w:tc>
        <w:tc>
          <w:tcPr>
            <w:tcW w:w="200" w:type="dxa"/>
            <w:vAlign w:val="bottom"/>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9,430</w:t>
            </w:r>
          </w:p>
        </w:tc>
      </w:tr>
      <w:tr>
        <w:trPr>
          <w:trHeight w:val="20"/>
        </w:trPr>
        <w:tc>
          <w:tcPr>
            <w:tcW w:w="20" w:type="dxa"/>
            <w:vAlign w:val="bottom"/>
          </w:tcPr>
          <w:p>
            <w:pPr>
              <w:spacing w:after="0" w:line="20" w:lineRule="exact"/>
              <w:rPr>
                <w:sz w:val="1"/>
                <w:szCs w:val="1"/>
                <w:color w:val="auto"/>
              </w:rPr>
            </w:pPr>
          </w:p>
        </w:tc>
        <w:tc>
          <w:tcPr>
            <w:tcW w:w="60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4" w:lineRule="exact"/>
        <w:rPr>
          <w:sz w:val="20"/>
          <w:szCs w:val="20"/>
          <w:color w:val="auto"/>
        </w:rPr>
      </w:pPr>
    </w:p>
    <w:p>
      <w:pPr>
        <w:ind w:left="620" w:hanging="617"/>
        <w:spacing w:after="0"/>
        <w:tabs>
          <w:tab w:leader="none" w:pos="620" w:val="left"/>
        </w:tabs>
        <w:numPr>
          <w:ilvl w:val="0"/>
          <w:numId w:val="1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Net Income Per Share and Weighted Average Shares</w:t>
      </w:r>
    </w:p>
    <w:p>
      <w:pPr>
        <w:spacing w:after="0" w:line="249" w:lineRule="exact"/>
        <w:rPr>
          <w:sz w:val="20"/>
          <w:szCs w:val="20"/>
          <w:color w:val="auto"/>
        </w:rPr>
      </w:pPr>
    </w:p>
    <w:p>
      <w:pPr>
        <w:jc w:val="both"/>
        <w:ind w:firstLine="620"/>
        <w:spacing w:after="0" w:line="299" w:lineRule="auto"/>
        <w:rPr>
          <w:sz w:val="20"/>
          <w:szCs w:val="20"/>
          <w:color w:val="auto"/>
        </w:rPr>
      </w:pPr>
      <w:r>
        <w:rPr>
          <w:rFonts w:ascii="Arial" w:cs="Arial" w:eastAsia="Arial" w:hAnsi="Arial"/>
          <w:sz w:val="15"/>
          <w:szCs w:val="15"/>
          <w:color w:val="auto"/>
        </w:rPr>
        <w:t>Basic consolidated net income per share is computed by dividing consolidated net income available to common shareholders by the weighted average number of shares of common stock outstanding for the reporting period. Diluted consolidated net income per share reflects the potential dilution that could occur if securities, options or other contracts to issue shares of common stock were exercised or converted into shares of common stock and is based upon the weighted average number of shares of common stock and common equivalent shares outstanding during the reporting period. Common equivalent shares related to stock options, nonvested stock awards and MSU Grants issued by the Company are calculated using the treasury stock method. The Company’s outstanding stock options, nonvested stock awards and MSU Grants issued by the Company represent the only dilutive effects on diluted consolidated net income per share.</w:t>
      </w: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161"/>
        </w:trPr>
        <w:tc>
          <w:tcPr>
            <w:tcW w:w="6060" w:type="dxa"/>
            <w:vAlign w:val="bottom"/>
            <w:gridSpan w:val="3"/>
          </w:tcPr>
          <w:p>
            <w:pPr>
              <w:spacing w:after="0"/>
              <w:rPr>
                <w:rFonts w:ascii="Arial" w:cs="Arial" w:eastAsia="Arial" w:hAnsi="Arial"/>
                <w:sz w:val="14"/>
                <w:szCs w:val="14"/>
                <w:i w:val="1"/>
                <w:iCs w:val="1"/>
                <w:color w:val="0000EE"/>
              </w:rPr>
            </w:pPr>
            <w:hyperlink w:anchor="page2">
              <w:r>
                <w:rPr>
                  <w:rFonts w:ascii="Arial" w:cs="Arial" w:eastAsia="Arial" w:hAnsi="Arial"/>
                  <w:sz w:val="14"/>
                  <w:szCs w:val="14"/>
                  <w:i w:val="1"/>
                  <w:iCs w:val="1"/>
                  <w:color w:val="0000EE"/>
                </w:rPr>
                <w:t>Index</w:t>
              </w:r>
            </w:hyperlink>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0"/>
        </w:trPr>
        <w:tc>
          <w:tcPr>
            <w:tcW w:w="20" w:type="dxa"/>
            <w:vAlign w:val="bottom"/>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7040" w:type="dxa"/>
            <w:vAlign w:val="bottom"/>
            <w:gridSpan w:val="4"/>
          </w:tcPr>
          <w:p>
            <w:pPr>
              <w:ind w:left="320"/>
              <w:spacing w:after="0"/>
              <w:rPr>
                <w:sz w:val="20"/>
                <w:szCs w:val="20"/>
                <w:color w:val="auto"/>
              </w:rPr>
            </w:pPr>
            <w:r>
              <w:rPr>
                <w:rFonts w:ascii="Arial" w:cs="Arial" w:eastAsia="Arial" w:hAnsi="Arial"/>
                <w:sz w:val="17"/>
                <w:szCs w:val="17"/>
                <w:color w:val="auto"/>
                <w:w w:val="98"/>
              </w:rPr>
              <w:t>The following table reconciles the components of diluted earnings per share computations:</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7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560" w:type="dxa"/>
            <w:vAlign w:val="bottom"/>
            <w:gridSpan w:val="6"/>
          </w:tcPr>
          <w:p>
            <w:pPr>
              <w:ind w:left="520"/>
              <w:spacing w:after="0"/>
              <w:rPr>
                <w:sz w:val="20"/>
                <w:szCs w:val="20"/>
                <w:color w:val="auto"/>
              </w:rPr>
            </w:pPr>
            <w:r>
              <w:rPr>
                <w:rFonts w:ascii="Arial" w:cs="Arial" w:eastAsia="Arial" w:hAnsi="Arial"/>
                <w:sz w:val="17"/>
                <w:szCs w:val="17"/>
                <w:color w:val="auto"/>
              </w:rPr>
              <w:t>Quarter Ended</w:t>
            </w:r>
          </w:p>
        </w:tc>
        <w:tc>
          <w:tcPr>
            <w:tcW w:w="220" w:type="dxa"/>
            <w:vAlign w:val="bottom"/>
          </w:tcPr>
          <w:p>
            <w:pPr>
              <w:spacing w:after="0"/>
              <w:rPr>
                <w:sz w:val="24"/>
                <w:szCs w:val="24"/>
                <w:color w:val="auto"/>
              </w:rPr>
            </w:pPr>
          </w:p>
        </w:tc>
        <w:tc>
          <w:tcPr>
            <w:tcW w:w="2360" w:type="dxa"/>
            <w:vAlign w:val="bottom"/>
            <w:gridSpan w:val="5"/>
          </w:tcPr>
          <w:p>
            <w:pPr>
              <w:jc w:val="right"/>
              <w:ind w:right="660"/>
              <w:spacing w:after="0"/>
              <w:rPr>
                <w:sz w:val="20"/>
                <w:szCs w:val="20"/>
                <w:color w:val="auto"/>
              </w:rPr>
            </w:pPr>
            <w:r>
              <w:rPr>
                <w:rFonts w:ascii="Arial" w:cs="Arial" w:eastAsia="Arial" w:hAnsi="Arial"/>
                <w:sz w:val="17"/>
                <w:szCs w:val="17"/>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120"/>
              <w:spacing w:after="0" w:line="194" w:lineRule="exact"/>
              <w:rPr>
                <w:sz w:val="20"/>
                <w:szCs w:val="20"/>
                <w:color w:val="auto"/>
              </w:rPr>
            </w:pPr>
            <w:r>
              <w:rPr>
                <w:rFonts w:ascii="Arial" w:cs="Arial" w:eastAsia="Arial" w:hAnsi="Arial"/>
                <w:sz w:val="17"/>
                <w:szCs w:val="17"/>
                <w:color w:val="auto"/>
              </w:rPr>
              <w:t>May 3,</w:t>
            </w:r>
          </w:p>
        </w:tc>
        <w:tc>
          <w:tcPr>
            <w:tcW w:w="10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jc w:val="right"/>
              <w:ind w:right="174"/>
              <w:spacing w:after="0" w:line="194" w:lineRule="exact"/>
              <w:rPr>
                <w:sz w:val="20"/>
                <w:szCs w:val="20"/>
                <w:color w:val="auto"/>
              </w:rPr>
            </w:pPr>
            <w:r>
              <w:rPr>
                <w:rFonts w:ascii="Arial" w:cs="Arial" w:eastAsia="Arial" w:hAnsi="Arial"/>
                <w:sz w:val="17"/>
                <w:szCs w:val="17"/>
                <w:color w:val="auto"/>
              </w:rPr>
              <w:t>April 27,</w:t>
            </w:r>
          </w:p>
        </w:tc>
        <w:tc>
          <w:tcPr>
            <w:tcW w:w="240" w:type="dxa"/>
            <w:vAlign w:val="bottom"/>
          </w:tcPr>
          <w:p>
            <w:pPr>
              <w:spacing w:after="0"/>
              <w:rPr>
                <w:sz w:val="16"/>
                <w:szCs w:val="16"/>
                <w:color w:val="auto"/>
              </w:rPr>
            </w:pPr>
          </w:p>
        </w:tc>
        <w:tc>
          <w:tcPr>
            <w:tcW w:w="22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140"/>
              <w:spacing w:after="0" w:line="194" w:lineRule="exact"/>
              <w:rPr>
                <w:sz w:val="20"/>
                <w:szCs w:val="20"/>
                <w:color w:val="auto"/>
              </w:rPr>
            </w:pPr>
            <w:r>
              <w:rPr>
                <w:rFonts w:ascii="Arial" w:cs="Arial" w:eastAsia="Arial" w:hAnsi="Arial"/>
                <w:sz w:val="17"/>
                <w:szCs w:val="17"/>
                <w:color w:val="auto"/>
              </w:rPr>
              <w:t>May 3,</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14"/>
              <w:spacing w:after="0" w:line="194" w:lineRule="exact"/>
              <w:rPr>
                <w:sz w:val="20"/>
                <w:szCs w:val="20"/>
                <w:color w:val="auto"/>
              </w:rPr>
            </w:pPr>
            <w:r>
              <w:rPr>
                <w:rFonts w:ascii="Arial" w:cs="Arial" w:eastAsia="Arial" w:hAnsi="Arial"/>
                <w:sz w:val="17"/>
                <w:szCs w:val="17"/>
                <w:color w:val="auto"/>
              </w:rPr>
              <w:t>April 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34"/>
              <w:spacing w:after="0"/>
              <w:rPr>
                <w:sz w:val="20"/>
                <w:szCs w:val="20"/>
                <w:color w:val="auto"/>
              </w:rPr>
            </w:pPr>
            <w:r>
              <w:rPr>
                <w:rFonts w:ascii="Arial" w:cs="Arial" w:eastAsia="Arial" w:hAnsi="Arial"/>
                <w:sz w:val="17"/>
                <w:szCs w:val="17"/>
                <w:color w:val="auto"/>
              </w:rPr>
              <w:t>2012</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2013</w:t>
            </w:r>
          </w:p>
        </w:tc>
        <w:tc>
          <w:tcPr>
            <w:tcW w:w="2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per share numerator</w:t>
            </w:r>
          </w:p>
        </w:tc>
        <w:tc>
          <w:tcPr>
            <w:tcW w:w="220" w:type="dxa"/>
            <w:vAlign w:val="bottom"/>
            <w:shd w:val="clear" w:color="auto" w:fill="CCEEFF"/>
          </w:tcPr>
          <w:p>
            <w:pPr>
              <w:jc w:val="right"/>
              <w:ind w:right="3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24,602</w:t>
            </w:r>
          </w:p>
        </w:tc>
        <w:tc>
          <w:tcPr>
            <w:tcW w:w="28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7"/>
                <w:szCs w:val="17"/>
                <w:color w:val="auto"/>
              </w:rPr>
              <w:t>18,974</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82,962</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68,385</w:t>
            </w: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280" w:type="dxa"/>
            <w:vAlign w:val="bottom"/>
            <w:tcBorders>
              <w:top w:val="single" w:sz="8" w:color="CCEEFF"/>
            </w:tcBorders>
          </w:tcPr>
          <w:p>
            <w:pPr>
              <w:spacing w:after="0"/>
              <w:rPr>
                <w:sz w:val="17"/>
                <w:szCs w:val="17"/>
                <w:color w:val="auto"/>
              </w:rPr>
            </w:pPr>
          </w:p>
        </w:tc>
        <w:tc>
          <w:tcPr>
            <w:tcW w:w="576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2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6040" w:type="dxa"/>
            <w:vAlign w:val="bottom"/>
            <w:gridSpan w:val="2"/>
            <w:shd w:val="clear" w:color="auto" w:fill="CCEEFF"/>
          </w:tcPr>
          <w:p>
            <w:pPr>
              <w:spacing w:after="0"/>
              <w:rPr>
                <w:sz w:val="20"/>
                <w:szCs w:val="20"/>
                <w:color w:val="auto"/>
              </w:rPr>
            </w:pPr>
            <w:r>
              <w:rPr>
                <w:rFonts w:ascii="Arial" w:cs="Arial" w:eastAsia="Arial" w:hAnsi="Arial"/>
                <w:sz w:val="17"/>
                <w:szCs w:val="17"/>
                <w:color w:val="auto"/>
              </w:rPr>
              <w:t>Net income per share denominator:</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gridSpan w:val="2"/>
          </w:tcPr>
          <w:p>
            <w:pPr>
              <w:ind w:left="140"/>
              <w:spacing w:after="0"/>
              <w:rPr>
                <w:sz w:val="20"/>
                <w:szCs w:val="20"/>
                <w:color w:val="auto"/>
              </w:rPr>
            </w:pPr>
            <w:r>
              <w:rPr>
                <w:rFonts w:ascii="Arial" w:cs="Arial" w:eastAsia="Arial" w:hAnsi="Arial"/>
                <w:sz w:val="17"/>
                <w:szCs w:val="17"/>
                <w:color w:val="auto"/>
              </w:rPr>
              <w:t>Weighted average shares</w:t>
            </w:r>
          </w:p>
        </w:tc>
        <w:tc>
          <w:tcPr>
            <w:tcW w:w="220" w:type="dxa"/>
            <w:vAlign w:val="bottom"/>
          </w:tcPr>
          <w:p>
            <w:pPr>
              <w:spacing w:after="0"/>
              <w:rPr>
                <w:sz w:val="17"/>
                <w:szCs w:val="17"/>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7"/>
                <w:szCs w:val="17"/>
                <w:color w:val="auto"/>
              </w:rPr>
              <w:t>23,760,589</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7"/>
                <w:szCs w:val="17"/>
                <w:color w:val="auto"/>
              </w:rPr>
              <w:t>23,132,730</w:t>
            </w:r>
          </w:p>
        </w:tc>
        <w:tc>
          <w:tcPr>
            <w:tcW w:w="220" w:type="dxa"/>
            <w:vAlign w:val="bottom"/>
          </w:tcPr>
          <w:p>
            <w:pPr>
              <w:spacing w:after="0"/>
              <w:rPr>
                <w:sz w:val="17"/>
                <w:szCs w:val="17"/>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7"/>
                <w:szCs w:val="17"/>
                <w:color w:val="auto"/>
              </w:rPr>
              <w:t>23,683,133</w:t>
            </w: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22,990,544</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60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Add potential dilution:</w:t>
            </w: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760" w:type="dxa"/>
            <w:vAlign w:val="bottom"/>
          </w:tcPr>
          <w:p>
            <w:pPr>
              <w:ind w:left="20"/>
              <w:spacing w:after="0"/>
              <w:rPr>
                <w:sz w:val="20"/>
                <w:szCs w:val="20"/>
                <w:color w:val="auto"/>
              </w:rPr>
            </w:pPr>
            <w:r>
              <w:rPr>
                <w:rFonts w:ascii="Arial" w:cs="Arial" w:eastAsia="Arial" w:hAnsi="Arial"/>
                <w:sz w:val="17"/>
                <w:szCs w:val="17"/>
                <w:color w:val="auto"/>
              </w:rPr>
              <w:t>Stock options, nonvested stock awards and MSU Grants</w:t>
            </w:r>
          </w:p>
        </w:tc>
        <w:tc>
          <w:tcPr>
            <w:tcW w:w="22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7"/>
                <w:szCs w:val="17"/>
                <w:color w:val="auto"/>
              </w:rPr>
              <w:t>246,232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7"/>
                <w:szCs w:val="17"/>
                <w:color w:val="auto"/>
              </w:rPr>
              <w:t>403,035</w:t>
            </w: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7"/>
                <w:szCs w:val="17"/>
                <w:color w:val="auto"/>
              </w:rPr>
              <w:t>230,093</w:t>
            </w: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7"/>
                <w:szCs w:val="17"/>
                <w:color w:val="auto"/>
              </w:rPr>
              <w:t>338,686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57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6"/>
        </w:trPr>
        <w:tc>
          <w:tcPr>
            <w:tcW w:w="20" w:type="dxa"/>
            <w:vAlign w:val="bottom"/>
          </w:tcPr>
          <w:p>
            <w:pPr>
              <w:spacing w:after="0"/>
              <w:rPr>
                <w:sz w:val="19"/>
                <w:szCs w:val="19"/>
                <w:color w:val="auto"/>
              </w:rPr>
            </w:pPr>
          </w:p>
        </w:tc>
        <w:tc>
          <w:tcPr>
            <w:tcW w:w="6040" w:type="dxa"/>
            <w:vAlign w:val="bottom"/>
            <w:gridSpan w:val="2"/>
            <w:shd w:val="clear" w:color="auto" w:fill="CCEEFF"/>
          </w:tcPr>
          <w:p>
            <w:pPr>
              <w:ind w:left="140"/>
              <w:spacing w:after="0"/>
              <w:rPr>
                <w:sz w:val="20"/>
                <w:szCs w:val="20"/>
                <w:color w:val="auto"/>
              </w:rPr>
            </w:pPr>
            <w:r>
              <w:rPr>
                <w:rFonts w:ascii="Arial" w:cs="Arial" w:eastAsia="Arial" w:hAnsi="Arial"/>
                <w:sz w:val="17"/>
                <w:szCs w:val="17"/>
                <w:color w:val="auto"/>
              </w:rPr>
              <w:t>Diluted weighted average shares</w:t>
            </w: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24,006,821</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23,535,765</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23,913,226</w:t>
            </w:r>
          </w:p>
        </w:tc>
        <w:tc>
          <w:tcPr>
            <w:tcW w:w="2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23,329,230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0" w:type="dxa"/>
            <w:vAlign w:val="bottom"/>
            <w:tcBorders>
              <w:top w:val="single" w:sz="8" w:color="CCEEFF"/>
            </w:tcBorders>
            <w:shd w:val="clear" w:color="auto" w:fill="CCEEFF"/>
          </w:tcPr>
          <w:p>
            <w:pPr>
              <w:spacing w:after="0" w:line="20" w:lineRule="exact"/>
              <w:rPr>
                <w:sz w:val="1"/>
                <w:szCs w:val="1"/>
                <w:color w:val="auto"/>
              </w:rPr>
            </w:pPr>
          </w:p>
        </w:tc>
        <w:tc>
          <w:tcPr>
            <w:tcW w:w="57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8" w:lineRule="exact"/>
        <w:rPr>
          <w:sz w:val="20"/>
          <w:szCs w:val="20"/>
          <w:color w:val="auto"/>
        </w:rPr>
      </w:pPr>
    </w:p>
    <w:p>
      <w:pPr>
        <w:ind w:left="620" w:hanging="617"/>
        <w:spacing w:after="0"/>
        <w:tabs>
          <w:tab w:leader="none" w:pos="62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Commitments and Contingencies</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 Company and its subsidiaries are party to various legal and regulatory proceedings and claims incidental to their business in the ordinary course. In the opinion of management, based upon information currently available, the ultimate liability with respect to these proceedings and claims will not materially affect the Company’s consolidated results of operations or financial position.</w:t>
      </w:r>
    </w:p>
    <w:p>
      <w:pPr>
        <w:spacing w:after="0" w:line="202"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Related to its workers’ compensation insurance coverage, the Company is contingently liable pursuant to standby letters of credit as credit guarantees to certain insurers. As of May 3, 2013, the Company had $28,171 of standby letters of credit related to securing reserved claims under workers’ compensation insurance. All standby letters of credit are renewable annually and reduce the Company’s borrowing availability under its Revolving Credit Facility (see Note 4).</w:t>
      </w:r>
    </w:p>
    <w:p>
      <w:pPr>
        <w:spacing w:after="0" w:line="183" w:lineRule="exact"/>
        <w:rPr>
          <w:sz w:val="20"/>
          <w:szCs w:val="20"/>
          <w:color w:val="auto"/>
        </w:rPr>
      </w:pPr>
    </w:p>
    <w:p>
      <w:pPr>
        <w:jc w:val="both"/>
        <w:ind w:firstLine="310"/>
        <w:spacing w:after="0" w:line="291" w:lineRule="auto"/>
        <w:rPr>
          <w:sz w:val="20"/>
          <w:szCs w:val="20"/>
          <w:color w:val="auto"/>
        </w:rPr>
      </w:pPr>
      <w:r>
        <w:rPr>
          <w:rFonts w:ascii="Arial" w:cs="Arial" w:eastAsia="Arial" w:hAnsi="Arial"/>
          <w:sz w:val="16"/>
          <w:szCs w:val="16"/>
          <w:color w:val="auto"/>
        </w:rPr>
        <w:t>At May 3, 2013, the Company is secondarily liable for lease payments associated with two properties. The Company is not aware of any non-performance under these lease arrangements that would result in the Company having to perform in accordance with the terms of those guarantees; and therefore, no provision has been recorded in the Condensed Consolidated Balance Sheets for amounts to be paid in case of non-performance by the third parties.</w:t>
      </w:r>
    </w:p>
    <w:p>
      <w:pPr>
        <w:spacing w:after="0" w:line="18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 Company enters into certain indemnification agreements in favor of third parties in the ordinary course of business. The Company believes that the probability of incurring an actual liability under such indemnification agreements is sufficiently remote so that no liability has been recorded in the Condensed Consolidated Balance Sheets.</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08" w:right="239" w:bottom="1440" w:gutter="0" w:footer="0" w:header="0"/>
        </w:sectPr>
      </w:pPr>
    </w:p>
    <w:bookmarkStart w:id="14" w:name="page15"/>
    <w:bookmarkEnd w:id="1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tabs>
          <w:tab w:leader="none" w:pos="760" w:val="left"/>
        </w:tabs>
        <w:rPr>
          <w:sz w:val="20"/>
          <w:szCs w:val="20"/>
          <w:color w:val="auto"/>
        </w:rPr>
      </w:pPr>
      <w:r>
        <w:rPr>
          <w:rFonts w:ascii="Arial" w:cs="Arial" w:eastAsia="Arial" w:hAnsi="Arial"/>
          <w:sz w:val="17"/>
          <w:szCs w:val="17"/>
          <w:b w:val="1"/>
          <w:bCs w:val="1"/>
          <w:color w:val="auto"/>
        </w:rPr>
        <w:t>ITEM 2.</w:t>
      </w:r>
      <w:r>
        <w:rPr>
          <w:sz w:val="20"/>
          <w:szCs w:val="20"/>
          <w:color w:val="auto"/>
        </w:rPr>
        <w:tab/>
      </w:r>
      <w:r>
        <w:rPr>
          <w:rFonts w:ascii="Arial" w:cs="Arial" w:eastAsia="Arial" w:hAnsi="Arial"/>
          <w:sz w:val="15"/>
          <w:szCs w:val="15"/>
          <w:b w:val="1"/>
          <w:bCs w:val="1"/>
          <w:color w:val="auto"/>
        </w:rPr>
        <w:t>Management's Discussion and Analysis of Financial Condition and Results of Operations</w:t>
      </w:r>
    </w:p>
    <w:p>
      <w:pPr>
        <w:spacing w:after="0" w:line="249" w:lineRule="exact"/>
        <w:rPr>
          <w:sz w:val="20"/>
          <w:szCs w:val="20"/>
          <w:color w:val="auto"/>
        </w:rPr>
      </w:pPr>
    </w:p>
    <w:p>
      <w:pPr>
        <w:jc w:val="both"/>
        <w:ind w:firstLine="310"/>
        <w:spacing w:after="0" w:line="260" w:lineRule="auto"/>
        <w:rPr>
          <w:sz w:val="20"/>
          <w:szCs w:val="20"/>
          <w:color w:val="auto"/>
        </w:rPr>
      </w:pPr>
      <w:r>
        <w:rPr>
          <w:rFonts w:ascii="Arial" w:cs="Arial" w:eastAsia="Arial" w:hAnsi="Arial"/>
          <w:sz w:val="17"/>
          <w:szCs w:val="17"/>
          <w:color w:val="auto"/>
        </w:rPr>
        <w:t>Cracker Barrel Old Country Store, Inc. and its subsidiaries (collectively, the “Company,” “our” or “we”) are principally engaged in the operation and development in the United States of the Cracker Barrel Old Country StoreÒ (“Cracker Barrel”) concept. At May 3, 2013, we operated 622 Cracker Barrel stores in 42 states. All dollar amounts reported or discussed in this Management’s Discussion and Analysis of Financial Condition and Results of Operations (“MD&amp;A”) are shown in thousands, except per share amounts and certain statistical information (e.g., number of stores). References to years in MD&amp;A are to our fiscal year unless otherwise noted.</w:t>
      </w:r>
    </w:p>
    <w:p>
      <w:pPr>
        <w:spacing w:after="0" w:line="206" w:lineRule="exact"/>
        <w:rPr>
          <w:sz w:val="20"/>
          <w:szCs w:val="20"/>
          <w:color w:val="auto"/>
        </w:rPr>
      </w:pPr>
    </w:p>
    <w:p>
      <w:pPr>
        <w:jc w:val="both"/>
        <w:ind w:firstLine="620"/>
        <w:spacing w:after="0" w:line="271" w:lineRule="auto"/>
        <w:rPr>
          <w:sz w:val="20"/>
          <w:szCs w:val="20"/>
          <w:color w:val="auto"/>
        </w:rPr>
      </w:pPr>
      <w:r>
        <w:rPr>
          <w:rFonts w:ascii="Arial" w:cs="Arial" w:eastAsia="Arial" w:hAnsi="Arial"/>
          <w:sz w:val="16"/>
          <w:szCs w:val="16"/>
          <w:color w:val="auto"/>
        </w:rPr>
        <w:t>MD&amp;A provides information which management believes is relevant to an assessment and understanding of our consolidated results of operations and financial condition. MD&amp;A should be read in conjunction with the (i) condensed consolidated financial statements and notes thereto included in this Quarterly Report on Form 10-Q and (ii) financial statements and the notes thereto included in the Company’s Annual Report on Form 10-K for the fiscal year ended August 3, 2012 (the “2012 Form 10-K”). Except for specific historical information, many of the matters discussed in this report may express or imply projections of items such as revenues or expenditures, estimated capital expenditures, compliance with debt covenants, plans and objectives for future operations, inventory shrinkage, growth or initiatives, expected future economic performance or the expected outcome or impact of pending or threatened litigation. These and similar statements regarding events or results which we expect will or may occur in the future, are forward-looking statements that, by their nature, involve risks, uncertainties and other factors which may cause our actual results and performance to differ materially from those expressed or implied by those statements. All forward-looking information is provided pursuant to the safe harbor established under the Private Securities Litigation Reform Act of 1995 and should be evaluated in the context of these risks, uncertainties and other factors. Forward-looking statements generally can be identified by the use of forward-looking terminology such as “trends,” “assumptions,” “target,” “guidance,” “outlook,” “opportunity,” “future,” “plans,” “goals,” “objectives,” “expectations,” “near-term,” “long-term,” “projection,” “may,” “will,” “would,” “could,” “expect,” “intend,” “estimate,” “anticipate,” “believe,” “potential,” “should,” “projects,” “forecasts” or “continue” (or the negative or other derivatives of each of these terms) or similar terminology. We believe the assumptions underlying any forward-looking statements are reasonable; however, any of the assumptions could be inaccurate, and therefore, actual results may differ materially from those projected in or implied by the forward-looking statements. In addition to the risks of ordinary business operations, and those discussed or described in this report or in information incorporated by reference into this report, factors and risks that may result in actual results differing from this forward-looking information include, but are not limited to, those contained in Part I, Item 1A of the 2012 Form 10-K and Part II, Item 1A of our Quarterly Report on Form 10-Q for the quarter ended November 2, 2012, which are incorporated herein by this reference, as well as the factors described under “Critical Accounting Estimates” on pages 23-27 of this report or, from time to time, in our filings with the Securities and Exchange Commission (“SEC”), press releases and other communications.</w:t>
      </w:r>
    </w:p>
    <w:p>
      <w:pPr>
        <w:spacing w:after="0" w:line="208" w:lineRule="exact"/>
        <w:rPr>
          <w:sz w:val="20"/>
          <w:szCs w:val="20"/>
          <w:color w:val="auto"/>
        </w:rPr>
      </w:pPr>
    </w:p>
    <w:p>
      <w:pPr>
        <w:jc w:val="both"/>
        <w:ind w:firstLine="620"/>
        <w:spacing w:after="0" w:line="283" w:lineRule="auto"/>
        <w:rPr>
          <w:sz w:val="20"/>
          <w:szCs w:val="20"/>
          <w:color w:val="auto"/>
        </w:rPr>
      </w:pPr>
      <w:r>
        <w:rPr>
          <w:rFonts w:ascii="Arial" w:cs="Arial" w:eastAsia="Arial" w:hAnsi="Arial"/>
          <w:sz w:val="16"/>
          <w:szCs w:val="16"/>
          <w:color w:val="auto"/>
        </w:rPr>
        <w:t>Readers are cautioned not to place undue reliance on forward-looking statements made in this report because the statements speak only as of the report’s date. Except as may be required by law, we have no obligation, and do not intend, to update or revise any of these forward-looking statements to reflect events or circumstances occurring after the date of this report or to reflect the occurrence of unanticipated events. Readers are advised, however, to consult any future public disclosures that we may make on related subjects in reports that we file with or furnish to the SEC or in our other public disclosures.</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5" w:name="page16"/>
    <w:bookmarkEnd w:id="1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49"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Management believes that the Cracker Barrel brand remains one of the strongest and most differentiated brands in the restaurant industry, and we plan to leverage that strength to grow guest traffic, sales and profits.</w:t>
      </w:r>
    </w:p>
    <w:p>
      <w:pPr>
        <w:spacing w:after="0" w:line="18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Our six priorities for 2013 are:</w:t>
      </w:r>
    </w:p>
    <w:p>
      <w:pPr>
        <w:spacing w:after="0" w:line="243" w:lineRule="exact"/>
        <w:rPr>
          <w:sz w:val="20"/>
          <w:szCs w:val="20"/>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Refresh select menu categories that will reinforce our value and provide healthier options to our guests;</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Grow retail sales with unique merchandise;</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Build on the successful “Handcrafted by Cracker Barrel” advertising campaign;</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Invest in and leverage technology and equipment to support operations and reduce costs;</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Continued focus on shareholder return; and</w:t>
      </w:r>
    </w:p>
    <w:p>
      <w:pPr>
        <w:spacing w:after="0" w:line="243" w:lineRule="exact"/>
        <w:rPr>
          <w:rFonts w:ascii="Arial" w:cs="Arial" w:eastAsia="Arial" w:hAnsi="Arial"/>
          <w:sz w:val="17"/>
          <w:szCs w:val="17"/>
          <w:color w:val="auto"/>
        </w:rPr>
      </w:pPr>
    </w:p>
    <w:p>
      <w:pPr>
        <w:ind w:left="620" w:hanging="307"/>
        <w:spacing w:after="0"/>
        <w:tabs>
          <w:tab w:leader="none" w:pos="620" w:val="left"/>
        </w:tabs>
        <w:numPr>
          <w:ilvl w:val="0"/>
          <w:numId w:val="14"/>
        </w:numPr>
        <w:rPr>
          <w:rFonts w:ascii="Arial" w:cs="Arial" w:eastAsia="Arial" w:hAnsi="Arial"/>
          <w:sz w:val="17"/>
          <w:szCs w:val="17"/>
          <w:color w:val="auto"/>
        </w:rPr>
      </w:pPr>
      <w:r>
        <w:rPr>
          <w:rFonts w:ascii="Arial" w:cs="Arial" w:eastAsia="Arial" w:hAnsi="Arial"/>
          <w:sz w:val="17"/>
          <w:szCs w:val="17"/>
          <w:color w:val="auto"/>
        </w:rPr>
        <w:t>Expand the brand through e-commerce and licensing.</w:t>
      </w:r>
    </w:p>
    <w:p>
      <w:pPr>
        <w:spacing w:after="0" w:line="243" w:lineRule="exact"/>
        <w:rPr>
          <w:sz w:val="20"/>
          <w:szCs w:val="20"/>
          <w:color w:val="auto"/>
        </w:rPr>
      </w:pPr>
    </w:p>
    <w:p>
      <w:pPr>
        <w:jc w:val="both"/>
        <w:ind w:firstLine="620"/>
        <w:spacing w:after="0" w:line="276" w:lineRule="auto"/>
        <w:rPr>
          <w:sz w:val="20"/>
          <w:szCs w:val="20"/>
          <w:color w:val="auto"/>
        </w:rPr>
      </w:pPr>
      <w:r>
        <w:rPr>
          <w:rFonts w:ascii="Arial" w:cs="Arial" w:eastAsia="Arial" w:hAnsi="Arial"/>
          <w:sz w:val="16"/>
          <w:szCs w:val="16"/>
          <w:color w:val="auto"/>
        </w:rPr>
        <w:t>During the third quarter of 2013, we continued our progress on these six priorities. We achieved positive comparable store traffic, restaurant sales and retail sales for the sixth consecutive quarter, and our comparable store traffic and restaurant sales outperformed the Knapp-Track™ Casual Dining Index for the sixth consecutive quarter. This third quarter also reflects the second consecutive quarter of positive over positive comparable store traffic growth. Additionally, continued strong performance in our apparel and accessories categories contributed to retail sales growth. Menu and operational initiatives contributed to margin improvement and earnings growth. We continue to generate strong cash flow which has enabled us to reduce our long-term debt by $125,000, repurchase shares and to declare a quarterly dividend of $0.50 per share during the quarter for the third consecutive quarter. Additionally, during the fourth quarter of 2013, we declared a quarterly dividend of $0.75 per share, which represents a fifty percent increase in our quarterly dividend.</w:t>
      </w:r>
    </w:p>
    <w:p>
      <w:pPr>
        <w:spacing w:after="0" w:line="19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4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following table highlights operating results by percentage relationships to total revenue for the quarter and nine-month period ended May 3, 2013 as compared to the same periods in the prior year: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2760" w:type="dxa"/>
            <w:vAlign w:val="bottom"/>
            <w:gridSpan w:val="4"/>
          </w:tcPr>
          <w:p>
            <w:pPr>
              <w:jc w:val="right"/>
              <w:ind w:right="960"/>
              <w:spacing w:after="0"/>
              <w:rPr>
                <w:sz w:val="20"/>
                <w:szCs w:val="20"/>
                <w:color w:val="auto"/>
              </w:rPr>
            </w:pPr>
            <w:r>
              <w:rPr>
                <w:rFonts w:ascii="Arial" w:cs="Arial" w:eastAsia="Arial" w:hAnsi="Arial"/>
                <w:sz w:val="17"/>
                <w:szCs w:val="17"/>
                <w:color w:val="auto"/>
              </w:rPr>
              <w:t>Quarter Ended</w:t>
            </w:r>
          </w:p>
        </w:tc>
        <w:tc>
          <w:tcPr>
            <w:tcW w:w="2660" w:type="dxa"/>
            <w:vAlign w:val="bottom"/>
            <w:gridSpan w:val="4"/>
          </w:tcPr>
          <w:p>
            <w:pPr>
              <w:jc w:val="right"/>
              <w:ind w:right="660"/>
              <w:spacing w:after="0"/>
              <w:rPr>
                <w:sz w:val="20"/>
                <w:szCs w:val="20"/>
                <w:color w:val="auto"/>
              </w:rPr>
            </w:pPr>
            <w:r>
              <w:rPr>
                <w:rFonts w:ascii="Arial" w:cs="Arial" w:eastAsia="Arial" w:hAnsi="Arial"/>
                <w:sz w:val="17"/>
                <w:szCs w:val="17"/>
                <w:color w:val="auto"/>
              </w:rPr>
              <w:t>Nine Months Ended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06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160"/>
              <w:spacing w:after="0" w:line="194" w:lineRule="exact"/>
              <w:rPr>
                <w:sz w:val="20"/>
                <w:szCs w:val="20"/>
                <w:color w:val="auto"/>
              </w:rPr>
            </w:pPr>
            <w:r>
              <w:rPr>
                <w:rFonts w:ascii="Arial" w:cs="Arial" w:eastAsia="Arial" w:hAnsi="Arial"/>
                <w:sz w:val="17"/>
                <w:szCs w:val="17"/>
                <w:color w:val="auto"/>
                <w:w w:val="97"/>
              </w:rPr>
              <w:t>May 3,</w:t>
            </w:r>
          </w:p>
        </w:tc>
        <w:tc>
          <w:tcPr>
            <w:tcW w:w="1120" w:type="dxa"/>
            <w:vAlign w:val="bottom"/>
            <w:tcBorders>
              <w:top w:val="single" w:sz="8" w:color="auto"/>
            </w:tcBorders>
          </w:tcPr>
          <w:p>
            <w:pPr>
              <w:jc w:val="right"/>
              <w:ind w:right="114"/>
              <w:spacing w:after="0" w:line="194" w:lineRule="exact"/>
              <w:rPr>
                <w:sz w:val="20"/>
                <w:szCs w:val="20"/>
                <w:color w:val="auto"/>
              </w:rPr>
            </w:pPr>
            <w:r>
              <w:rPr>
                <w:rFonts w:ascii="Arial" w:cs="Arial" w:eastAsia="Arial" w:hAnsi="Arial"/>
                <w:sz w:val="17"/>
                <w:szCs w:val="17"/>
                <w:color w:val="auto"/>
              </w:rPr>
              <w:t>April 27,</w:t>
            </w:r>
          </w:p>
        </w:tc>
        <w:tc>
          <w:tcPr>
            <w:tcW w:w="260" w:type="dxa"/>
            <w:vAlign w:val="bottom"/>
          </w:tcPr>
          <w:p>
            <w:pPr>
              <w:spacing w:after="0"/>
              <w:rPr>
                <w:sz w:val="16"/>
                <w:szCs w:val="16"/>
                <w:color w:val="auto"/>
              </w:rPr>
            </w:pPr>
          </w:p>
        </w:tc>
        <w:tc>
          <w:tcPr>
            <w:tcW w:w="1380" w:type="dxa"/>
            <w:vAlign w:val="bottom"/>
            <w:tcBorders>
              <w:top w:val="single" w:sz="8" w:color="auto"/>
            </w:tcBorders>
            <w:gridSpan w:val="2"/>
          </w:tcPr>
          <w:p>
            <w:pPr>
              <w:jc w:val="center"/>
              <w:ind w:right="140"/>
              <w:spacing w:after="0" w:line="194" w:lineRule="exact"/>
              <w:rPr>
                <w:sz w:val="20"/>
                <w:szCs w:val="20"/>
                <w:color w:val="auto"/>
              </w:rPr>
            </w:pPr>
            <w:r>
              <w:rPr>
                <w:rFonts w:ascii="Arial" w:cs="Arial" w:eastAsia="Arial" w:hAnsi="Arial"/>
                <w:sz w:val="17"/>
                <w:szCs w:val="17"/>
                <w:color w:val="auto"/>
                <w:w w:val="93"/>
              </w:rPr>
              <w:t>May 3,</w:t>
            </w:r>
          </w:p>
        </w:tc>
        <w:tc>
          <w:tcPr>
            <w:tcW w:w="1120" w:type="dxa"/>
            <w:vAlign w:val="bottom"/>
            <w:tcBorders>
              <w:top w:val="single" w:sz="8" w:color="auto"/>
            </w:tcBorders>
          </w:tcPr>
          <w:p>
            <w:pPr>
              <w:jc w:val="right"/>
              <w:ind w:right="114"/>
              <w:spacing w:after="0" w:line="194" w:lineRule="exact"/>
              <w:rPr>
                <w:sz w:val="20"/>
                <w:szCs w:val="20"/>
                <w:color w:val="auto"/>
              </w:rPr>
            </w:pPr>
            <w:r>
              <w:rPr>
                <w:rFonts w:ascii="Arial" w:cs="Arial" w:eastAsia="Arial" w:hAnsi="Arial"/>
                <w:sz w:val="17"/>
                <w:szCs w:val="17"/>
                <w:color w:val="auto"/>
              </w:rPr>
              <w:t>April 27,</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406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1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2013</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2012</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2013</w:t>
            </w:r>
          </w:p>
        </w:tc>
        <w:tc>
          <w:tcPr>
            <w:tcW w:w="260" w:type="dxa"/>
            <w:vAlign w:val="bottom"/>
          </w:tcPr>
          <w:p>
            <w:pPr>
              <w:spacing w:after="0"/>
              <w:rPr>
                <w:sz w:val="19"/>
                <w:szCs w:val="19"/>
                <w:color w:val="auto"/>
              </w:rPr>
            </w:pPr>
          </w:p>
        </w:tc>
        <w:tc>
          <w:tcPr>
            <w:tcW w:w="1120" w:type="dxa"/>
            <w:vAlign w:val="bottom"/>
            <w:tcBorders>
              <w:bottom w:val="single" w:sz="8" w:color="auto"/>
            </w:tcBorders>
          </w:tcPr>
          <w:p>
            <w:pPr>
              <w:jc w:val="right"/>
              <w:ind w:right="254"/>
              <w:spacing w:after="0"/>
              <w:rPr>
                <w:sz w:val="20"/>
                <w:szCs w:val="20"/>
                <w:color w:val="auto"/>
              </w:rPr>
            </w:pPr>
            <w:r>
              <w:rPr>
                <w:rFonts w:ascii="Arial" w:cs="Arial" w:eastAsia="Arial" w:hAnsi="Arial"/>
                <w:sz w:val="17"/>
                <w:szCs w:val="17"/>
                <w:color w:val="auto"/>
              </w:rPr>
              <w:t>2012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Total revenue</w:t>
            </w:r>
          </w:p>
        </w:tc>
        <w:tc>
          <w:tcPr>
            <w:tcW w:w="330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100.0%</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100.0%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7"/>
                <w:szCs w:val="17"/>
                <w:color w:val="auto"/>
              </w:rPr>
              <w:t>Cost of goods sold</w:t>
            </w:r>
          </w:p>
        </w:tc>
        <w:tc>
          <w:tcPr>
            <w:tcW w:w="192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31.5</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31.2</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32.7</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32.5</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60" w:type="dxa"/>
            <w:vAlign w:val="bottom"/>
          </w:tcPr>
          <w:p>
            <w:pPr>
              <w:spacing w:after="0"/>
              <w:rPr>
                <w:sz w:val="2"/>
                <w:szCs w:val="2"/>
                <w:color w:val="auto"/>
              </w:rPr>
            </w:pPr>
          </w:p>
        </w:tc>
        <w:tc>
          <w:tcPr>
            <w:tcW w:w="192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Gross profit</w:t>
            </w:r>
          </w:p>
        </w:tc>
        <w:tc>
          <w:tcPr>
            <w:tcW w:w="19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68.5</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68.8</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67.3</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67.5</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7"/>
                <w:szCs w:val="17"/>
                <w:color w:val="auto"/>
              </w:rPr>
              <w:t>Labor and other related expenses</w:t>
            </w:r>
          </w:p>
        </w:tc>
        <w:tc>
          <w:tcPr>
            <w:tcW w:w="3300" w:type="dxa"/>
            <w:vAlign w:val="bottom"/>
            <w:gridSpan w:val="3"/>
          </w:tcPr>
          <w:p>
            <w:pPr>
              <w:jc w:val="right"/>
              <w:ind w:right="260"/>
              <w:spacing w:after="0"/>
              <w:rPr>
                <w:sz w:val="20"/>
                <w:szCs w:val="20"/>
                <w:color w:val="auto"/>
              </w:rPr>
            </w:pPr>
            <w:r>
              <w:rPr>
                <w:rFonts w:ascii="Arial" w:cs="Arial" w:eastAsia="Arial" w:hAnsi="Arial"/>
                <w:sz w:val="17"/>
                <w:szCs w:val="17"/>
                <w:color w:val="auto"/>
              </w:rPr>
              <w:t>37.8</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38.6</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36.5</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36.8</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Other store operating expenses</w:t>
            </w:r>
          </w:p>
        </w:tc>
        <w:tc>
          <w:tcPr>
            <w:tcW w:w="19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18.2</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18.1</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18.0</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18.0</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7"/>
                <w:szCs w:val="17"/>
                <w:color w:val="auto"/>
              </w:rPr>
              <w:t>Store operating income</w:t>
            </w:r>
          </w:p>
        </w:tc>
        <w:tc>
          <w:tcPr>
            <w:tcW w:w="192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12.5</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12.1</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12.8</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12.7</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General and administrative expenses</w:t>
            </w:r>
          </w:p>
        </w:tc>
        <w:tc>
          <w:tcPr>
            <w:tcW w:w="19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5.6</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5.7</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5.4</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5.7</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7"/>
                <w:szCs w:val="17"/>
                <w:color w:val="auto"/>
              </w:rPr>
              <w:t>Operating income</w:t>
            </w:r>
          </w:p>
        </w:tc>
        <w:tc>
          <w:tcPr>
            <w:tcW w:w="192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6.9</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6.4</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7.4</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Interest expense</w:t>
            </w:r>
          </w:p>
        </w:tc>
        <w:tc>
          <w:tcPr>
            <w:tcW w:w="19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1.6</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7"/>
                <w:szCs w:val="17"/>
                <w:color w:val="auto"/>
              </w:rPr>
              <w:t>Income before income taxes</w:t>
            </w:r>
          </w:p>
        </w:tc>
        <w:tc>
          <w:tcPr>
            <w:tcW w:w="1920" w:type="dxa"/>
            <w:vAlign w:val="bottom"/>
          </w:tcPr>
          <w:p>
            <w:pPr>
              <w:spacing w:after="0"/>
              <w:rPr>
                <w:sz w:val="17"/>
                <w:szCs w:val="17"/>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5.3</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4.6</w:t>
            </w:r>
          </w:p>
        </w:tc>
        <w:tc>
          <w:tcPr>
            <w:tcW w:w="1380" w:type="dxa"/>
            <w:vAlign w:val="bottom"/>
            <w:gridSpan w:val="2"/>
          </w:tcPr>
          <w:p>
            <w:pPr>
              <w:jc w:val="right"/>
              <w:ind w:right="260"/>
              <w:spacing w:after="0"/>
              <w:rPr>
                <w:sz w:val="20"/>
                <w:szCs w:val="20"/>
                <w:color w:val="auto"/>
              </w:rPr>
            </w:pPr>
            <w:r>
              <w:rPr>
                <w:rFonts w:ascii="Arial" w:cs="Arial" w:eastAsia="Arial" w:hAnsi="Arial"/>
                <w:sz w:val="17"/>
                <w:szCs w:val="17"/>
                <w:color w:val="auto"/>
              </w:rPr>
              <w:t>5.9</w:t>
            </w:r>
          </w:p>
        </w:tc>
        <w:tc>
          <w:tcPr>
            <w:tcW w:w="1280" w:type="dxa"/>
            <w:vAlign w:val="bottom"/>
            <w:gridSpan w:val="2"/>
          </w:tcPr>
          <w:p>
            <w:pPr>
              <w:jc w:val="right"/>
              <w:ind w:right="140"/>
              <w:spacing w:after="0"/>
              <w:rPr>
                <w:sz w:val="20"/>
                <w:szCs w:val="20"/>
                <w:color w:val="auto"/>
              </w:rPr>
            </w:pPr>
            <w:r>
              <w:rPr>
                <w:rFonts w:ascii="Arial" w:cs="Arial" w:eastAsia="Arial" w:hAnsi="Arial"/>
                <w:sz w:val="17"/>
                <w:szCs w:val="17"/>
                <w:color w:val="auto"/>
              </w:rPr>
              <w:t>5.2</w:t>
            </w: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4060" w:type="dxa"/>
            <w:vAlign w:val="bottom"/>
            <w:shd w:val="clear" w:color="auto" w:fill="CCEEFF"/>
          </w:tcPr>
          <w:p>
            <w:pPr>
              <w:spacing w:after="0"/>
              <w:rPr>
                <w:sz w:val="20"/>
                <w:szCs w:val="20"/>
                <w:color w:val="auto"/>
              </w:rPr>
            </w:pPr>
            <w:r>
              <w:rPr>
                <w:rFonts w:ascii="Arial" w:cs="Arial" w:eastAsia="Arial" w:hAnsi="Arial"/>
                <w:sz w:val="17"/>
                <w:szCs w:val="17"/>
                <w:color w:val="auto"/>
              </w:rPr>
              <w:t>Provision for income taxes</w:t>
            </w:r>
          </w:p>
        </w:tc>
        <w:tc>
          <w:tcPr>
            <w:tcW w:w="1920" w:type="dxa"/>
            <w:vAlign w:val="bottom"/>
            <w:shd w:val="clear" w:color="auto" w:fill="CCEEFF"/>
          </w:tcPr>
          <w:p>
            <w:pPr>
              <w:spacing w:after="0"/>
              <w:rPr>
                <w:sz w:val="17"/>
                <w:szCs w:val="17"/>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w:t>
            </w: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6"/>
        </w:trPr>
        <w:tc>
          <w:tcPr>
            <w:tcW w:w="20" w:type="dxa"/>
            <w:vAlign w:val="bottom"/>
            <w:vMerge w:val="restart"/>
          </w:tcPr>
          <w:p>
            <w:pPr>
              <w:spacing w:after="0"/>
              <w:rPr>
                <w:sz w:val="2"/>
                <w:szCs w:val="2"/>
                <w:color w:val="auto"/>
              </w:rPr>
            </w:pPr>
          </w:p>
        </w:tc>
        <w:tc>
          <w:tcPr>
            <w:tcW w:w="4060" w:type="dxa"/>
            <w:vAlign w:val="bottom"/>
            <w:shd w:val="clear" w:color="auto" w:fill="CCEEFF"/>
          </w:tcPr>
          <w:p>
            <w:pPr>
              <w:spacing w:after="0"/>
              <w:rPr>
                <w:sz w:val="2"/>
                <w:szCs w:val="2"/>
                <w:color w:val="auto"/>
              </w:rPr>
            </w:pPr>
          </w:p>
        </w:tc>
        <w:tc>
          <w:tcPr>
            <w:tcW w:w="192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1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6"/>
        </w:trPr>
        <w:tc>
          <w:tcPr>
            <w:tcW w:w="20" w:type="dxa"/>
            <w:vAlign w:val="bottom"/>
            <w:vMerge w:val="continue"/>
          </w:tcPr>
          <w:p>
            <w:pPr>
              <w:spacing w:after="0"/>
              <w:rPr>
                <w:sz w:val="17"/>
                <w:szCs w:val="17"/>
                <w:color w:val="auto"/>
              </w:rPr>
            </w:pPr>
          </w:p>
        </w:tc>
        <w:tc>
          <w:tcPr>
            <w:tcW w:w="4060" w:type="dxa"/>
            <w:vAlign w:val="bottom"/>
          </w:tcPr>
          <w:p>
            <w:pPr>
              <w:spacing w:after="0"/>
              <w:rPr>
                <w:sz w:val="20"/>
                <w:szCs w:val="20"/>
                <w:color w:val="auto"/>
              </w:rPr>
            </w:pPr>
            <w:r>
              <w:rPr>
                <w:rFonts w:ascii="Arial" w:cs="Arial" w:eastAsia="Arial" w:hAnsi="Arial"/>
                <w:sz w:val="17"/>
                <w:szCs w:val="17"/>
                <w:color w:val="auto"/>
              </w:rPr>
              <w:t>Net income</w:t>
            </w:r>
          </w:p>
        </w:tc>
        <w:tc>
          <w:tcPr>
            <w:tcW w:w="1920" w:type="dxa"/>
            <w:vAlign w:val="bottom"/>
          </w:tcPr>
          <w:p>
            <w:pPr>
              <w:spacing w:after="0"/>
              <w:rPr>
                <w:sz w:val="17"/>
                <w:szCs w:val="17"/>
                <w:color w:val="auto"/>
              </w:rPr>
            </w:pP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3.8%</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3.1%</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4.2%</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60" w:type="dxa"/>
            <w:vAlign w:val="bottom"/>
          </w:tcPr>
          <w:p>
            <w:pPr>
              <w:spacing w:after="0" w:line="20" w:lineRule="exact"/>
              <w:rPr>
                <w:sz w:val="1"/>
                <w:szCs w:val="1"/>
                <w:color w:val="auto"/>
              </w:rPr>
            </w:pPr>
          </w:p>
        </w:tc>
        <w:tc>
          <w:tcPr>
            <w:tcW w:w="1920" w:type="dxa"/>
            <w:vAlign w:val="bottom"/>
            <w:vMerge w:val="restart"/>
          </w:tcPr>
          <w:p>
            <w:pPr>
              <w:jc w:val="right"/>
              <w:ind w:right="140"/>
              <w:spacing w:after="0"/>
              <w:rPr>
                <w:sz w:val="20"/>
                <w:szCs w:val="20"/>
                <w:color w:val="auto"/>
              </w:rPr>
            </w:pPr>
            <w:r>
              <w:rPr>
                <w:rFonts w:ascii="Arial" w:cs="Arial" w:eastAsia="Arial" w:hAnsi="Arial"/>
                <w:sz w:val="14"/>
                <w:szCs w:val="14"/>
                <w:color w:val="auto"/>
              </w:rPr>
              <w:t>16</w:t>
            </w: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2"/>
        </w:trPr>
        <w:tc>
          <w:tcPr>
            <w:tcW w:w="20" w:type="dxa"/>
            <w:vAlign w:val="bottom"/>
          </w:tcPr>
          <w:p>
            <w:pPr>
              <w:spacing w:after="0"/>
              <w:rPr>
                <w:sz w:val="24"/>
                <w:szCs w:val="24"/>
                <w:color w:val="auto"/>
              </w:rPr>
            </w:pPr>
          </w:p>
        </w:tc>
        <w:tc>
          <w:tcPr>
            <w:tcW w:w="4060" w:type="dxa"/>
            <w:vAlign w:val="bottom"/>
          </w:tcPr>
          <w:p>
            <w:pPr>
              <w:spacing w:after="0"/>
              <w:rPr>
                <w:sz w:val="24"/>
                <w:szCs w:val="24"/>
                <w:color w:val="auto"/>
              </w:rPr>
            </w:pPr>
          </w:p>
        </w:tc>
        <w:tc>
          <w:tcPr>
            <w:tcW w:w="1920" w:type="dxa"/>
            <w:vAlign w:val="bottom"/>
            <w:vMerge w:val="continue"/>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4060" w:type="dxa"/>
            <w:vAlign w:val="bottom"/>
            <w:tcBorders>
              <w:bottom w:val="single" w:sz="8" w:color="808080"/>
            </w:tcBorders>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260" w:type="dxa"/>
            <w:vAlign w:val="bottom"/>
            <w:tcBorders>
              <w:bottom w:val="single" w:sz="8" w:color="808080"/>
            </w:tcBorders>
          </w:tcPr>
          <w:p>
            <w:pPr>
              <w:spacing w:after="0"/>
              <w:rPr>
                <w:sz w:val="8"/>
                <w:szCs w:val="8"/>
                <w:color w:val="auto"/>
              </w:rPr>
            </w:pPr>
          </w:p>
        </w:tc>
        <w:tc>
          <w:tcPr>
            <w:tcW w:w="1120" w:type="dxa"/>
            <w:vAlign w:val="bottom"/>
            <w:tcBorders>
              <w:bottom w:val="single" w:sz="8" w:color="808080"/>
            </w:tcBorders>
          </w:tcPr>
          <w:p>
            <w:pPr>
              <w:spacing w:after="0"/>
              <w:rPr>
                <w:sz w:val="8"/>
                <w:szCs w:val="8"/>
                <w:color w:val="auto"/>
              </w:rPr>
            </w:pPr>
          </w:p>
        </w:tc>
        <w:tc>
          <w:tcPr>
            <w:tcW w:w="16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16" w:name="page17"/>
    <w:bookmarkEnd w:id="1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sets forth the number of stores in operation at the beginning and end of the quarters and nine-month periods ended May 3, 2013 and</w:t>
      </w:r>
    </w:p>
    <w:p>
      <w:pPr>
        <w:spacing w:after="0" w:line="33" w:lineRule="exact"/>
        <w:rPr>
          <w:sz w:val="20"/>
          <w:szCs w:val="20"/>
          <w:color w:val="auto"/>
        </w:rPr>
      </w:pPr>
    </w:p>
    <w:p>
      <w:pPr>
        <w:spacing w:after="0"/>
        <w:rPr>
          <w:sz w:val="20"/>
          <w:szCs w:val="20"/>
          <w:color w:val="auto"/>
        </w:rPr>
      </w:pPr>
      <w:r>
        <w:rPr>
          <w:rFonts w:ascii="Arial" w:cs="Arial" w:eastAsia="Arial" w:hAnsi="Arial"/>
          <w:sz w:val="17"/>
          <w:szCs w:val="17"/>
          <w:color w:val="auto"/>
        </w:rPr>
        <w:t>April 27, 2012, respectively:</w:t>
      </w:r>
    </w:p>
    <w:p>
      <w:pPr>
        <w:spacing w:after="0" w:line="233" w:lineRule="exact"/>
        <w:rPr>
          <w:sz w:val="20"/>
          <w:szCs w:val="20"/>
          <w:color w:val="auto"/>
        </w:rPr>
      </w:pPr>
    </w:p>
    <w:tbl>
      <w:tblPr>
        <w:tblLayout w:type="fixed"/>
        <w:tblInd w:w="620" w:type="dxa"/>
        <w:tblCellMar>
          <w:top w:w="0" w:type="dxa"/>
          <w:left w:w="0" w:type="dxa"/>
          <w:bottom w:w="0" w:type="dxa"/>
          <w:right w:w="0" w:type="dxa"/>
        </w:tblCellMar>
      </w:tblPr>
      <w:tr>
        <w:trPr>
          <w:trHeight w:val="225"/>
        </w:trPr>
        <w:tc>
          <w:tcPr>
            <w:tcW w:w="4680" w:type="dxa"/>
            <w:vAlign w:val="bottom"/>
          </w:tcPr>
          <w:p>
            <w:pPr>
              <w:spacing w:after="0"/>
              <w:rPr>
                <w:sz w:val="19"/>
                <w:szCs w:val="19"/>
                <w:color w:val="auto"/>
              </w:rPr>
            </w:pPr>
          </w:p>
        </w:tc>
        <w:tc>
          <w:tcPr>
            <w:tcW w:w="2560" w:type="dxa"/>
            <w:vAlign w:val="bottom"/>
            <w:gridSpan w:val="4"/>
          </w:tcPr>
          <w:p>
            <w:pPr>
              <w:ind w:left="720"/>
              <w:spacing w:after="0"/>
              <w:rPr>
                <w:sz w:val="20"/>
                <w:szCs w:val="20"/>
                <w:color w:val="auto"/>
              </w:rPr>
            </w:pPr>
            <w:r>
              <w:rPr>
                <w:rFonts w:ascii="Arial" w:cs="Arial" w:eastAsia="Arial" w:hAnsi="Arial"/>
                <w:sz w:val="17"/>
                <w:szCs w:val="17"/>
                <w:color w:val="auto"/>
              </w:rPr>
              <w:t>Quarter Ended</w:t>
            </w:r>
          </w:p>
        </w:tc>
        <w:tc>
          <w:tcPr>
            <w:tcW w:w="2480" w:type="dxa"/>
            <w:vAlign w:val="bottom"/>
            <w:gridSpan w:val="4"/>
          </w:tcPr>
          <w:p>
            <w:pPr>
              <w:ind w:left="540"/>
              <w:spacing w:after="0"/>
              <w:rPr>
                <w:sz w:val="20"/>
                <w:szCs w:val="20"/>
                <w:color w:val="auto"/>
              </w:rPr>
            </w:pPr>
            <w:r>
              <w:rPr>
                <w:rFonts w:ascii="Arial" w:cs="Arial" w:eastAsia="Arial" w:hAnsi="Arial"/>
                <w:sz w:val="17"/>
                <w:szCs w:val="17"/>
                <w:color w:val="auto"/>
              </w:rPr>
              <w:t>Nine Months Ended</w:t>
            </w:r>
          </w:p>
        </w:tc>
      </w:tr>
      <w:tr>
        <w:trPr>
          <w:trHeight w:val="194"/>
        </w:trPr>
        <w:tc>
          <w:tcPr>
            <w:tcW w:w="4680" w:type="dxa"/>
            <w:vAlign w:val="bottom"/>
          </w:tcPr>
          <w:p>
            <w:pPr>
              <w:spacing w:after="0"/>
              <w:rPr>
                <w:sz w:val="16"/>
                <w:szCs w:val="16"/>
                <w:color w:val="auto"/>
              </w:rPr>
            </w:pPr>
          </w:p>
        </w:tc>
        <w:tc>
          <w:tcPr>
            <w:tcW w:w="1280" w:type="dxa"/>
            <w:vAlign w:val="bottom"/>
            <w:tcBorders>
              <w:top w:val="single" w:sz="8" w:color="auto"/>
            </w:tcBorders>
            <w:gridSpan w:val="2"/>
          </w:tcPr>
          <w:p>
            <w:pPr>
              <w:jc w:val="center"/>
              <w:ind w:right="120"/>
              <w:spacing w:after="0" w:line="194" w:lineRule="exact"/>
              <w:rPr>
                <w:sz w:val="20"/>
                <w:szCs w:val="20"/>
                <w:color w:val="auto"/>
              </w:rPr>
            </w:pPr>
            <w:r>
              <w:rPr>
                <w:rFonts w:ascii="Arial" w:cs="Arial" w:eastAsia="Arial" w:hAnsi="Arial"/>
                <w:sz w:val="17"/>
                <w:szCs w:val="17"/>
                <w:color w:val="auto"/>
                <w:w w:val="93"/>
              </w:rPr>
              <w:t>May 3,</w:t>
            </w:r>
          </w:p>
        </w:tc>
        <w:tc>
          <w:tcPr>
            <w:tcW w:w="1080" w:type="dxa"/>
            <w:vAlign w:val="bottom"/>
            <w:tcBorders>
              <w:top w:val="single" w:sz="8" w:color="auto"/>
            </w:tcBorders>
          </w:tcPr>
          <w:p>
            <w:pPr>
              <w:jc w:val="right"/>
              <w:ind w:right="94"/>
              <w:spacing w:after="0" w:line="194" w:lineRule="exact"/>
              <w:rPr>
                <w:sz w:val="20"/>
                <w:szCs w:val="20"/>
                <w:color w:val="auto"/>
              </w:rPr>
            </w:pPr>
            <w:r>
              <w:rPr>
                <w:rFonts w:ascii="Arial" w:cs="Arial" w:eastAsia="Arial" w:hAnsi="Arial"/>
                <w:sz w:val="17"/>
                <w:szCs w:val="17"/>
                <w:color w:val="auto"/>
              </w:rPr>
              <w:t>April 27,</w:t>
            </w:r>
          </w:p>
        </w:tc>
        <w:tc>
          <w:tcPr>
            <w:tcW w:w="200" w:type="dxa"/>
            <w:vAlign w:val="bottom"/>
          </w:tcPr>
          <w:p>
            <w:pPr>
              <w:spacing w:after="0"/>
              <w:rPr>
                <w:sz w:val="16"/>
                <w:szCs w:val="16"/>
                <w:color w:val="auto"/>
              </w:rPr>
            </w:pPr>
          </w:p>
        </w:tc>
        <w:tc>
          <w:tcPr>
            <w:tcW w:w="1300" w:type="dxa"/>
            <w:vAlign w:val="bottom"/>
            <w:tcBorders>
              <w:top w:val="single" w:sz="8" w:color="auto"/>
            </w:tcBorders>
            <w:gridSpan w:val="2"/>
          </w:tcPr>
          <w:p>
            <w:pPr>
              <w:jc w:val="center"/>
              <w:ind w:right="120"/>
              <w:spacing w:after="0" w:line="194" w:lineRule="exact"/>
              <w:rPr>
                <w:sz w:val="20"/>
                <w:szCs w:val="20"/>
                <w:color w:val="auto"/>
              </w:rPr>
            </w:pPr>
            <w:r>
              <w:rPr>
                <w:rFonts w:ascii="Arial" w:cs="Arial" w:eastAsia="Arial" w:hAnsi="Arial"/>
                <w:sz w:val="17"/>
                <w:szCs w:val="17"/>
                <w:color w:val="auto"/>
                <w:w w:val="97"/>
              </w:rPr>
              <w:t>May 3,</w:t>
            </w:r>
          </w:p>
        </w:tc>
        <w:tc>
          <w:tcPr>
            <w:tcW w:w="1080" w:type="dxa"/>
            <w:vAlign w:val="bottom"/>
            <w:tcBorders>
              <w:top w:val="single" w:sz="8" w:color="auto"/>
            </w:tcBorders>
          </w:tcPr>
          <w:p>
            <w:pPr>
              <w:jc w:val="right"/>
              <w:ind w:right="94"/>
              <w:spacing w:after="0" w:line="194" w:lineRule="exact"/>
              <w:rPr>
                <w:sz w:val="20"/>
                <w:szCs w:val="20"/>
                <w:color w:val="auto"/>
              </w:rPr>
            </w:pPr>
            <w:r>
              <w:rPr>
                <w:rFonts w:ascii="Arial" w:cs="Arial" w:eastAsia="Arial" w:hAnsi="Arial"/>
                <w:sz w:val="17"/>
                <w:szCs w:val="17"/>
                <w:color w:val="auto"/>
              </w:rPr>
              <w:t>April 27,</w:t>
            </w:r>
          </w:p>
        </w:tc>
        <w:tc>
          <w:tcPr>
            <w:tcW w:w="100" w:type="dxa"/>
            <w:vAlign w:val="bottom"/>
          </w:tcPr>
          <w:p>
            <w:pPr>
              <w:spacing w:after="0"/>
              <w:rPr>
                <w:sz w:val="16"/>
                <w:szCs w:val="16"/>
                <w:color w:val="auto"/>
              </w:rPr>
            </w:pPr>
          </w:p>
        </w:tc>
      </w:tr>
      <w:tr>
        <w:trPr>
          <w:trHeight w:val="225"/>
        </w:trPr>
        <w:tc>
          <w:tcPr>
            <w:tcW w:w="4680" w:type="dxa"/>
            <w:vAlign w:val="bottom"/>
          </w:tcPr>
          <w:p>
            <w:pPr>
              <w:spacing w:after="0"/>
              <w:rPr>
                <w:sz w:val="19"/>
                <w:szCs w:val="19"/>
                <w:color w:val="auto"/>
              </w:rPr>
            </w:pPr>
          </w:p>
        </w:tc>
        <w:tc>
          <w:tcPr>
            <w:tcW w:w="106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2013</w:t>
            </w:r>
          </w:p>
        </w:tc>
        <w:tc>
          <w:tcPr>
            <w:tcW w:w="220" w:type="dxa"/>
            <w:vAlign w:val="bottom"/>
          </w:tcPr>
          <w:p>
            <w:pPr>
              <w:spacing w:after="0"/>
              <w:rPr>
                <w:sz w:val="19"/>
                <w:szCs w:val="19"/>
                <w:color w:val="auto"/>
              </w:rPr>
            </w:pPr>
          </w:p>
        </w:tc>
        <w:tc>
          <w:tcPr>
            <w:tcW w:w="10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2012</w:t>
            </w:r>
          </w:p>
        </w:tc>
        <w:tc>
          <w:tcPr>
            <w:tcW w:w="200" w:type="dxa"/>
            <w:vAlign w:val="bottom"/>
          </w:tcPr>
          <w:p>
            <w:pPr>
              <w:spacing w:after="0"/>
              <w:rPr>
                <w:sz w:val="19"/>
                <w:szCs w:val="19"/>
                <w:color w:val="auto"/>
              </w:rPr>
            </w:pPr>
          </w:p>
        </w:tc>
        <w:tc>
          <w:tcPr>
            <w:tcW w:w="10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2013</w:t>
            </w:r>
          </w:p>
        </w:tc>
        <w:tc>
          <w:tcPr>
            <w:tcW w:w="220" w:type="dxa"/>
            <w:vAlign w:val="bottom"/>
          </w:tcPr>
          <w:p>
            <w:pPr>
              <w:spacing w:after="0"/>
              <w:rPr>
                <w:sz w:val="19"/>
                <w:szCs w:val="19"/>
                <w:color w:val="auto"/>
              </w:rPr>
            </w:pPr>
          </w:p>
        </w:tc>
        <w:tc>
          <w:tcPr>
            <w:tcW w:w="1080" w:type="dxa"/>
            <w:vAlign w:val="bottom"/>
            <w:tcBorders>
              <w:bottom w:val="single" w:sz="8" w:color="auto"/>
            </w:tcBorders>
          </w:tcPr>
          <w:p>
            <w:pPr>
              <w:jc w:val="right"/>
              <w:ind w:right="234"/>
              <w:spacing w:after="0"/>
              <w:rPr>
                <w:sz w:val="20"/>
                <w:szCs w:val="20"/>
                <w:color w:val="auto"/>
              </w:rPr>
            </w:pPr>
            <w:r>
              <w:rPr>
                <w:rFonts w:ascii="Arial" w:cs="Arial" w:eastAsia="Arial" w:hAnsi="Arial"/>
                <w:sz w:val="17"/>
                <w:szCs w:val="17"/>
                <w:color w:val="auto"/>
              </w:rPr>
              <w:t>2012</w:t>
            </w:r>
          </w:p>
        </w:tc>
        <w:tc>
          <w:tcPr>
            <w:tcW w:w="100" w:type="dxa"/>
            <w:vAlign w:val="bottom"/>
          </w:tcPr>
          <w:p>
            <w:pPr>
              <w:spacing w:after="0"/>
              <w:rPr>
                <w:sz w:val="19"/>
                <w:szCs w:val="19"/>
                <w:color w:val="auto"/>
              </w:rPr>
            </w:pPr>
          </w:p>
        </w:tc>
      </w:tr>
      <w:tr>
        <w:trPr>
          <w:trHeight w:val="206"/>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Open at beginning of period</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621</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608</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616</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603</w:t>
            </w:r>
          </w:p>
        </w:tc>
      </w:tr>
      <w:tr>
        <w:trPr>
          <w:trHeight w:val="206"/>
        </w:trPr>
        <w:tc>
          <w:tcPr>
            <w:tcW w:w="4680" w:type="dxa"/>
            <w:vAlign w:val="bottom"/>
          </w:tcPr>
          <w:p>
            <w:pPr>
              <w:spacing w:after="0"/>
              <w:rPr>
                <w:sz w:val="20"/>
                <w:szCs w:val="20"/>
                <w:color w:val="auto"/>
              </w:rPr>
            </w:pPr>
            <w:r>
              <w:rPr>
                <w:rFonts w:ascii="Arial" w:cs="Arial" w:eastAsia="Arial" w:hAnsi="Arial"/>
                <w:sz w:val="17"/>
                <w:szCs w:val="17"/>
                <w:color w:val="auto"/>
              </w:rPr>
              <w:t>Opened during period</w:t>
            </w:r>
          </w:p>
        </w:tc>
        <w:tc>
          <w:tcPr>
            <w:tcW w:w="1280" w:type="dxa"/>
            <w:vAlign w:val="bottom"/>
            <w:gridSpan w:val="2"/>
          </w:tcPr>
          <w:p>
            <w:pPr>
              <w:jc w:val="right"/>
              <w:ind w:right="220"/>
              <w:spacing w:after="0"/>
              <w:rPr>
                <w:sz w:val="20"/>
                <w:szCs w:val="20"/>
                <w:color w:val="auto"/>
              </w:rPr>
            </w:pPr>
            <w:r>
              <w:rPr>
                <w:rFonts w:ascii="Arial" w:cs="Arial" w:eastAsia="Arial" w:hAnsi="Arial"/>
                <w:sz w:val="17"/>
                <w:szCs w:val="17"/>
                <w:color w:val="auto"/>
              </w:rPr>
              <w:t>1</w:t>
            </w:r>
          </w:p>
        </w:tc>
        <w:tc>
          <w:tcPr>
            <w:tcW w:w="1280" w:type="dxa"/>
            <w:vAlign w:val="bottom"/>
            <w:gridSpan w:val="2"/>
          </w:tcPr>
          <w:p>
            <w:pPr>
              <w:jc w:val="right"/>
              <w:ind w:right="200"/>
              <w:spacing w:after="0"/>
              <w:rPr>
                <w:sz w:val="20"/>
                <w:szCs w:val="20"/>
                <w:color w:val="auto"/>
              </w:rPr>
            </w:pPr>
            <w:r>
              <w:rPr>
                <w:rFonts w:ascii="Arial" w:cs="Arial" w:eastAsia="Arial" w:hAnsi="Arial"/>
                <w:sz w:val="17"/>
                <w:szCs w:val="17"/>
                <w:color w:val="auto"/>
              </w:rPr>
              <w:t>5</w:t>
            </w:r>
          </w:p>
        </w:tc>
        <w:tc>
          <w:tcPr>
            <w:tcW w:w="1300" w:type="dxa"/>
            <w:vAlign w:val="bottom"/>
            <w:gridSpan w:val="2"/>
          </w:tcPr>
          <w:p>
            <w:pPr>
              <w:jc w:val="right"/>
              <w:ind w:right="220"/>
              <w:spacing w:after="0"/>
              <w:rPr>
                <w:sz w:val="20"/>
                <w:szCs w:val="20"/>
                <w:color w:val="auto"/>
              </w:rPr>
            </w:pPr>
            <w:r>
              <w:rPr>
                <w:rFonts w:ascii="Arial" w:cs="Arial" w:eastAsia="Arial" w:hAnsi="Arial"/>
                <w:sz w:val="17"/>
                <w:szCs w:val="17"/>
                <w:color w:val="auto"/>
              </w:rPr>
              <w:t>6</w:t>
            </w:r>
          </w:p>
        </w:tc>
        <w:tc>
          <w:tcPr>
            <w:tcW w:w="1080" w:type="dxa"/>
            <w:vAlign w:val="bottom"/>
          </w:tcPr>
          <w:p>
            <w:pPr>
              <w:jc w:val="right"/>
              <w:spacing w:after="0"/>
              <w:rPr>
                <w:sz w:val="20"/>
                <w:szCs w:val="20"/>
                <w:color w:val="auto"/>
              </w:rPr>
            </w:pPr>
            <w:r>
              <w:rPr>
                <w:rFonts w:ascii="Arial" w:cs="Arial" w:eastAsia="Arial" w:hAnsi="Arial"/>
                <w:sz w:val="17"/>
                <w:szCs w:val="17"/>
                <w:color w:val="auto"/>
              </w:rPr>
              <w:t>10</w:t>
            </w:r>
          </w:p>
        </w:tc>
        <w:tc>
          <w:tcPr>
            <w:tcW w:w="100" w:type="dxa"/>
            <w:vAlign w:val="bottom"/>
          </w:tcPr>
          <w:p>
            <w:pPr>
              <w:spacing w:after="0"/>
              <w:rPr>
                <w:sz w:val="17"/>
                <w:szCs w:val="17"/>
                <w:color w:val="auto"/>
              </w:rPr>
            </w:pPr>
          </w:p>
        </w:tc>
      </w:tr>
      <w:tr>
        <w:trPr>
          <w:trHeight w:val="26"/>
        </w:trPr>
        <w:tc>
          <w:tcPr>
            <w:tcW w:w="46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26"/>
        </w:trPr>
        <w:tc>
          <w:tcPr>
            <w:tcW w:w="4680" w:type="dxa"/>
            <w:vAlign w:val="bottom"/>
            <w:shd w:val="clear" w:color="auto" w:fill="CCEEFF"/>
          </w:tcPr>
          <w:p>
            <w:pPr>
              <w:spacing w:after="0"/>
              <w:rPr>
                <w:sz w:val="20"/>
                <w:szCs w:val="20"/>
                <w:color w:val="auto"/>
              </w:rPr>
            </w:pPr>
            <w:r>
              <w:rPr>
                <w:rFonts w:ascii="Arial" w:cs="Arial" w:eastAsia="Arial" w:hAnsi="Arial"/>
                <w:sz w:val="17"/>
                <w:szCs w:val="17"/>
                <w:color w:val="auto"/>
              </w:rPr>
              <w:t>Open at the end of period</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622</w:t>
            </w:r>
          </w:p>
        </w:tc>
        <w:tc>
          <w:tcPr>
            <w:tcW w:w="1280" w:type="dxa"/>
            <w:vAlign w:val="bottom"/>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613</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622</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613</w:t>
            </w:r>
          </w:p>
        </w:tc>
      </w:tr>
      <w:tr>
        <w:trPr>
          <w:trHeight w:val="20"/>
        </w:trPr>
        <w:tc>
          <w:tcPr>
            <w:tcW w:w="468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Total Revenue</w:t>
      </w:r>
    </w:p>
    <w:p>
      <w:pPr>
        <w:spacing w:after="0" w:line="24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Total revenue for the third quarter and first nine months of 2013 increased 5.2% and 4.8%, respectively, compared to the same periods in the prior year.</w:t>
      </w:r>
    </w:p>
    <w:p>
      <w:pPr>
        <w:spacing w:after="0" w:line="255" w:lineRule="exact"/>
        <w:rPr>
          <w:sz w:val="20"/>
          <w:szCs w:val="20"/>
          <w:color w:val="auto"/>
        </w:rPr>
      </w:pPr>
    </w:p>
    <w:p>
      <w:pPr>
        <w:ind w:right="360" w:firstLine="620"/>
        <w:spacing w:after="0" w:line="280" w:lineRule="auto"/>
        <w:rPr>
          <w:sz w:val="20"/>
          <w:szCs w:val="20"/>
          <w:color w:val="auto"/>
        </w:rPr>
      </w:pPr>
      <w:r>
        <w:rPr>
          <w:rFonts w:ascii="Arial" w:cs="Arial" w:eastAsia="Arial" w:hAnsi="Arial"/>
          <w:sz w:val="17"/>
          <w:szCs w:val="17"/>
          <w:color w:val="auto"/>
        </w:rPr>
        <w:t>The following table highlights the key components of revenue for the quarter and nine-month period ended May 3, 2013 as compared to the quarter and nine-month period ended April 27, 2012:</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560" w:type="dxa"/>
            <w:vAlign w:val="bottom"/>
            <w:gridSpan w:val="5"/>
          </w:tcPr>
          <w:p>
            <w:pPr>
              <w:jc w:val="right"/>
              <w:ind w:right="1020"/>
              <w:spacing w:after="0"/>
              <w:rPr>
                <w:sz w:val="20"/>
                <w:szCs w:val="20"/>
                <w:color w:val="auto"/>
              </w:rPr>
            </w:pPr>
            <w:r>
              <w:rPr>
                <w:rFonts w:ascii="Arial" w:cs="Arial" w:eastAsia="Arial" w:hAnsi="Arial"/>
                <w:sz w:val="17"/>
                <w:szCs w:val="17"/>
                <w:color w:val="auto"/>
              </w:rPr>
              <w:t>Quarter Ended</w:t>
            </w:r>
          </w:p>
        </w:tc>
        <w:tc>
          <w:tcPr>
            <w:tcW w:w="240" w:type="dxa"/>
            <w:vAlign w:val="bottom"/>
          </w:tcPr>
          <w:p>
            <w:pPr>
              <w:spacing w:after="0"/>
              <w:rPr>
                <w:sz w:val="19"/>
                <w:szCs w:val="19"/>
                <w:color w:val="auto"/>
              </w:rPr>
            </w:pPr>
          </w:p>
        </w:tc>
        <w:tc>
          <w:tcPr>
            <w:tcW w:w="2420" w:type="dxa"/>
            <w:vAlign w:val="bottom"/>
            <w:gridSpan w:val="5"/>
          </w:tcPr>
          <w:p>
            <w:pPr>
              <w:jc w:val="right"/>
              <w:ind w:right="700"/>
              <w:spacing w:after="0"/>
              <w:rPr>
                <w:sz w:val="20"/>
                <w:szCs w:val="20"/>
                <w:color w:val="auto"/>
              </w:rPr>
            </w:pPr>
            <w:r>
              <w:rPr>
                <w:rFonts w:ascii="Arial" w:cs="Arial" w:eastAsia="Arial" w:hAnsi="Arial"/>
                <w:sz w:val="17"/>
                <w:szCs w:val="17"/>
                <w:color w:val="auto"/>
              </w:rPr>
              <w:t>Nine Months Ended</w:t>
            </w:r>
          </w:p>
        </w:tc>
      </w:tr>
      <w:tr>
        <w:trPr>
          <w:trHeight w:val="194"/>
        </w:trPr>
        <w:tc>
          <w:tcPr>
            <w:tcW w:w="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center"/>
              <w:ind w:right="460"/>
              <w:spacing w:after="0" w:line="194" w:lineRule="exact"/>
              <w:rPr>
                <w:sz w:val="20"/>
                <w:szCs w:val="20"/>
                <w:color w:val="auto"/>
              </w:rPr>
            </w:pPr>
            <w:r>
              <w:rPr>
                <w:rFonts w:ascii="Arial" w:cs="Arial" w:eastAsia="Arial" w:hAnsi="Arial"/>
                <w:sz w:val="17"/>
                <w:szCs w:val="17"/>
                <w:color w:val="auto"/>
                <w:w w:val="93"/>
              </w:rPr>
              <w:t>May 3,</w:t>
            </w: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54"/>
              <w:spacing w:after="0" w:line="194" w:lineRule="exact"/>
              <w:rPr>
                <w:sz w:val="20"/>
                <w:szCs w:val="20"/>
                <w:color w:val="auto"/>
              </w:rPr>
            </w:pPr>
            <w:r>
              <w:rPr>
                <w:rFonts w:ascii="Arial" w:cs="Arial" w:eastAsia="Arial" w:hAnsi="Arial"/>
                <w:sz w:val="17"/>
                <w:szCs w:val="17"/>
                <w:color w:val="auto"/>
              </w:rPr>
              <w:t>April 27,</w:t>
            </w:r>
          </w:p>
        </w:tc>
        <w:tc>
          <w:tcPr>
            <w:tcW w:w="26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520"/>
              <w:spacing w:after="0" w:line="194" w:lineRule="exact"/>
              <w:rPr>
                <w:sz w:val="20"/>
                <w:szCs w:val="20"/>
                <w:color w:val="auto"/>
              </w:rPr>
            </w:pPr>
            <w:r>
              <w:rPr>
                <w:rFonts w:ascii="Arial" w:cs="Arial" w:eastAsia="Arial" w:hAnsi="Arial"/>
                <w:sz w:val="17"/>
                <w:szCs w:val="17"/>
                <w:color w:val="auto"/>
              </w:rPr>
              <w:t>May 3,</w:t>
            </w: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jc w:val="right"/>
              <w:ind w:right="114"/>
              <w:spacing w:after="0" w:line="194" w:lineRule="exact"/>
              <w:rPr>
                <w:sz w:val="20"/>
                <w:szCs w:val="20"/>
                <w:color w:val="auto"/>
              </w:rPr>
            </w:pPr>
            <w:r>
              <w:rPr>
                <w:rFonts w:ascii="Arial" w:cs="Arial" w:eastAsia="Arial" w:hAnsi="Arial"/>
                <w:sz w:val="17"/>
                <w:szCs w:val="17"/>
                <w:color w:val="auto"/>
              </w:rPr>
              <w:t>April 27,</w:t>
            </w:r>
          </w:p>
        </w:tc>
        <w:tc>
          <w:tcPr>
            <w:tcW w:w="160" w:type="dxa"/>
            <w:vAlign w:val="bottom"/>
          </w:tcPr>
          <w:p>
            <w:pPr>
              <w:spacing w:after="0"/>
              <w:rPr>
                <w:sz w:val="16"/>
                <w:szCs w:val="16"/>
                <w:color w:val="auto"/>
              </w:rPr>
            </w:pPr>
          </w:p>
        </w:tc>
      </w:tr>
      <w:tr>
        <w:trPr>
          <w:trHeight w:val="225"/>
        </w:trPr>
        <w:tc>
          <w:tcPr>
            <w:tcW w:w="20" w:type="dxa"/>
            <w:vAlign w:val="bottom"/>
          </w:tcPr>
          <w:p>
            <w:pPr>
              <w:spacing w:after="0"/>
              <w:rPr>
                <w:sz w:val="19"/>
                <w:szCs w:val="19"/>
                <w:color w:val="auto"/>
              </w:rPr>
            </w:pPr>
          </w:p>
        </w:tc>
        <w:tc>
          <w:tcPr>
            <w:tcW w:w="59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2013</w:t>
            </w:r>
          </w:p>
        </w:tc>
        <w:tc>
          <w:tcPr>
            <w:tcW w:w="26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2013</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2012</w:t>
            </w:r>
          </w:p>
        </w:tc>
        <w:tc>
          <w:tcPr>
            <w:tcW w:w="160" w:type="dxa"/>
            <w:vAlign w:val="bottom"/>
          </w:tcPr>
          <w:p>
            <w:pPr>
              <w:spacing w:after="0"/>
              <w:rPr>
                <w:sz w:val="19"/>
                <w:szCs w:val="19"/>
                <w:color w:val="auto"/>
              </w:rPr>
            </w:pPr>
          </w:p>
        </w:tc>
      </w:tr>
      <w:tr>
        <w:trPr>
          <w:trHeight w:val="206"/>
        </w:trPr>
        <w:tc>
          <w:tcPr>
            <w:tcW w:w="6000" w:type="dxa"/>
            <w:vAlign w:val="bottom"/>
            <w:gridSpan w:val="2"/>
          </w:tcPr>
          <w:p>
            <w:pPr>
              <w:spacing w:after="0"/>
              <w:rPr>
                <w:sz w:val="20"/>
                <w:szCs w:val="20"/>
                <w:color w:val="auto"/>
              </w:rPr>
            </w:pPr>
            <w:r>
              <w:rPr>
                <w:rFonts w:ascii="Arial" w:cs="Arial" w:eastAsia="Arial" w:hAnsi="Arial"/>
                <w:sz w:val="17"/>
                <w:szCs w:val="17"/>
                <w:color w:val="auto"/>
              </w:rPr>
              <w:t>Revenue in dollars:</w:t>
            </w: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7"/>
        </w:trPr>
        <w:tc>
          <w:tcPr>
            <w:tcW w:w="20" w:type="dxa"/>
            <w:vAlign w:val="bottom"/>
          </w:tcPr>
          <w:p>
            <w:pPr>
              <w:spacing w:after="0"/>
              <w:rPr>
                <w:sz w:val="18"/>
                <w:szCs w:val="18"/>
                <w:color w:val="auto"/>
              </w:rPr>
            </w:pPr>
          </w:p>
        </w:tc>
        <w:tc>
          <w:tcPr>
            <w:tcW w:w="5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Restaurant</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522,642</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500,025</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1,555,111</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1,485,065</w:t>
            </w:r>
          </w:p>
        </w:tc>
        <w:tc>
          <w:tcPr>
            <w:tcW w:w="160" w:type="dxa"/>
            <w:vAlign w:val="bottom"/>
            <w:shd w:val="clear" w:color="auto" w:fill="CCEEFF"/>
          </w:tcPr>
          <w:p>
            <w:pPr>
              <w:spacing w:after="0"/>
              <w:rPr>
                <w:sz w:val="18"/>
                <w:szCs w:val="18"/>
                <w:color w:val="auto"/>
              </w:rPr>
            </w:pPr>
          </w:p>
        </w:tc>
      </w:tr>
      <w:tr>
        <w:trPr>
          <w:trHeight w:val="206"/>
        </w:trPr>
        <w:tc>
          <w:tcPr>
            <w:tcW w:w="20" w:type="dxa"/>
            <w:vAlign w:val="bottom"/>
          </w:tcPr>
          <w:p>
            <w:pPr>
              <w:spacing w:after="0"/>
              <w:rPr>
                <w:sz w:val="17"/>
                <w:szCs w:val="17"/>
                <w:color w:val="auto"/>
              </w:rPr>
            </w:pPr>
          </w:p>
        </w:tc>
        <w:tc>
          <w:tcPr>
            <w:tcW w:w="5980" w:type="dxa"/>
            <w:vAlign w:val="bottom"/>
          </w:tcPr>
          <w:p>
            <w:pPr>
              <w:ind w:left="140"/>
              <w:spacing w:after="0"/>
              <w:rPr>
                <w:sz w:val="20"/>
                <w:szCs w:val="20"/>
                <w:color w:val="auto"/>
              </w:rPr>
            </w:pPr>
            <w:r>
              <w:rPr>
                <w:rFonts w:ascii="Arial" w:cs="Arial" w:eastAsia="Arial" w:hAnsi="Arial"/>
                <w:sz w:val="17"/>
                <w:szCs w:val="17"/>
                <w:color w:val="auto"/>
              </w:rPr>
              <w:t>Retail</w:t>
            </w:r>
          </w:p>
        </w:tc>
        <w:tc>
          <w:tcPr>
            <w:tcW w:w="200" w:type="dxa"/>
            <w:vAlign w:val="bottom"/>
          </w:tcPr>
          <w:p>
            <w:pPr>
              <w:spacing w:after="0"/>
              <w:rPr>
                <w:sz w:val="17"/>
                <w:szCs w:val="17"/>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117,765</w:t>
            </w: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108,489</w:t>
            </w:r>
          </w:p>
        </w:tc>
        <w:tc>
          <w:tcPr>
            <w:tcW w:w="240" w:type="dxa"/>
            <w:vAlign w:val="bottom"/>
          </w:tcPr>
          <w:p>
            <w:pPr>
              <w:spacing w:after="0"/>
              <w:rPr>
                <w:sz w:val="17"/>
                <w:szCs w:val="17"/>
                <w:color w:val="auto"/>
              </w:rPr>
            </w:pP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415,418</w:t>
            </w:r>
          </w:p>
        </w:tc>
        <w:tc>
          <w:tcPr>
            <w:tcW w:w="200" w:type="dxa"/>
            <w:vAlign w:val="bottom"/>
          </w:tcPr>
          <w:p>
            <w:pPr>
              <w:spacing w:after="0"/>
              <w:rPr>
                <w:sz w:val="17"/>
                <w:szCs w:val="17"/>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7"/>
                <w:szCs w:val="17"/>
                <w:color w:val="auto"/>
              </w:rPr>
              <w:t>395,120</w:t>
            </w:r>
          </w:p>
        </w:tc>
      </w:tr>
      <w:tr>
        <w:trPr>
          <w:trHeight w:val="26"/>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46"/>
        </w:trPr>
        <w:tc>
          <w:tcPr>
            <w:tcW w:w="20" w:type="dxa"/>
            <w:vAlign w:val="bottom"/>
          </w:tcPr>
          <w:p>
            <w:pPr>
              <w:spacing w:after="0"/>
              <w:rPr>
                <w:sz w:val="21"/>
                <w:szCs w:val="21"/>
                <w:color w:val="auto"/>
              </w:rPr>
            </w:pPr>
          </w:p>
        </w:tc>
        <w:tc>
          <w:tcPr>
            <w:tcW w:w="5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Total revenue</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640,407</w:t>
            </w:r>
          </w:p>
        </w:tc>
        <w:tc>
          <w:tcPr>
            <w:tcW w:w="18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608,514</w:t>
            </w:r>
          </w:p>
        </w:tc>
        <w:tc>
          <w:tcPr>
            <w:tcW w:w="240" w:type="dxa"/>
            <w:vAlign w:val="bottom"/>
            <w:shd w:val="clear" w:color="auto" w:fill="CCEEFF"/>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1,970,529</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1,880,185</w:t>
            </w:r>
          </w:p>
        </w:tc>
        <w:tc>
          <w:tcPr>
            <w:tcW w:w="160" w:type="dxa"/>
            <w:vAlign w:val="bottom"/>
            <w:shd w:val="clear" w:color="auto" w:fill="CCEEFF"/>
          </w:tcPr>
          <w:p>
            <w:pPr>
              <w:spacing w:after="0"/>
              <w:rPr>
                <w:sz w:val="21"/>
                <w:szCs w:val="21"/>
                <w:color w:val="auto"/>
              </w:rPr>
            </w:pPr>
          </w:p>
        </w:tc>
      </w:tr>
      <w:tr>
        <w:trPr>
          <w:trHeight w:val="198"/>
        </w:trPr>
        <w:tc>
          <w:tcPr>
            <w:tcW w:w="20" w:type="dxa"/>
            <w:vAlign w:val="bottom"/>
          </w:tcPr>
          <w:p>
            <w:pPr>
              <w:spacing w:after="0"/>
              <w:rPr>
                <w:sz w:val="17"/>
                <w:szCs w:val="17"/>
                <w:color w:val="auto"/>
              </w:rPr>
            </w:pPr>
          </w:p>
        </w:tc>
        <w:tc>
          <w:tcPr>
            <w:tcW w:w="5980" w:type="dxa"/>
            <w:vAlign w:val="bottom"/>
            <w:tcBorders>
              <w:top w:val="single" w:sz="8" w:color="CCEEFF"/>
            </w:tcBorders>
          </w:tcPr>
          <w:p>
            <w:pPr>
              <w:spacing w:after="0"/>
              <w:rPr>
                <w:sz w:val="20"/>
                <w:szCs w:val="20"/>
                <w:color w:val="auto"/>
              </w:rPr>
            </w:pPr>
            <w:r>
              <w:rPr>
                <w:rFonts w:ascii="Arial" w:cs="Arial" w:eastAsia="Arial" w:hAnsi="Arial"/>
                <w:sz w:val="17"/>
                <w:szCs w:val="17"/>
                <w:color w:val="auto"/>
              </w:rPr>
              <w:t>Total revenue by percentage relationships:</w:t>
            </w: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94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920" w:type="dxa"/>
            <w:vAlign w:val="bottom"/>
            <w:tcBorders>
              <w:top w:val="single" w:sz="8" w:color="auto"/>
            </w:tcBorders>
          </w:tcPr>
          <w:p>
            <w:pPr>
              <w:spacing w:after="0"/>
              <w:rPr>
                <w:sz w:val="17"/>
                <w:szCs w:val="17"/>
                <w:color w:val="auto"/>
              </w:rPr>
            </w:pPr>
          </w:p>
        </w:tc>
        <w:tc>
          <w:tcPr>
            <w:tcW w:w="160" w:type="dxa"/>
            <w:vAlign w:val="bottom"/>
            <w:tcBorders>
              <w:top w:val="single" w:sz="8" w:color="CCEEFF"/>
            </w:tcBorders>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980" w:type="dxa"/>
            <w:vAlign w:val="bottom"/>
            <w:shd w:val="clear" w:color="auto" w:fill="CCEEFF"/>
          </w:tcPr>
          <w:p>
            <w:pPr>
              <w:ind w:left="140"/>
              <w:spacing w:after="0"/>
              <w:rPr>
                <w:sz w:val="20"/>
                <w:szCs w:val="20"/>
                <w:color w:val="auto"/>
              </w:rPr>
            </w:pPr>
            <w:r>
              <w:rPr>
                <w:rFonts w:ascii="Arial" w:cs="Arial" w:eastAsia="Arial" w:hAnsi="Arial"/>
                <w:sz w:val="17"/>
                <w:szCs w:val="17"/>
                <w:color w:val="auto"/>
              </w:rPr>
              <w:t>Restaurant</w:t>
            </w:r>
          </w:p>
        </w:tc>
        <w:tc>
          <w:tcPr>
            <w:tcW w:w="20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81.6%</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82.2%</w:t>
            </w:r>
          </w:p>
        </w:tc>
        <w:tc>
          <w:tcPr>
            <w:tcW w:w="24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78.9%</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79.0%</w:t>
            </w:r>
          </w:p>
        </w:tc>
      </w:tr>
      <w:tr>
        <w:trPr>
          <w:trHeight w:val="206"/>
        </w:trPr>
        <w:tc>
          <w:tcPr>
            <w:tcW w:w="20" w:type="dxa"/>
            <w:vAlign w:val="bottom"/>
          </w:tcPr>
          <w:p>
            <w:pPr>
              <w:spacing w:after="0"/>
              <w:rPr>
                <w:sz w:val="17"/>
                <w:szCs w:val="17"/>
                <w:color w:val="auto"/>
              </w:rPr>
            </w:pPr>
          </w:p>
        </w:tc>
        <w:tc>
          <w:tcPr>
            <w:tcW w:w="5980" w:type="dxa"/>
            <w:vAlign w:val="bottom"/>
          </w:tcPr>
          <w:p>
            <w:pPr>
              <w:ind w:left="140"/>
              <w:spacing w:after="0"/>
              <w:rPr>
                <w:sz w:val="20"/>
                <w:szCs w:val="20"/>
                <w:color w:val="auto"/>
              </w:rPr>
            </w:pPr>
            <w:r>
              <w:rPr>
                <w:rFonts w:ascii="Arial" w:cs="Arial" w:eastAsia="Arial" w:hAnsi="Arial"/>
                <w:sz w:val="17"/>
                <w:szCs w:val="17"/>
                <w:color w:val="auto"/>
              </w:rPr>
              <w:t>Retail</w:t>
            </w:r>
          </w:p>
        </w:tc>
        <w:tc>
          <w:tcPr>
            <w:tcW w:w="2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18.4%</w:t>
            </w:r>
          </w:p>
        </w:tc>
        <w:tc>
          <w:tcPr>
            <w:tcW w:w="18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17.8%</w:t>
            </w:r>
          </w:p>
        </w:tc>
        <w:tc>
          <w:tcPr>
            <w:tcW w:w="24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21.1%</w:t>
            </w:r>
          </w:p>
        </w:tc>
        <w:tc>
          <w:tcPr>
            <w:tcW w:w="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21.0%</w:t>
            </w:r>
          </w:p>
        </w:tc>
      </w:tr>
      <w:tr>
        <w:trPr>
          <w:trHeight w:val="206"/>
        </w:trPr>
        <w:tc>
          <w:tcPr>
            <w:tcW w:w="20" w:type="dxa"/>
            <w:vAlign w:val="bottom"/>
          </w:tcPr>
          <w:p>
            <w:pPr>
              <w:spacing w:after="0"/>
              <w:rPr>
                <w:sz w:val="17"/>
                <w:szCs w:val="17"/>
                <w:color w:val="auto"/>
              </w:rPr>
            </w:pPr>
          </w:p>
        </w:tc>
        <w:tc>
          <w:tcPr>
            <w:tcW w:w="5980" w:type="dxa"/>
            <w:vAlign w:val="bottom"/>
            <w:shd w:val="clear" w:color="auto" w:fill="CCEEFF"/>
          </w:tcPr>
          <w:p>
            <w:pPr>
              <w:spacing w:after="0" w:line="207" w:lineRule="exact"/>
              <w:rPr>
                <w:sz w:val="20"/>
                <w:szCs w:val="20"/>
                <w:color w:val="auto"/>
              </w:rPr>
            </w:pPr>
            <w:r>
              <w:rPr>
                <w:rFonts w:ascii="Arial" w:cs="Arial" w:eastAsia="Arial" w:hAnsi="Arial"/>
                <w:sz w:val="17"/>
                <w:szCs w:val="17"/>
                <w:color w:val="auto"/>
              </w:rPr>
              <w:t>Average unit volumes</w:t>
            </w:r>
            <w:r>
              <w:rPr>
                <w:rFonts w:ascii="Arial" w:cs="Arial" w:eastAsia="Arial" w:hAnsi="Arial"/>
                <w:sz w:val="23"/>
                <w:szCs w:val="23"/>
                <w:color w:val="auto"/>
                <w:vertAlign w:val="superscript"/>
              </w:rPr>
              <w:t>(1):</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980" w:type="dxa"/>
            <w:vAlign w:val="bottom"/>
          </w:tcPr>
          <w:p>
            <w:pPr>
              <w:ind w:left="300"/>
              <w:spacing w:after="0"/>
              <w:rPr>
                <w:sz w:val="20"/>
                <w:szCs w:val="20"/>
                <w:color w:val="auto"/>
              </w:rPr>
            </w:pPr>
            <w:r>
              <w:rPr>
                <w:rFonts w:ascii="Arial" w:cs="Arial" w:eastAsia="Arial" w:hAnsi="Arial"/>
                <w:sz w:val="17"/>
                <w:szCs w:val="17"/>
                <w:color w:val="auto"/>
              </w:rPr>
              <w:t>Restaurant</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840.8</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817.9</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2,506.5</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2,443.4</w:t>
            </w:r>
          </w:p>
        </w:tc>
        <w:tc>
          <w:tcPr>
            <w:tcW w:w="16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Retail</w:t>
            </w:r>
          </w:p>
        </w:tc>
        <w:tc>
          <w:tcPr>
            <w:tcW w:w="20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189.4</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177.4</w:t>
            </w:r>
          </w:p>
        </w:tc>
        <w:tc>
          <w:tcPr>
            <w:tcW w:w="24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669.5</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650.1</w:t>
            </w:r>
          </w:p>
        </w:tc>
      </w:tr>
      <w:tr>
        <w:trPr>
          <w:trHeight w:val="26"/>
        </w:trPr>
        <w:tc>
          <w:tcPr>
            <w:tcW w:w="20" w:type="dxa"/>
            <w:vAlign w:val="bottom"/>
          </w:tcPr>
          <w:p>
            <w:pPr>
              <w:spacing w:after="0"/>
              <w:rPr>
                <w:sz w:val="2"/>
                <w:szCs w:val="2"/>
                <w:color w:val="auto"/>
              </w:rPr>
            </w:pPr>
          </w:p>
        </w:tc>
        <w:tc>
          <w:tcPr>
            <w:tcW w:w="598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60" w:type="dxa"/>
            <w:vAlign w:val="bottom"/>
            <w:tcBorders>
              <w:right w:val="single" w:sz="8" w:color="CCEEFF"/>
            </w:tcBorders>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60" w:type="dxa"/>
            <w:vAlign w:val="bottom"/>
            <w:shd w:val="clear" w:color="auto" w:fill="CCEEFF"/>
          </w:tcPr>
          <w:p>
            <w:pPr>
              <w:spacing w:after="0"/>
              <w:rPr>
                <w:sz w:val="2"/>
                <w:szCs w:val="2"/>
                <w:color w:val="auto"/>
              </w:rPr>
            </w:pPr>
          </w:p>
        </w:tc>
      </w:tr>
      <w:tr>
        <w:trPr>
          <w:trHeight w:val="206"/>
        </w:trPr>
        <w:tc>
          <w:tcPr>
            <w:tcW w:w="20" w:type="dxa"/>
            <w:vAlign w:val="bottom"/>
          </w:tcPr>
          <w:p>
            <w:pPr>
              <w:spacing w:after="0"/>
              <w:rPr>
                <w:sz w:val="17"/>
                <w:szCs w:val="17"/>
                <w:color w:val="auto"/>
              </w:rPr>
            </w:pPr>
          </w:p>
        </w:tc>
        <w:tc>
          <w:tcPr>
            <w:tcW w:w="5980" w:type="dxa"/>
            <w:vAlign w:val="bottom"/>
          </w:tcPr>
          <w:p>
            <w:pPr>
              <w:ind w:left="440"/>
              <w:spacing w:after="0"/>
              <w:rPr>
                <w:sz w:val="20"/>
                <w:szCs w:val="20"/>
                <w:color w:val="auto"/>
              </w:rPr>
            </w:pPr>
            <w:r>
              <w:rPr>
                <w:rFonts w:ascii="Arial" w:cs="Arial" w:eastAsia="Arial" w:hAnsi="Arial"/>
                <w:sz w:val="17"/>
                <w:szCs w:val="17"/>
                <w:color w:val="auto"/>
              </w:rPr>
              <w:t>Total revenue</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1180" w:type="dxa"/>
            <w:vAlign w:val="bottom"/>
            <w:gridSpan w:val="2"/>
          </w:tcPr>
          <w:p>
            <w:pPr>
              <w:jc w:val="right"/>
              <w:ind w:right="260"/>
              <w:spacing w:after="0"/>
              <w:rPr>
                <w:sz w:val="20"/>
                <w:szCs w:val="20"/>
                <w:color w:val="auto"/>
              </w:rPr>
            </w:pPr>
            <w:r>
              <w:rPr>
                <w:rFonts w:ascii="Arial" w:cs="Arial" w:eastAsia="Arial" w:hAnsi="Arial"/>
                <w:sz w:val="17"/>
                <w:szCs w:val="17"/>
                <w:color w:val="auto"/>
              </w:rPr>
              <w:t>1,030.2</w:t>
            </w:r>
          </w:p>
        </w:tc>
        <w:tc>
          <w:tcPr>
            <w:tcW w:w="18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995.3</w:t>
            </w:r>
          </w:p>
        </w:tc>
        <w:tc>
          <w:tcPr>
            <w:tcW w:w="240" w:type="dxa"/>
            <w:vAlign w:val="bottom"/>
          </w:tcPr>
          <w:p>
            <w:pPr>
              <w:jc w:val="right"/>
              <w:ind w:right="54"/>
              <w:spacing w:after="0"/>
              <w:rPr>
                <w:sz w:val="20"/>
                <w:szCs w:val="20"/>
                <w:color w:val="auto"/>
              </w:rPr>
            </w:pPr>
            <w:r>
              <w:rPr>
                <w:rFonts w:ascii="Arial" w:cs="Arial" w:eastAsia="Arial" w:hAnsi="Arial"/>
                <w:sz w:val="17"/>
                <w:szCs w:val="17"/>
                <w:color w:val="auto"/>
                <w:w w:val="84"/>
              </w:rPr>
              <w:t>$</w:t>
            </w:r>
          </w:p>
        </w:tc>
        <w:tc>
          <w:tcPr>
            <w:tcW w:w="1140" w:type="dxa"/>
            <w:vAlign w:val="bottom"/>
            <w:gridSpan w:val="2"/>
          </w:tcPr>
          <w:p>
            <w:pPr>
              <w:jc w:val="right"/>
              <w:ind w:right="260"/>
              <w:spacing w:after="0"/>
              <w:rPr>
                <w:sz w:val="20"/>
                <w:szCs w:val="20"/>
                <w:color w:val="auto"/>
              </w:rPr>
            </w:pPr>
            <w:r>
              <w:rPr>
                <w:rFonts w:ascii="Arial" w:cs="Arial" w:eastAsia="Arial" w:hAnsi="Arial"/>
                <w:sz w:val="17"/>
                <w:szCs w:val="17"/>
                <w:color w:val="auto"/>
              </w:rPr>
              <w:t>3,176.0</w:t>
            </w:r>
          </w:p>
        </w:tc>
        <w:tc>
          <w:tcPr>
            <w:tcW w:w="200" w:type="dxa"/>
            <w:vAlign w:val="bottom"/>
          </w:tcPr>
          <w:p>
            <w:pPr>
              <w:jc w:val="right"/>
              <w:ind w:right="14"/>
              <w:spacing w:after="0"/>
              <w:rPr>
                <w:sz w:val="20"/>
                <w:szCs w:val="20"/>
                <w:color w:val="auto"/>
              </w:rPr>
            </w:pPr>
            <w:r>
              <w:rPr>
                <w:rFonts w:ascii="Arial" w:cs="Arial" w:eastAsia="Arial" w:hAnsi="Arial"/>
                <w:sz w:val="17"/>
                <w:szCs w:val="17"/>
                <w:color w:val="auto"/>
                <w:w w:val="84"/>
              </w:rPr>
              <w:t>$</w:t>
            </w:r>
          </w:p>
        </w:tc>
        <w:tc>
          <w:tcPr>
            <w:tcW w:w="920" w:type="dxa"/>
            <w:vAlign w:val="bottom"/>
          </w:tcPr>
          <w:p>
            <w:pPr>
              <w:jc w:val="right"/>
              <w:spacing w:after="0"/>
              <w:rPr>
                <w:sz w:val="20"/>
                <w:szCs w:val="20"/>
                <w:color w:val="auto"/>
              </w:rPr>
            </w:pPr>
            <w:r>
              <w:rPr>
                <w:rFonts w:ascii="Arial" w:cs="Arial" w:eastAsia="Arial" w:hAnsi="Arial"/>
                <w:sz w:val="17"/>
                <w:szCs w:val="17"/>
                <w:color w:val="auto"/>
              </w:rPr>
              <w:t>3,093.5</w:t>
            </w:r>
          </w:p>
        </w:tc>
        <w:tc>
          <w:tcPr>
            <w:tcW w:w="160" w:type="dxa"/>
            <w:vAlign w:val="bottom"/>
          </w:tcPr>
          <w:p>
            <w:pPr>
              <w:spacing w:after="0"/>
              <w:rPr>
                <w:sz w:val="17"/>
                <w:szCs w:val="17"/>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shd w:val="clear" w:color="auto" w:fill="CCEEFF"/>
          </w:tcPr>
          <w:p>
            <w:pPr>
              <w:spacing w:after="0"/>
              <w:rPr>
                <w:sz w:val="20"/>
                <w:szCs w:val="20"/>
                <w:color w:val="auto"/>
              </w:rPr>
            </w:pPr>
            <w:r>
              <w:rPr>
                <w:rFonts w:ascii="Arial" w:cs="Arial" w:eastAsia="Arial" w:hAnsi="Arial"/>
                <w:sz w:val="17"/>
                <w:szCs w:val="17"/>
                <w:color w:val="auto"/>
              </w:rPr>
              <w:t>Comparable store sales increase:</w:t>
            </w: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2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5980" w:type="dxa"/>
            <w:vAlign w:val="bottom"/>
          </w:tcPr>
          <w:p>
            <w:pPr>
              <w:ind w:left="300"/>
              <w:spacing w:after="0"/>
              <w:rPr>
                <w:sz w:val="20"/>
                <w:szCs w:val="20"/>
                <w:color w:val="auto"/>
              </w:rPr>
            </w:pPr>
            <w:r>
              <w:rPr>
                <w:rFonts w:ascii="Arial" w:cs="Arial" w:eastAsia="Arial" w:hAnsi="Arial"/>
                <w:sz w:val="17"/>
                <w:szCs w:val="17"/>
                <w:color w:val="auto"/>
              </w:rPr>
              <w:t>Restaurant</w:t>
            </w:r>
          </w:p>
        </w:tc>
        <w:tc>
          <w:tcPr>
            <w:tcW w:w="200" w:type="dxa"/>
            <w:vAlign w:val="bottom"/>
          </w:tcPr>
          <w:p>
            <w:pPr>
              <w:spacing w:after="0"/>
              <w:rPr>
                <w:sz w:val="17"/>
                <w:szCs w:val="17"/>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3.1%</w:t>
            </w:r>
          </w:p>
        </w:tc>
        <w:tc>
          <w:tcPr>
            <w:tcW w:w="18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3.1%</w:t>
            </w:r>
          </w:p>
        </w:tc>
        <w:tc>
          <w:tcPr>
            <w:tcW w:w="240" w:type="dxa"/>
            <w:vAlign w:val="bottom"/>
          </w:tcPr>
          <w:p>
            <w:pPr>
              <w:spacing w:after="0"/>
              <w:rPr>
                <w:sz w:val="17"/>
                <w:szCs w:val="17"/>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3.2%</w:t>
            </w:r>
          </w:p>
        </w:tc>
        <w:tc>
          <w:tcPr>
            <w:tcW w:w="200" w:type="dxa"/>
            <w:vAlign w:val="bottom"/>
          </w:tcPr>
          <w:p>
            <w:pPr>
              <w:spacing w:after="0"/>
              <w:rPr>
                <w:sz w:val="17"/>
                <w:szCs w:val="17"/>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1.7%</w:t>
            </w:r>
          </w:p>
        </w:tc>
      </w:tr>
      <w:tr>
        <w:trPr>
          <w:trHeight w:val="206"/>
        </w:trPr>
        <w:tc>
          <w:tcPr>
            <w:tcW w:w="20" w:type="dxa"/>
            <w:vAlign w:val="bottom"/>
          </w:tcPr>
          <w:p>
            <w:pPr>
              <w:spacing w:after="0"/>
              <w:rPr>
                <w:sz w:val="17"/>
                <w:szCs w:val="17"/>
                <w:color w:val="auto"/>
              </w:rPr>
            </w:pPr>
          </w:p>
        </w:tc>
        <w:tc>
          <w:tcPr>
            <w:tcW w:w="5980" w:type="dxa"/>
            <w:vAlign w:val="bottom"/>
            <w:shd w:val="clear" w:color="auto" w:fill="CCEEFF"/>
          </w:tcPr>
          <w:p>
            <w:pPr>
              <w:ind w:left="300"/>
              <w:spacing w:after="0"/>
              <w:rPr>
                <w:sz w:val="20"/>
                <w:szCs w:val="20"/>
                <w:color w:val="auto"/>
              </w:rPr>
            </w:pPr>
            <w:r>
              <w:rPr>
                <w:rFonts w:ascii="Arial" w:cs="Arial" w:eastAsia="Arial" w:hAnsi="Arial"/>
                <w:sz w:val="17"/>
                <w:szCs w:val="17"/>
                <w:color w:val="auto"/>
              </w:rPr>
              <w:t>Retail</w:t>
            </w:r>
          </w:p>
        </w:tc>
        <w:tc>
          <w:tcPr>
            <w:tcW w:w="200" w:type="dxa"/>
            <w:vAlign w:val="bottom"/>
            <w:shd w:val="clear" w:color="auto" w:fill="CCEEFF"/>
          </w:tcPr>
          <w:p>
            <w:pPr>
              <w:spacing w:after="0"/>
              <w:rPr>
                <w:sz w:val="17"/>
                <w:szCs w:val="17"/>
                <w:color w:val="auto"/>
              </w:rPr>
            </w:pPr>
          </w:p>
        </w:tc>
        <w:tc>
          <w:tcPr>
            <w:tcW w:w="118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5.5%</w:t>
            </w:r>
          </w:p>
        </w:tc>
        <w:tc>
          <w:tcPr>
            <w:tcW w:w="18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0.3%</w:t>
            </w:r>
          </w:p>
        </w:tc>
        <w:tc>
          <w:tcPr>
            <w:tcW w:w="240" w:type="dxa"/>
            <w:vAlign w:val="bottom"/>
            <w:shd w:val="clear" w:color="auto" w:fill="CCEEFF"/>
          </w:tcPr>
          <w:p>
            <w:pPr>
              <w:spacing w:after="0"/>
              <w:rPr>
                <w:sz w:val="17"/>
                <w:szCs w:val="17"/>
                <w:color w:val="auto"/>
              </w:rPr>
            </w:pPr>
          </w:p>
        </w:tc>
        <w:tc>
          <w:tcPr>
            <w:tcW w:w="1140" w:type="dxa"/>
            <w:vAlign w:val="bottom"/>
            <w:tcBorders>
              <w:right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3.4%</w:t>
            </w:r>
          </w:p>
        </w:tc>
        <w:tc>
          <w:tcPr>
            <w:tcW w:w="200" w:type="dxa"/>
            <w:vAlign w:val="bottom"/>
            <w:shd w:val="clear" w:color="auto" w:fill="CCEEFF"/>
          </w:tcPr>
          <w:p>
            <w:pPr>
              <w:spacing w:after="0"/>
              <w:rPr>
                <w:sz w:val="17"/>
                <w:szCs w:val="17"/>
                <w:color w:val="auto"/>
              </w:rPr>
            </w:pP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1.1%</w:t>
            </w:r>
          </w:p>
        </w:tc>
      </w:tr>
      <w:tr>
        <w:trPr>
          <w:trHeight w:val="217"/>
        </w:trPr>
        <w:tc>
          <w:tcPr>
            <w:tcW w:w="20" w:type="dxa"/>
            <w:vAlign w:val="bottom"/>
          </w:tcPr>
          <w:p>
            <w:pPr>
              <w:spacing w:after="0"/>
              <w:rPr>
                <w:sz w:val="18"/>
                <w:szCs w:val="18"/>
                <w:color w:val="auto"/>
              </w:rPr>
            </w:pPr>
          </w:p>
        </w:tc>
        <w:tc>
          <w:tcPr>
            <w:tcW w:w="5980" w:type="dxa"/>
            <w:vAlign w:val="bottom"/>
          </w:tcPr>
          <w:p>
            <w:pPr>
              <w:ind w:left="440"/>
              <w:spacing w:after="0"/>
              <w:rPr>
                <w:sz w:val="20"/>
                <w:szCs w:val="20"/>
                <w:color w:val="auto"/>
              </w:rPr>
            </w:pPr>
            <w:r>
              <w:rPr>
                <w:rFonts w:ascii="Arial" w:cs="Arial" w:eastAsia="Arial" w:hAnsi="Arial"/>
                <w:sz w:val="17"/>
                <w:szCs w:val="17"/>
                <w:color w:val="auto"/>
              </w:rPr>
              <w:t>Restaurant and retail</w:t>
            </w:r>
          </w:p>
        </w:tc>
        <w:tc>
          <w:tcPr>
            <w:tcW w:w="20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7"/>
                <w:szCs w:val="17"/>
                <w:color w:val="auto"/>
              </w:rPr>
              <w:t>3.5%</w:t>
            </w:r>
          </w:p>
        </w:tc>
        <w:tc>
          <w:tcPr>
            <w:tcW w:w="1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7"/>
                <w:szCs w:val="17"/>
                <w:color w:val="auto"/>
              </w:rPr>
              <w:t>2.6%</w:t>
            </w:r>
          </w:p>
        </w:tc>
        <w:tc>
          <w:tcPr>
            <w:tcW w:w="24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7"/>
                <w:szCs w:val="17"/>
                <w:color w:val="auto"/>
              </w:rPr>
              <w:t>3.3%</w:t>
            </w:r>
          </w:p>
        </w:tc>
        <w:tc>
          <w:tcPr>
            <w:tcW w:w="200" w:type="dxa"/>
            <w:vAlign w:val="bottom"/>
          </w:tcPr>
          <w:p>
            <w:pPr>
              <w:spacing w:after="0"/>
              <w:rPr>
                <w:sz w:val="18"/>
                <w:szCs w:val="18"/>
                <w:color w:val="auto"/>
              </w:rPr>
            </w:pPr>
          </w:p>
        </w:tc>
        <w:tc>
          <w:tcPr>
            <w:tcW w:w="1080" w:type="dxa"/>
            <w:vAlign w:val="bottom"/>
            <w:gridSpan w:val="2"/>
          </w:tcPr>
          <w:p>
            <w:pPr>
              <w:jc w:val="right"/>
              <w:spacing w:after="0"/>
              <w:rPr>
                <w:sz w:val="20"/>
                <w:szCs w:val="20"/>
                <w:color w:val="auto"/>
              </w:rPr>
            </w:pPr>
            <w:r>
              <w:rPr>
                <w:rFonts w:ascii="Arial" w:cs="Arial" w:eastAsia="Arial" w:hAnsi="Arial"/>
                <w:sz w:val="17"/>
                <w:szCs w:val="17"/>
                <w:color w:val="auto"/>
              </w:rPr>
              <w:t>1.5%</w:t>
            </w:r>
          </w:p>
        </w:tc>
      </w:tr>
    </w:tbl>
    <w:p>
      <w:pPr>
        <w:spacing w:after="0" w:line="207" w:lineRule="exact"/>
        <w:rPr>
          <w:sz w:val="20"/>
          <w:szCs w:val="20"/>
          <w:color w:val="auto"/>
        </w:rPr>
      </w:pPr>
    </w:p>
    <w:p>
      <w:pPr>
        <w:ind w:left="40"/>
        <w:spacing w:after="0"/>
        <w:rPr>
          <w:sz w:val="20"/>
          <w:szCs w:val="20"/>
          <w:color w:val="auto"/>
        </w:rPr>
      </w:pPr>
      <w:r>
        <w:rPr>
          <w:rFonts w:ascii="Arial" w:cs="Arial" w:eastAsia="Arial" w:hAnsi="Arial"/>
          <w:sz w:val="24"/>
          <w:szCs w:val="24"/>
          <w:color w:val="auto"/>
          <w:vertAlign w:val="superscript"/>
        </w:rPr>
        <w:t>(1)</w:t>
      </w:r>
      <w:r>
        <w:rPr>
          <w:rFonts w:ascii="Arial" w:cs="Arial" w:eastAsia="Arial" w:hAnsi="Arial"/>
          <w:sz w:val="17"/>
          <w:szCs w:val="17"/>
          <w:color w:val="auto"/>
        </w:rPr>
        <w:t>Average unit volumes include sales of all stores.</w:t>
      </w:r>
    </w:p>
    <w:p>
      <w:pPr>
        <w:spacing w:after="0" w:line="164"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For the third quarter of 2013, our comparable store restaurant sales increase consisted of a 2.4% average check increase for the quarter (including a 2.3% average menu price increase) and a 0.7% guest traffic increase. For the first nine months of 2013, our comparable store restaurant sales increase consisted of a 2.7% average check increase for the nine months (including a 2.3% average menu price increase) and a 0.5% guest traffic increase.</w:t>
      </w:r>
    </w:p>
    <w:p>
      <w:pPr>
        <w:spacing w:after="0" w:line="18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For the third quarter and first nine months of 2013, our comparable store retail sales increases resulted primarily from strong performance in certain retail merchandise categories and the increases in guest traffic.</w:t>
      </w:r>
    </w:p>
    <w:p>
      <w:pPr>
        <w:spacing w:after="0" w:line="18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Restaurant and retail sales from newly opened stores accounted for the balance of the total revenue increases in the third quarter and first nine months of 2013 as compared to the same periods in the prior year.</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7" w:name="page18"/>
    <w:bookmarkEnd w:id="1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Cost of Goods Sold</w:t>
      </w:r>
    </w:p>
    <w:p>
      <w:pPr>
        <w:spacing w:after="0" w:line="249" w:lineRule="exact"/>
        <w:rPr>
          <w:sz w:val="20"/>
          <w:szCs w:val="20"/>
          <w:color w:val="auto"/>
        </w:rPr>
      </w:pPr>
    </w:p>
    <w:p>
      <w:pPr>
        <w:jc w:val="both"/>
        <w:ind w:firstLine="774"/>
        <w:spacing w:after="0" w:line="280" w:lineRule="auto"/>
        <w:rPr>
          <w:sz w:val="20"/>
          <w:szCs w:val="20"/>
          <w:color w:val="auto"/>
        </w:rPr>
      </w:pPr>
      <w:r>
        <w:rPr>
          <w:rFonts w:ascii="Arial" w:cs="Arial" w:eastAsia="Arial" w:hAnsi="Arial"/>
          <w:sz w:val="17"/>
          <w:szCs w:val="17"/>
          <w:color w:val="auto"/>
        </w:rPr>
        <w:t>The following table highlights the components of cost of goods sold in dollar amounts and percentages for the third quarter and first nine months of 2013 as compared to the same periods in the prior year:</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0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0" w:type="dxa"/>
            <w:vAlign w:val="bottom"/>
            <w:gridSpan w:val="6"/>
          </w:tcPr>
          <w:p>
            <w:pPr>
              <w:jc w:val="right"/>
              <w:ind w:right="1020"/>
              <w:spacing w:after="0"/>
              <w:rPr>
                <w:sz w:val="20"/>
                <w:szCs w:val="20"/>
                <w:color w:val="auto"/>
              </w:rPr>
            </w:pPr>
            <w:r>
              <w:rPr>
                <w:rFonts w:ascii="Arial" w:cs="Arial" w:eastAsia="Arial" w:hAnsi="Arial"/>
                <w:sz w:val="17"/>
                <w:szCs w:val="17"/>
                <w:color w:val="auto"/>
              </w:rPr>
              <w:t>Quarter Ended</w:t>
            </w:r>
          </w:p>
        </w:tc>
        <w:tc>
          <w:tcPr>
            <w:tcW w:w="200" w:type="dxa"/>
            <w:vAlign w:val="bottom"/>
          </w:tcPr>
          <w:p>
            <w:pPr>
              <w:spacing w:after="0"/>
              <w:rPr>
                <w:sz w:val="19"/>
                <w:szCs w:val="19"/>
                <w:color w:val="auto"/>
              </w:rPr>
            </w:pPr>
          </w:p>
        </w:tc>
        <w:tc>
          <w:tcPr>
            <w:tcW w:w="2460" w:type="dxa"/>
            <w:vAlign w:val="bottom"/>
            <w:gridSpan w:val="6"/>
          </w:tcPr>
          <w:p>
            <w:pPr>
              <w:ind w:left="360"/>
              <w:spacing w:after="0"/>
              <w:rPr>
                <w:sz w:val="20"/>
                <w:szCs w:val="20"/>
                <w:color w:val="auto"/>
              </w:rPr>
            </w:pPr>
            <w:r>
              <w:rPr>
                <w:rFonts w:ascii="Arial" w:cs="Arial" w:eastAsia="Arial" w:hAnsi="Arial"/>
                <w:sz w:val="17"/>
                <w:szCs w:val="17"/>
                <w:color w:val="auto"/>
              </w:rPr>
              <w:t>Nine Months Ended</w:t>
            </w:r>
          </w:p>
        </w:tc>
      </w:tr>
      <w:tr>
        <w:trPr>
          <w:trHeight w:val="194"/>
        </w:trPr>
        <w:tc>
          <w:tcPr>
            <w:tcW w:w="600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gridSpan w:val="2"/>
          </w:tcPr>
          <w:p>
            <w:pPr>
              <w:jc w:val="right"/>
              <w:ind w:right="520"/>
              <w:spacing w:after="0" w:line="194" w:lineRule="exact"/>
              <w:rPr>
                <w:sz w:val="20"/>
                <w:szCs w:val="20"/>
                <w:color w:val="auto"/>
              </w:rPr>
            </w:pPr>
            <w:r>
              <w:rPr>
                <w:rFonts w:ascii="Arial" w:cs="Arial" w:eastAsia="Arial" w:hAnsi="Arial"/>
                <w:sz w:val="17"/>
                <w:szCs w:val="17"/>
                <w:color w:val="auto"/>
              </w:rPr>
              <w:t>May 3,</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right"/>
              <w:ind w:right="154"/>
              <w:spacing w:after="0" w:line="194" w:lineRule="exact"/>
              <w:rPr>
                <w:sz w:val="20"/>
                <w:szCs w:val="20"/>
                <w:color w:val="auto"/>
              </w:rPr>
            </w:pPr>
            <w:r>
              <w:rPr>
                <w:rFonts w:ascii="Arial" w:cs="Arial" w:eastAsia="Arial" w:hAnsi="Arial"/>
                <w:sz w:val="17"/>
                <w:szCs w:val="17"/>
                <w:color w:val="auto"/>
              </w:rPr>
              <w:t>April 27,</w:t>
            </w:r>
          </w:p>
        </w:tc>
        <w:tc>
          <w:tcPr>
            <w:tcW w:w="260" w:type="dxa"/>
            <w:vAlign w:val="bottom"/>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1060" w:type="dxa"/>
            <w:vAlign w:val="bottom"/>
            <w:tcBorders>
              <w:top w:val="single" w:sz="8" w:color="auto"/>
            </w:tcBorders>
            <w:gridSpan w:val="2"/>
          </w:tcPr>
          <w:p>
            <w:pPr>
              <w:ind w:left="120"/>
              <w:spacing w:after="0" w:line="194" w:lineRule="exact"/>
              <w:rPr>
                <w:sz w:val="20"/>
                <w:szCs w:val="20"/>
                <w:color w:val="auto"/>
              </w:rPr>
            </w:pPr>
            <w:r>
              <w:rPr>
                <w:rFonts w:ascii="Arial" w:cs="Arial" w:eastAsia="Arial" w:hAnsi="Arial"/>
                <w:sz w:val="17"/>
                <w:szCs w:val="17"/>
                <w:color w:val="auto"/>
              </w:rPr>
              <w:t>May 3,</w:t>
            </w:r>
          </w:p>
        </w:tc>
        <w:tc>
          <w:tcPr>
            <w:tcW w:w="12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940" w:type="dxa"/>
            <w:vAlign w:val="bottom"/>
            <w:tcBorders>
              <w:top w:val="single" w:sz="8" w:color="auto"/>
            </w:tcBorders>
          </w:tcPr>
          <w:p>
            <w:pPr>
              <w:jc w:val="center"/>
              <w:ind w:right="74"/>
              <w:spacing w:after="0" w:line="194" w:lineRule="exact"/>
              <w:rPr>
                <w:sz w:val="20"/>
                <w:szCs w:val="20"/>
                <w:color w:val="auto"/>
              </w:rPr>
            </w:pPr>
            <w:r>
              <w:rPr>
                <w:rFonts w:ascii="Arial" w:cs="Arial" w:eastAsia="Arial" w:hAnsi="Arial"/>
                <w:sz w:val="17"/>
                <w:szCs w:val="17"/>
                <w:color w:val="auto"/>
                <w:w w:val="99"/>
              </w:rPr>
              <w:t>April 27,</w:t>
            </w:r>
          </w:p>
        </w:tc>
        <w:tc>
          <w:tcPr>
            <w:tcW w:w="160" w:type="dxa"/>
            <w:vAlign w:val="bottom"/>
          </w:tcPr>
          <w:p>
            <w:pPr>
              <w:spacing w:after="0"/>
              <w:rPr>
                <w:sz w:val="16"/>
                <w:szCs w:val="16"/>
                <w:color w:val="auto"/>
              </w:rPr>
            </w:pPr>
          </w:p>
        </w:tc>
      </w:tr>
      <w:tr>
        <w:trPr>
          <w:trHeight w:val="225"/>
        </w:trPr>
        <w:tc>
          <w:tcPr>
            <w:tcW w:w="60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14"/>
              <w:spacing w:after="0"/>
              <w:rPr>
                <w:sz w:val="20"/>
                <w:szCs w:val="20"/>
                <w:color w:val="auto"/>
              </w:rPr>
            </w:pPr>
            <w:r>
              <w:rPr>
                <w:rFonts w:ascii="Arial" w:cs="Arial" w:eastAsia="Arial" w:hAnsi="Arial"/>
                <w:sz w:val="17"/>
                <w:szCs w:val="17"/>
                <w:color w:val="auto"/>
              </w:rPr>
              <w:t>2012</w:t>
            </w:r>
          </w:p>
        </w:tc>
        <w:tc>
          <w:tcPr>
            <w:tcW w:w="2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200"/>
              <w:spacing w:after="0"/>
              <w:rPr>
                <w:sz w:val="20"/>
                <w:szCs w:val="20"/>
                <w:color w:val="auto"/>
              </w:rPr>
            </w:pPr>
            <w:r>
              <w:rPr>
                <w:rFonts w:ascii="Arial" w:cs="Arial" w:eastAsia="Arial" w:hAnsi="Arial"/>
                <w:sz w:val="17"/>
                <w:szCs w:val="17"/>
                <w:color w:val="auto"/>
              </w:rPr>
              <w:t>2013</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94"/>
              <w:spacing w:after="0"/>
              <w:rPr>
                <w:sz w:val="20"/>
                <w:szCs w:val="20"/>
                <w:color w:val="auto"/>
              </w:rPr>
            </w:pPr>
            <w:r>
              <w:rPr>
                <w:rFonts w:ascii="Arial" w:cs="Arial" w:eastAsia="Arial" w:hAnsi="Arial"/>
                <w:sz w:val="17"/>
                <w:szCs w:val="17"/>
                <w:color w:val="auto"/>
              </w:rPr>
              <w:t>2012</w:t>
            </w:r>
          </w:p>
        </w:tc>
        <w:tc>
          <w:tcPr>
            <w:tcW w:w="160" w:type="dxa"/>
            <w:vAlign w:val="bottom"/>
          </w:tcPr>
          <w:p>
            <w:pPr>
              <w:spacing w:after="0"/>
              <w:rPr>
                <w:sz w:val="19"/>
                <w:szCs w:val="19"/>
                <w:color w:val="auto"/>
              </w:rPr>
            </w:pPr>
          </w:p>
        </w:tc>
      </w:tr>
      <w:tr>
        <w:trPr>
          <w:trHeight w:val="206"/>
        </w:trPr>
        <w:tc>
          <w:tcPr>
            <w:tcW w:w="6000" w:type="dxa"/>
            <w:vAlign w:val="bottom"/>
          </w:tcPr>
          <w:p>
            <w:pPr>
              <w:spacing w:after="0"/>
              <w:rPr>
                <w:sz w:val="20"/>
                <w:szCs w:val="20"/>
                <w:color w:val="auto"/>
              </w:rPr>
            </w:pPr>
            <w:r>
              <w:rPr>
                <w:rFonts w:ascii="Arial" w:cs="Arial" w:eastAsia="Arial" w:hAnsi="Arial"/>
                <w:sz w:val="17"/>
                <w:szCs w:val="17"/>
                <w:color w:val="auto"/>
              </w:rPr>
              <w:t>Cost of Goods Sold in dollars:</w:t>
            </w: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07"/>
        </w:trPr>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Restaurant</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141,617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135,301</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423,138</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401,453</w:t>
            </w:r>
          </w:p>
        </w:tc>
      </w:tr>
      <w:tr>
        <w:trPr>
          <w:trHeight w:val="206"/>
        </w:trPr>
        <w:tc>
          <w:tcPr>
            <w:tcW w:w="6000" w:type="dxa"/>
            <w:vAlign w:val="bottom"/>
          </w:tcPr>
          <w:p>
            <w:pPr>
              <w:ind w:left="160"/>
              <w:spacing w:after="0"/>
              <w:rPr>
                <w:sz w:val="20"/>
                <w:szCs w:val="20"/>
                <w:color w:val="auto"/>
              </w:rPr>
            </w:pPr>
            <w:r>
              <w:rPr>
                <w:rFonts w:ascii="Arial" w:cs="Arial" w:eastAsia="Arial" w:hAnsi="Arial"/>
                <w:sz w:val="17"/>
                <w:szCs w:val="17"/>
                <w:color w:val="auto"/>
              </w:rPr>
              <w:t>Retail</w:t>
            </w:r>
          </w:p>
        </w:tc>
        <w:tc>
          <w:tcPr>
            <w:tcW w:w="16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60,365</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gridSpan w:val="2"/>
          </w:tcPr>
          <w:p>
            <w:pPr>
              <w:jc w:val="right"/>
              <w:ind w:right="260"/>
              <w:spacing w:after="0"/>
              <w:rPr>
                <w:sz w:val="20"/>
                <w:szCs w:val="20"/>
                <w:color w:val="auto"/>
              </w:rPr>
            </w:pPr>
            <w:r>
              <w:rPr>
                <w:rFonts w:ascii="Arial" w:cs="Arial" w:eastAsia="Arial" w:hAnsi="Arial"/>
                <w:sz w:val="17"/>
                <w:szCs w:val="17"/>
                <w:color w:val="auto"/>
              </w:rPr>
              <w:t>54,314</w:t>
            </w:r>
          </w:p>
        </w:tc>
        <w:tc>
          <w:tcPr>
            <w:tcW w:w="200" w:type="dxa"/>
            <w:vAlign w:val="bottom"/>
          </w:tcPr>
          <w:p>
            <w:pPr>
              <w:spacing w:after="0"/>
              <w:rPr>
                <w:sz w:val="17"/>
                <w:szCs w:val="17"/>
                <w:color w:val="auto"/>
              </w:rPr>
            </w:pPr>
          </w:p>
        </w:tc>
        <w:tc>
          <w:tcPr>
            <w:tcW w:w="1060" w:type="dxa"/>
            <w:vAlign w:val="bottom"/>
            <w:gridSpan w:val="2"/>
          </w:tcPr>
          <w:p>
            <w:pPr>
              <w:ind w:left="380"/>
              <w:spacing w:after="0"/>
              <w:rPr>
                <w:sz w:val="20"/>
                <w:szCs w:val="20"/>
                <w:color w:val="auto"/>
              </w:rPr>
            </w:pPr>
            <w:r>
              <w:rPr>
                <w:rFonts w:ascii="Arial" w:cs="Arial" w:eastAsia="Arial" w:hAnsi="Arial"/>
                <w:sz w:val="17"/>
                <w:szCs w:val="17"/>
                <w:color w:val="auto"/>
              </w:rPr>
              <w:t>220,889</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7"/>
                <w:szCs w:val="17"/>
                <w:color w:val="auto"/>
              </w:rPr>
              <w:t>209,860</w:t>
            </w:r>
          </w:p>
        </w:tc>
      </w:tr>
      <w:tr>
        <w:trPr>
          <w:trHeight w:val="26"/>
        </w:trPr>
        <w:tc>
          <w:tcPr>
            <w:tcW w:w="60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r>
        <w:trPr>
          <w:trHeight w:val="226"/>
        </w:trPr>
        <w:tc>
          <w:tcPr>
            <w:tcW w:w="6000" w:type="dxa"/>
            <w:vAlign w:val="bottom"/>
            <w:shd w:val="clear" w:color="auto" w:fill="CCEEFF"/>
          </w:tcPr>
          <w:p>
            <w:pPr>
              <w:ind w:left="320"/>
              <w:spacing w:after="0"/>
              <w:rPr>
                <w:sz w:val="20"/>
                <w:szCs w:val="20"/>
                <w:color w:val="auto"/>
              </w:rPr>
            </w:pPr>
            <w:r>
              <w:rPr>
                <w:rFonts w:ascii="Arial" w:cs="Arial" w:eastAsia="Arial" w:hAnsi="Arial"/>
                <w:sz w:val="17"/>
                <w:szCs w:val="17"/>
                <w:color w:val="auto"/>
              </w:rPr>
              <w:t>Total Cost of Goods Sold</w:t>
            </w:r>
          </w:p>
        </w:tc>
        <w:tc>
          <w:tcPr>
            <w:tcW w:w="160" w:type="dxa"/>
            <w:vAlign w:val="bottom"/>
            <w:shd w:val="clear" w:color="auto" w:fill="CCEEFF"/>
          </w:tcPr>
          <w:p>
            <w:pPr>
              <w:jc w:val="right"/>
              <w:spacing w:after="0"/>
              <w:rPr>
                <w:sz w:val="20"/>
                <w:szCs w:val="20"/>
                <w:color w:val="auto"/>
              </w:rPr>
            </w:pPr>
            <w:r>
              <w:rPr>
                <w:rFonts w:ascii="Arial" w:cs="Arial" w:eastAsia="Arial" w:hAnsi="Arial"/>
                <w:sz w:val="17"/>
                <w:szCs w:val="17"/>
                <w:color w:val="auto"/>
                <w:w w:val="84"/>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201,982</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7"/>
                <w:szCs w:val="17"/>
                <w:color w:val="auto"/>
              </w:rPr>
              <w:t>189,615</w:t>
            </w:r>
          </w:p>
        </w:tc>
        <w:tc>
          <w:tcPr>
            <w:tcW w:w="200" w:type="dxa"/>
            <w:vAlign w:val="bottom"/>
            <w:shd w:val="clear" w:color="auto" w:fill="CCEEFF"/>
          </w:tcPr>
          <w:p>
            <w:pPr>
              <w:jc w:val="right"/>
              <w:ind w:right="14"/>
              <w:spacing w:after="0"/>
              <w:rPr>
                <w:sz w:val="20"/>
                <w:szCs w:val="20"/>
                <w:color w:val="auto"/>
              </w:rPr>
            </w:pPr>
            <w:r>
              <w:rPr>
                <w:rFonts w:ascii="Arial" w:cs="Arial" w:eastAsia="Arial" w:hAnsi="Arial"/>
                <w:sz w:val="17"/>
                <w:szCs w:val="17"/>
                <w:color w:val="auto"/>
                <w:w w:val="84"/>
              </w:rPr>
              <w:t>$</w:t>
            </w:r>
          </w:p>
        </w:tc>
        <w:tc>
          <w:tcPr>
            <w:tcW w:w="1060" w:type="dxa"/>
            <w:vAlign w:val="bottom"/>
            <w:gridSpan w:val="2"/>
            <w:shd w:val="clear" w:color="auto" w:fill="CCEEFF"/>
          </w:tcPr>
          <w:p>
            <w:pPr>
              <w:ind w:left="380"/>
              <w:spacing w:after="0"/>
              <w:rPr>
                <w:sz w:val="20"/>
                <w:szCs w:val="20"/>
                <w:color w:val="auto"/>
              </w:rPr>
            </w:pPr>
            <w:r>
              <w:rPr>
                <w:rFonts w:ascii="Arial" w:cs="Arial" w:eastAsia="Arial" w:hAnsi="Arial"/>
                <w:sz w:val="17"/>
                <w:szCs w:val="17"/>
                <w:color w:val="auto"/>
              </w:rPr>
              <w:t>644,027</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7"/>
                <w:szCs w:val="17"/>
                <w:color w:val="auto"/>
              </w:rPr>
              <w:t>611,313</w:t>
            </w:r>
          </w:p>
        </w:tc>
      </w:tr>
      <w:tr>
        <w:trPr>
          <w:trHeight w:val="20"/>
        </w:trPr>
        <w:tc>
          <w:tcPr>
            <w:tcW w:w="60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000" w:type="dxa"/>
            <w:vAlign w:val="bottom"/>
          </w:tcPr>
          <w:p>
            <w:pPr>
              <w:spacing w:after="0"/>
              <w:rPr>
                <w:sz w:val="20"/>
                <w:szCs w:val="20"/>
                <w:color w:val="auto"/>
              </w:rPr>
            </w:pPr>
            <w:r>
              <w:rPr>
                <w:rFonts w:ascii="Arial" w:cs="Arial" w:eastAsia="Arial" w:hAnsi="Arial"/>
                <w:sz w:val="17"/>
                <w:szCs w:val="17"/>
                <w:color w:val="auto"/>
              </w:rPr>
              <w:t>Cost of Goods Sold by percentage of revenue:</w:t>
            </w: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60" w:type="dxa"/>
            <w:vAlign w:val="bottom"/>
          </w:tcPr>
          <w:p>
            <w:pPr>
              <w:spacing w:after="0"/>
              <w:rPr>
                <w:sz w:val="17"/>
                <w:szCs w:val="17"/>
                <w:color w:val="auto"/>
              </w:rPr>
            </w:pPr>
          </w:p>
        </w:tc>
      </w:tr>
      <w:tr>
        <w:trPr>
          <w:trHeight w:val="226"/>
        </w:trPr>
        <w:tc>
          <w:tcPr>
            <w:tcW w:w="6000" w:type="dxa"/>
            <w:vAlign w:val="bottom"/>
            <w:shd w:val="clear" w:color="auto" w:fill="CCEEFF"/>
          </w:tcPr>
          <w:p>
            <w:pPr>
              <w:ind w:left="160"/>
              <w:spacing w:after="0"/>
              <w:rPr>
                <w:sz w:val="20"/>
                <w:szCs w:val="20"/>
                <w:color w:val="auto"/>
              </w:rPr>
            </w:pPr>
            <w:r>
              <w:rPr>
                <w:rFonts w:ascii="Arial" w:cs="Arial" w:eastAsia="Arial" w:hAnsi="Arial"/>
                <w:sz w:val="17"/>
                <w:szCs w:val="17"/>
                <w:color w:val="auto"/>
              </w:rPr>
              <w:t>Restaurant</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27.1%</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27.1%</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7"/>
                <w:szCs w:val="17"/>
                <w:color w:val="auto"/>
              </w:rPr>
              <w:t>27.2%</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27.0%</w:t>
            </w:r>
          </w:p>
        </w:tc>
      </w:tr>
      <w:tr>
        <w:trPr>
          <w:trHeight w:val="20"/>
        </w:trPr>
        <w:tc>
          <w:tcPr>
            <w:tcW w:w="600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r>
        <w:trPr>
          <w:trHeight w:val="198"/>
        </w:trPr>
        <w:tc>
          <w:tcPr>
            <w:tcW w:w="6000" w:type="dxa"/>
            <w:vAlign w:val="bottom"/>
          </w:tcPr>
          <w:p>
            <w:pPr>
              <w:ind w:left="160"/>
              <w:spacing w:after="0"/>
              <w:rPr>
                <w:sz w:val="20"/>
                <w:szCs w:val="20"/>
                <w:color w:val="auto"/>
              </w:rPr>
            </w:pPr>
            <w:r>
              <w:rPr>
                <w:rFonts w:ascii="Arial" w:cs="Arial" w:eastAsia="Arial" w:hAnsi="Arial"/>
                <w:sz w:val="17"/>
                <w:szCs w:val="17"/>
                <w:color w:val="auto"/>
              </w:rPr>
              <w:t>Retail</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51.3%</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50.1%</w:t>
            </w:r>
          </w:p>
        </w:tc>
        <w:tc>
          <w:tcPr>
            <w:tcW w:w="1380" w:type="dxa"/>
            <w:vAlign w:val="bottom"/>
            <w:gridSpan w:val="2"/>
          </w:tcPr>
          <w:p>
            <w:pPr>
              <w:jc w:val="right"/>
              <w:ind w:right="100"/>
              <w:spacing w:after="0"/>
              <w:rPr>
                <w:sz w:val="20"/>
                <w:szCs w:val="20"/>
                <w:color w:val="auto"/>
              </w:rPr>
            </w:pPr>
            <w:r>
              <w:rPr>
                <w:rFonts w:ascii="Arial" w:cs="Arial" w:eastAsia="Arial" w:hAnsi="Arial"/>
                <w:sz w:val="17"/>
                <w:szCs w:val="17"/>
                <w:color w:val="auto"/>
              </w:rPr>
              <w:t>53.2%</w:t>
            </w: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53.1%</w:t>
            </w:r>
          </w:p>
        </w:tc>
      </w:tr>
      <w:tr>
        <w:trPr>
          <w:trHeight w:val="20"/>
        </w:trPr>
        <w:tc>
          <w:tcPr>
            <w:tcW w:w="600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firstLine="310"/>
        <w:spacing w:after="0" w:line="283" w:lineRule="auto"/>
        <w:rPr>
          <w:sz w:val="20"/>
          <w:szCs w:val="20"/>
          <w:color w:val="auto"/>
        </w:rPr>
      </w:pPr>
      <w:r>
        <w:rPr>
          <w:rFonts w:ascii="Arial" w:cs="Arial" w:eastAsia="Arial" w:hAnsi="Arial"/>
          <w:sz w:val="16"/>
          <w:szCs w:val="16"/>
          <w:color w:val="auto"/>
        </w:rPr>
        <w:t>Restaurant cost of goods sold as a percentage of restaurant revenue remained flat at 27.1% in the third quarter of 2013 as compared to the prior year quarter. The increase in restaurant cost of goods sold as a percentage of restaurant revenue in the first nine months of 2013 as compared to the same period in the prior year was primarily the result of food commodity inflation partially offset by our menu price increase referenced above. Commodity inflation was 2.9% in the first nine months of 2013. We presently expect the rate of commodity inflation to be approximately 3.5% to 4% for the current year.</w:t>
      </w:r>
    </w:p>
    <w:p>
      <w:pPr>
        <w:spacing w:after="0" w:line="190"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increase in retail cost of goods sold as a percentage of retail revenue in the third quarter of 2013 as compared to the prior year quarter resulted from higher markdowns and higher inbound freight expenses.</w:t>
      </w:r>
    </w:p>
    <w:p>
      <w:pPr>
        <w:spacing w:after="0" w:line="189"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6480" w:type="dxa"/>
            <w:vAlign w:val="bottom"/>
          </w:tcPr>
          <w:p>
            <w:pPr>
              <w:spacing w:after="0"/>
              <w:rPr>
                <w:sz w:val="17"/>
                <w:szCs w:val="17"/>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7"/>
                <w:szCs w:val="17"/>
                <w:color w:val="auto"/>
                <w:w w:val="92"/>
              </w:rPr>
              <w:t>Third Quarter</w:t>
            </w:r>
          </w:p>
        </w:tc>
      </w:tr>
      <w:tr>
        <w:trPr>
          <w:trHeight w:val="206"/>
        </w:trPr>
        <w:tc>
          <w:tcPr>
            <w:tcW w:w="6480" w:type="dxa"/>
            <w:vAlign w:val="bottom"/>
          </w:tcPr>
          <w:p>
            <w:pPr>
              <w:spacing w:after="0"/>
              <w:rPr>
                <w:sz w:val="17"/>
                <w:szCs w:val="17"/>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7"/>
                <w:szCs w:val="17"/>
                <w:color w:val="auto"/>
                <w:w w:val="87"/>
              </w:rPr>
              <w:t>Increase as a Percentage of</w:t>
            </w:r>
          </w:p>
        </w:tc>
      </w:tr>
      <w:tr>
        <w:trPr>
          <w:trHeight w:val="225"/>
        </w:trPr>
        <w:tc>
          <w:tcPr>
            <w:tcW w:w="648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Retail Revenue</w:t>
            </w:r>
          </w:p>
        </w:tc>
        <w:tc>
          <w:tcPr>
            <w:tcW w:w="180" w:type="dxa"/>
            <w:vAlign w:val="bottom"/>
          </w:tcPr>
          <w:p>
            <w:pPr>
              <w:spacing w:after="0"/>
              <w:rPr>
                <w:sz w:val="19"/>
                <w:szCs w:val="19"/>
                <w:color w:val="auto"/>
              </w:rPr>
            </w:pPr>
          </w:p>
        </w:tc>
      </w:tr>
      <w:tr>
        <w:trPr>
          <w:trHeight w:val="206"/>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Markdowns</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0.9%</w:t>
            </w:r>
          </w:p>
        </w:tc>
      </w:tr>
      <w:tr>
        <w:trPr>
          <w:trHeight w:val="217"/>
        </w:trPr>
        <w:tc>
          <w:tcPr>
            <w:tcW w:w="6480" w:type="dxa"/>
            <w:vAlign w:val="bottom"/>
          </w:tcPr>
          <w:p>
            <w:pPr>
              <w:spacing w:after="0"/>
              <w:rPr>
                <w:sz w:val="20"/>
                <w:szCs w:val="20"/>
                <w:color w:val="auto"/>
              </w:rPr>
            </w:pPr>
            <w:r>
              <w:rPr>
                <w:rFonts w:ascii="Arial" w:cs="Arial" w:eastAsia="Arial" w:hAnsi="Arial"/>
                <w:sz w:val="17"/>
                <w:szCs w:val="17"/>
                <w:color w:val="auto"/>
              </w:rPr>
              <w:t>Freight</w:t>
            </w:r>
          </w:p>
        </w:tc>
        <w:tc>
          <w:tcPr>
            <w:tcW w:w="2160" w:type="dxa"/>
            <w:vAlign w:val="bottom"/>
            <w:gridSpan w:val="2"/>
          </w:tcPr>
          <w:p>
            <w:pPr>
              <w:jc w:val="right"/>
              <w:ind w:right="20"/>
              <w:spacing w:after="0"/>
              <w:rPr>
                <w:sz w:val="20"/>
                <w:szCs w:val="20"/>
                <w:color w:val="auto"/>
              </w:rPr>
            </w:pPr>
            <w:r>
              <w:rPr>
                <w:rFonts w:ascii="Arial" w:cs="Arial" w:eastAsia="Arial" w:hAnsi="Arial"/>
                <w:sz w:val="17"/>
                <w:szCs w:val="17"/>
                <w:color w:val="auto"/>
              </w:rPr>
              <w:t>0.3%</w:t>
            </w:r>
          </w:p>
        </w:tc>
      </w:tr>
    </w:tbl>
    <w:p>
      <w:pPr>
        <w:spacing w:after="0" w:line="209"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Retail cost of goods sold as a percentage of retail revenue was relatively constant in the first nine months of 2013 as compared to the same period in the prior year.</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Labor and Related Expenses</w:t>
      </w:r>
    </w:p>
    <w:p>
      <w:pPr>
        <w:spacing w:after="0" w:line="249" w:lineRule="exact"/>
        <w:rPr>
          <w:sz w:val="20"/>
          <w:szCs w:val="20"/>
          <w:color w:val="auto"/>
        </w:rPr>
      </w:pPr>
    </w:p>
    <w:p>
      <w:pPr>
        <w:jc w:val="both"/>
        <w:ind w:firstLine="620"/>
        <w:spacing w:after="0" w:line="349" w:lineRule="auto"/>
        <w:rPr>
          <w:sz w:val="20"/>
          <w:szCs w:val="20"/>
          <w:color w:val="auto"/>
        </w:rPr>
      </w:pPr>
      <w:r>
        <w:rPr>
          <w:rFonts w:ascii="Arial" w:cs="Arial" w:eastAsia="Arial" w:hAnsi="Arial"/>
          <w:sz w:val="15"/>
          <w:szCs w:val="15"/>
          <w:color w:val="auto"/>
        </w:rPr>
        <w:t>Labor and related expenses include all direct and indirect labor and related costs incurred in store operations. Labor and related expenses as a percentage of total revenue decreased to 37.8% in the third quarter of 2013 as compared to 38.6% in the third quarter of 2012. This percentage change resulted from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6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260" w:type="dxa"/>
            <w:vAlign w:val="bottom"/>
            <w:gridSpan w:val="2"/>
          </w:tcPr>
          <w:p>
            <w:pPr>
              <w:jc w:val="center"/>
              <w:ind w:right="260"/>
              <w:spacing w:after="0"/>
              <w:rPr>
                <w:sz w:val="20"/>
                <w:szCs w:val="20"/>
                <w:color w:val="auto"/>
              </w:rPr>
            </w:pPr>
            <w:r>
              <w:rPr>
                <w:rFonts w:ascii="Arial" w:cs="Arial" w:eastAsia="Arial" w:hAnsi="Arial"/>
                <w:sz w:val="17"/>
                <w:szCs w:val="17"/>
                <w:color w:val="auto"/>
                <w:w w:val="94"/>
              </w:rPr>
              <w:t>Third Quarter</w:t>
            </w:r>
          </w:p>
        </w:tc>
        <w:tc>
          <w:tcPr>
            <w:tcW w:w="216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4000" w:type="dxa"/>
            <w:vAlign w:val="bottom"/>
          </w:tcPr>
          <w:p>
            <w:pPr>
              <w:spacing w:after="0"/>
              <w:rPr>
                <w:sz w:val="17"/>
                <w:szCs w:val="17"/>
                <w:color w:val="auto"/>
              </w:rPr>
            </w:pPr>
          </w:p>
        </w:tc>
        <w:tc>
          <w:tcPr>
            <w:tcW w:w="2380" w:type="dxa"/>
            <w:vAlign w:val="bottom"/>
          </w:tcPr>
          <w:p>
            <w:pPr>
              <w:spacing w:after="0"/>
              <w:rPr>
                <w:sz w:val="17"/>
                <w:szCs w:val="17"/>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7"/>
                <w:szCs w:val="17"/>
                <w:color w:val="auto"/>
                <w:w w:val="88"/>
              </w:rPr>
              <w:t>(Decrease) Increase as a</w:t>
            </w:r>
          </w:p>
        </w:tc>
        <w:tc>
          <w:tcPr>
            <w:tcW w:w="2160" w:type="dxa"/>
            <w:vAlign w:val="bottom"/>
          </w:tcPr>
          <w:p>
            <w:pPr>
              <w:spacing w:after="0"/>
              <w:rPr>
                <w:sz w:val="17"/>
                <w:szCs w:val="17"/>
                <w:color w:val="auto"/>
              </w:rPr>
            </w:pPr>
          </w:p>
        </w:tc>
      </w:tr>
      <w:tr>
        <w:trPr>
          <w:trHeight w:val="225"/>
        </w:trPr>
        <w:tc>
          <w:tcPr>
            <w:tcW w:w="620" w:type="dxa"/>
            <w:vAlign w:val="bottom"/>
          </w:tcPr>
          <w:p>
            <w:pPr>
              <w:spacing w:after="0"/>
              <w:rPr>
                <w:sz w:val="19"/>
                <w:szCs w:val="19"/>
                <w:color w:val="auto"/>
              </w:rPr>
            </w:pPr>
          </w:p>
        </w:tc>
        <w:tc>
          <w:tcPr>
            <w:tcW w:w="4000" w:type="dxa"/>
            <w:vAlign w:val="bottom"/>
          </w:tcPr>
          <w:p>
            <w:pPr>
              <w:spacing w:after="0"/>
              <w:rPr>
                <w:sz w:val="19"/>
                <w:szCs w:val="19"/>
                <w:color w:val="auto"/>
              </w:rPr>
            </w:pPr>
          </w:p>
        </w:tc>
        <w:tc>
          <w:tcPr>
            <w:tcW w:w="2380" w:type="dxa"/>
            <w:vAlign w:val="bottom"/>
          </w:tcPr>
          <w:p>
            <w:pPr>
              <w:spacing w:after="0"/>
              <w:rPr>
                <w:sz w:val="19"/>
                <w:szCs w:val="19"/>
                <w:color w:val="auto"/>
              </w:rPr>
            </w:pPr>
          </w:p>
        </w:tc>
        <w:tc>
          <w:tcPr>
            <w:tcW w:w="2040" w:type="dxa"/>
            <w:vAlign w:val="bottom"/>
            <w:tcBorders>
              <w:bottom w:val="single" w:sz="8" w:color="auto"/>
            </w:tcBorders>
          </w:tcPr>
          <w:p>
            <w:pPr>
              <w:ind w:left="20"/>
              <w:spacing w:after="0"/>
              <w:rPr>
                <w:sz w:val="20"/>
                <w:szCs w:val="20"/>
                <w:color w:val="auto"/>
              </w:rPr>
            </w:pPr>
            <w:r>
              <w:rPr>
                <w:rFonts w:ascii="Arial" w:cs="Arial" w:eastAsia="Arial" w:hAnsi="Arial"/>
                <w:sz w:val="17"/>
                <w:szCs w:val="17"/>
                <w:color w:val="auto"/>
                <w:w w:val="90"/>
              </w:rPr>
              <w:t>Percentage of Total Revenue</w:t>
            </w:r>
          </w:p>
        </w:tc>
        <w:tc>
          <w:tcPr>
            <w:tcW w:w="220" w:type="dxa"/>
            <w:vAlign w:val="bottom"/>
          </w:tcPr>
          <w:p>
            <w:pPr>
              <w:spacing w:after="0"/>
              <w:rPr>
                <w:sz w:val="19"/>
                <w:szCs w:val="19"/>
                <w:color w:val="auto"/>
              </w:rPr>
            </w:pPr>
          </w:p>
        </w:tc>
        <w:tc>
          <w:tcPr>
            <w:tcW w:w="2160" w:type="dxa"/>
            <w:vAlign w:val="bottom"/>
          </w:tcPr>
          <w:p>
            <w:pPr>
              <w:spacing w:after="0"/>
              <w:rPr>
                <w:sz w:val="19"/>
                <w:szCs w:val="19"/>
                <w:color w:val="auto"/>
              </w:rPr>
            </w:pPr>
          </w:p>
        </w:tc>
      </w:tr>
      <w:tr>
        <w:trPr>
          <w:trHeight w:val="206"/>
        </w:trPr>
        <w:tc>
          <w:tcPr>
            <w:tcW w:w="6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Store hourly labor and related payroll taxes</w:t>
            </w:r>
          </w:p>
        </w:tc>
        <w:tc>
          <w:tcPr>
            <w:tcW w:w="46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(0.9%)</w:t>
            </w:r>
          </w:p>
        </w:tc>
        <w:tc>
          <w:tcPr>
            <w:tcW w:w="216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Workers’ compensation expense</w:t>
            </w:r>
          </w:p>
        </w:tc>
        <w:tc>
          <w:tcPr>
            <w:tcW w:w="4640" w:type="dxa"/>
            <w:vAlign w:val="bottom"/>
            <w:gridSpan w:val="3"/>
          </w:tcPr>
          <w:p>
            <w:pPr>
              <w:jc w:val="right"/>
              <w:ind w:right="20"/>
              <w:spacing w:after="0"/>
              <w:rPr>
                <w:sz w:val="20"/>
                <w:szCs w:val="20"/>
                <w:color w:val="auto"/>
              </w:rPr>
            </w:pPr>
            <w:r>
              <w:rPr>
                <w:rFonts w:ascii="Arial" w:cs="Arial" w:eastAsia="Arial" w:hAnsi="Arial"/>
                <w:sz w:val="17"/>
                <w:szCs w:val="17"/>
                <w:color w:val="auto"/>
              </w:rPr>
              <w:t>(0.1%)</w:t>
            </w:r>
          </w:p>
        </w:tc>
        <w:tc>
          <w:tcPr>
            <w:tcW w:w="2160" w:type="dxa"/>
            <w:vAlign w:val="bottom"/>
          </w:tcPr>
          <w:p>
            <w:pPr>
              <w:spacing w:after="0"/>
              <w:rPr>
                <w:sz w:val="17"/>
                <w:szCs w:val="17"/>
                <w:color w:val="auto"/>
              </w:rPr>
            </w:pPr>
          </w:p>
        </w:tc>
      </w:tr>
      <w:tr>
        <w:trPr>
          <w:trHeight w:val="206"/>
        </w:trPr>
        <w:tc>
          <w:tcPr>
            <w:tcW w:w="620" w:type="dxa"/>
            <w:vAlign w:val="bottom"/>
          </w:tcPr>
          <w:p>
            <w:pPr>
              <w:spacing w:after="0"/>
              <w:rPr>
                <w:sz w:val="17"/>
                <w:szCs w:val="17"/>
                <w:color w:val="auto"/>
              </w:rPr>
            </w:pPr>
          </w:p>
        </w:tc>
        <w:tc>
          <w:tcPr>
            <w:tcW w:w="4000" w:type="dxa"/>
            <w:vAlign w:val="bottom"/>
            <w:shd w:val="clear" w:color="auto" w:fill="CCEEFF"/>
          </w:tcPr>
          <w:p>
            <w:pPr>
              <w:spacing w:after="0"/>
              <w:rPr>
                <w:sz w:val="20"/>
                <w:szCs w:val="20"/>
                <w:color w:val="auto"/>
              </w:rPr>
            </w:pPr>
            <w:r>
              <w:rPr>
                <w:rFonts w:ascii="Arial" w:cs="Arial" w:eastAsia="Arial" w:hAnsi="Arial"/>
                <w:sz w:val="17"/>
                <w:szCs w:val="17"/>
                <w:color w:val="auto"/>
              </w:rPr>
              <w:t>Pre-opening labor expense</w:t>
            </w:r>
          </w:p>
        </w:tc>
        <w:tc>
          <w:tcPr>
            <w:tcW w:w="4640" w:type="dxa"/>
            <w:vAlign w:val="bottom"/>
            <w:gridSpan w:val="3"/>
            <w:shd w:val="clear" w:color="auto" w:fill="CCEEFF"/>
          </w:tcPr>
          <w:p>
            <w:pPr>
              <w:jc w:val="right"/>
              <w:ind w:right="20"/>
              <w:spacing w:after="0"/>
              <w:rPr>
                <w:sz w:val="20"/>
                <w:szCs w:val="20"/>
                <w:color w:val="auto"/>
              </w:rPr>
            </w:pPr>
            <w:r>
              <w:rPr>
                <w:rFonts w:ascii="Arial" w:cs="Arial" w:eastAsia="Arial" w:hAnsi="Arial"/>
                <w:sz w:val="17"/>
                <w:szCs w:val="17"/>
                <w:color w:val="auto"/>
              </w:rPr>
              <w:t>(0.1%)</w:t>
            </w:r>
          </w:p>
        </w:tc>
        <w:tc>
          <w:tcPr>
            <w:tcW w:w="2160" w:type="dxa"/>
            <w:vAlign w:val="bottom"/>
          </w:tcPr>
          <w:p>
            <w:pPr>
              <w:spacing w:after="0"/>
              <w:rPr>
                <w:sz w:val="17"/>
                <w:szCs w:val="17"/>
                <w:color w:val="auto"/>
              </w:rPr>
            </w:pPr>
          </w:p>
        </w:tc>
      </w:tr>
      <w:tr>
        <w:trPr>
          <w:trHeight w:val="217"/>
        </w:trPr>
        <w:tc>
          <w:tcPr>
            <w:tcW w:w="620" w:type="dxa"/>
            <w:vAlign w:val="bottom"/>
          </w:tcPr>
          <w:p>
            <w:pPr>
              <w:spacing w:after="0"/>
              <w:rPr>
                <w:sz w:val="18"/>
                <w:szCs w:val="18"/>
                <w:color w:val="auto"/>
              </w:rPr>
            </w:pPr>
          </w:p>
        </w:tc>
        <w:tc>
          <w:tcPr>
            <w:tcW w:w="4000" w:type="dxa"/>
            <w:vAlign w:val="bottom"/>
          </w:tcPr>
          <w:p>
            <w:pPr>
              <w:spacing w:after="0"/>
              <w:rPr>
                <w:sz w:val="20"/>
                <w:szCs w:val="20"/>
                <w:color w:val="auto"/>
              </w:rPr>
            </w:pPr>
            <w:r>
              <w:rPr>
                <w:rFonts w:ascii="Arial" w:cs="Arial" w:eastAsia="Arial" w:hAnsi="Arial"/>
                <w:sz w:val="17"/>
                <w:szCs w:val="17"/>
                <w:color w:val="auto"/>
              </w:rPr>
              <w:t>Store bonus expense</w:t>
            </w:r>
          </w:p>
        </w:tc>
        <w:tc>
          <w:tcPr>
            <w:tcW w:w="4640" w:type="dxa"/>
            <w:vAlign w:val="bottom"/>
            <w:gridSpan w:val="3"/>
          </w:tcPr>
          <w:p>
            <w:pPr>
              <w:jc w:val="right"/>
              <w:ind w:right="80"/>
              <w:spacing w:after="0"/>
              <w:rPr>
                <w:sz w:val="20"/>
                <w:szCs w:val="20"/>
                <w:color w:val="auto"/>
              </w:rPr>
            </w:pPr>
            <w:r>
              <w:rPr>
                <w:rFonts w:ascii="Arial" w:cs="Arial" w:eastAsia="Arial" w:hAnsi="Arial"/>
                <w:sz w:val="17"/>
                <w:szCs w:val="17"/>
                <w:color w:val="auto"/>
              </w:rPr>
              <w:t>0.3%</w:t>
            </w:r>
          </w:p>
        </w:tc>
        <w:tc>
          <w:tcPr>
            <w:tcW w:w="2160" w:type="dxa"/>
            <w:vAlign w:val="bottom"/>
          </w:tcPr>
          <w:p>
            <w:pPr>
              <w:spacing w:after="0"/>
              <w:rPr>
                <w:sz w:val="18"/>
                <w:szCs w:val="18"/>
                <w:color w:val="auto"/>
              </w:rPr>
            </w:pPr>
          </w:p>
        </w:tc>
      </w:tr>
      <w:tr>
        <w:trPr>
          <w:trHeight w:val="520"/>
        </w:trPr>
        <w:tc>
          <w:tcPr>
            <w:tcW w:w="6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2380" w:type="dxa"/>
            <w:vAlign w:val="bottom"/>
          </w:tcPr>
          <w:p>
            <w:pPr>
              <w:jc w:val="right"/>
              <w:ind w:right="1137"/>
              <w:spacing w:after="0"/>
              <w:rPr>
                <w:sz w:val="20"/>
                <w:szCs w:val="20"/>
                <w:color w:val="auto"/>
              </w:rPr>
            </w:pPr>
            <w:r>
              <w:rPr>
                <w:rFonts w:ascii="Arial" w:cs="Arial" w:eastAsia="Arial" w:hAnsi="Arial"/>
                <w:sz w:val="14"/>
                <w:szCs w:val="14"/>
                <w:color w:val="auto"/>
              </w:rPr>
              <w:t>18</w:t>
            </w:r>
          </w:p>
        </w:tc>
        <w:tc>
          <w:tcPr>
            <w:tcW w:w="2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r>
      <w:tr>
        <w:trPr>
          <w:trHeight w:val="98"/>
        </w:trPr>
        <w:tc>
          <w:tcPr>
            <w:tcW w:w="620" w:type="dxa"/>
            <w:vAlign w:val="bottom"/>
            <w:tcBorders>
              <w:bottom w:val="single" w:sz="8" w:color="808080"/>
            </w:tcBorders>
          </w:tcPr>
          <w:p>
            <w:pPr>
              <w:spacing w:after="0"/>
              <w:rPr>
                <w:sz w:val="8"/>
                <w:szCs w:val="8"/>
                <w:color w:val="auto"/>
              </w:rPr>
            </w:pPr>
          </w:p>
        </w:tc>
        <w:tc>
          <w:tcPr>
            <w:tcW w:w="4000" w:type="dxa"/>
            <w:vAlign w:val="bottom"/>
            <w:tcBorders>
              <w:bottom w:val="single" w:sz="8" w:color="808080"/>
            </w:tcBorders>
          </w:tcPr>
          <w:p>
            <w:pPr>
              <w:spacing w:after="0"/>
              <w:rPr>
                <w:sz w:val="8"/>
                <w:szCs w:val="8"/>
                <w:color w:val="auto"/>
              </w:rPr>
            </w:pPr>
          </w:p>
        </w:tc>
        <w:tc>
          <w:tcPr>
            <w:tcW w:w="2380" w:type="dxa"/>
            <w:vAlign w:val="bottom"/>
            <w:tcBorders>
              <w:bottom w:val="single" w:sz="8" w:color="808080"/>
            </w:tcBorders>
          </w:tcPr>
          <w:p>
            <w:pPr>
              <w:spacing w:after="0"/>
              <w:rPr>
                <w:sz w:val="8"/>
                <w:szCs w:val="8"/>
                <w:color w:val="auto"/>
              </w:rPr>
            </w:pPr>
          </w:p>
        </w:tc>
        <w:tc>
          <w:tcPr>
            <w:tcW w:w="204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216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8" w:name="page19"/>
    <w:bookmarkEnd w:id="1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9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Labor and related expenses as a percentage of total revenue decreased to 36.5% in the first nine months of 2013 as compared to 36.8% in the first nine months of 2012. This percentage change resulted primarily from the following:</w:t>
      </w:r>
    </w:p>
    <w:p>
      <w:pPr>
        <w:spacing w:after="0" w:line="189"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6380" w:type="dxa"/>
            <w:vAlign w:val="bottom"/>
          </w:tcPr>
          <w:p>
            <w:pPr>
              <w:spacing w:after="0"/>
              <w:rPr>
                <w:sz w:val="17"/>
                <w:szCs w:val="17"/>
                <w:color w:val="auto"/>
              </w:rPr>
            </w:pPr>
          </w:p>
        </w:tc>
        <w:tc>
          <w:tcPr>
            <w:tcW w:w="226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Nine Month Period</w:t>
            </w:r>
          </w:p>
        </w:tc>
      </w:tr>
      <w:tr>
        <w:trPr>
          <w:trHeight w:val="206"/>
        </w:trPr>
        <w:tc>
          <w:tcPr>
            <w:tcW w:w="6380" w:type="dxa"/>
            <w:vAlign w:val="bottom"/>
          </w:tcPr>
          <w:p>
            <w:pPr>
              <w:spacing w:after="0"/>
              <w:rPr>
                <w:sz w:val="17"/>
                <w:szCs w:val="17"/>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7"/>
                <w:szCs w:val="17"/>
                <w:color w:val="auto"/>
                <w:w w:val="88"/>
              </w:rPr>
              <w:t>(Decrease) Increase as a</w:t>
            </w:r>
          </w:p>
        </w:tc>
      </w:tr>
      <w:tr>
        <w:trPr>
          <w:trHeight w:val="225"/>
        </w:trPr>
        <w:tc>
          <w:tcPr>
            <w:tcW w:w="6380" w:type="dxa"/>
            <w:vAlign w:val="bottom"/>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Percentage of Total Revenue</w:t>
            </w:r>
          </w:p>
        </w:tc>
        <w:tc>
          <w:tcPr>
            <w:tcW w:w="220" w:type="dxa"/>
            <w:vAlign w:val="bottom"/>
          </w:tcPr>
          <w:p>
            <w:pPr>
              <w:spacing w:after="0"/>
              <w:rPr>
                <w:sz w:val="19"/>
                <w:szCs w:val="19"/>
                <w:color w:val="auto"/>
              </w:rPr>
            </w:pPr>
          </w:p>
        </w:tc>
      </w:tr>
      <w:tr>
        <w:trPr>
          <w:trHeight w:val="206"/>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Store hourly labor and related payroll taxes</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(0.6%)</w:t>
            </w:r>
          </w:p>
        </w:tc>
      </w:tr>
      <w:tr>
        <w:trPr>
          <w:trHeight w:val="206"/>
        </w:trPr>
        <w:tc>
          <w:tcPr>
            <w:tcW w:w="6380" w:type="dxa"/>
            <w:vAlign w:val="bottom"/>
          </w:tcPr>
          <w:p>
            <w:pPr>
              <w:spacing w:after="0"/>
              <w:rPr>
                <w:sz w:val="20"/>
                <w:szCs w:val="20"/>
                <w:color w:val="auto"/>
              </w:rPr>
            </w:pPr>
            <w:r>
              <w:rPr>
                <w:rFonts w:ascii="Arial" w:cs="Arial" w:eastAsia="Arial" w:hAnsi="Arial"/>
                <w:sz w:val="17"/>
                <w:szCs w:val="17"/>
                <w:color w:val="auto"/>
              </w:rPr>
              <w:t>Employee health care expenses</w:t>
            </w:r>
          </w:p>
        </w:tc>
        <w:tc>
          <w:tcPr>
            <w:tcW w:w="2260" w:type="dxa"/>
            <w:vAlign w:val="bottom"/>
            <w:gridSpan w:val="2"/>
          </w:tcPr>
          <w:p>
            <w:pPr>
              <w:jc w:val="right"/>
              <w:ind w:right="80"/>
              <w:spacing w:after="0"/>
              <w:rPr>
                <w:sz w:val="20"/>
                <w:szCs w:val="20"/>
                <w:color w:val="auto"/>
              </w:rPr>
            </w:pPr>
            <w:r>
              <w:rPr>
                <w:rFonts w:ascii="Arial" w:cs="Arial" w:eastAsia="Arial" w:hAnsi="Arial"/>
                <w:sz w:val="17"/>
                <w:szCs w:val="17"/>
                <w:color w:val="auto"/>
              </w:rPr>
              <w:t>0.2%</w:t>
            </w:r>
          </w:p>
        </w:tc>
      </w:tr>
      <w:tr>
        <w:trPr>
          <w:trHeight w:val="206"/>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Store bonus expense</w:t>
            </w:r>
          </w:p>
        </w:tc>
        <w:tc>
          <w:tcPr>
            <w:tcW w:w="226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0.2%</w:t>
            </w:r>
          </w:p>
        </w:tc>
      </w:tr>
    </w:tbl>
    <w:p>
      <w:pPr>
        <w:spacing w:after="0" w:line="220" w:lineRule="exact"/>
        <w:rPr>
          <w:sz w:val="20"/>
          <w:szCs w:val="20"/>
          <w:color w:val="auto"/>
        </w:rPr>
      </w:pPr>
    </w:p>
    <w:p>
      <w:pPr>
        <w:jc w:val="both"/>
        <w:ind w:firstLine="620"/>
        <w:spacing w:after="0" w:line="312" w:lineRule="auto"/>
        <w:rPr>
          <w:sz w:val="20"/>
          <w:szCs w:val="20"/>
          <w:color w:val="auto"/>
        </w:rPr>
      </w:pPr>
      <w:r>
        <w:rPr>
          <w:rFonts w:ascii="Arial" w:cs="Arial" w:eastAsia="Arial" w:hAnsi="Arial"/>
          <w:sz w:val="16"/>
          <w:szCs w:val="16"/>
          <w:color w:val="auto"/>
        </w:rPr>
        <w:t>The decreases in store hourly labor costs and related payroll taxes as a percentage of total revenue for the third quarter and first nine months of 2013 as compared to the same periods in the prior year resulted from menu price increases being higher than wage inflation and improved productivity.</w:t>
      </w:r>
    </w:p>
    <w:p>
      <w:pPr>
        <w:spacing w:after="0" w:line="167"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decrease in workers’ compensation expense as a percentage of total revenue for the third quarter of 2013 as compared to the same period in the prior year resulted primarily from favorable claims development.</w:t>
      </w:r>
    </w:p>
    <w:p>
      <w:pPr>
        <w:spacing w:after="0" w:line="18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decrease in pre-opening labor expense as a percentage of total revenue for the third quarter of 2013 as compared to the same period in the prior year resulted from the timing of new store openings.</w:t>
      </w:r>
    </w:p>
    <w:p>
      <w:pPr>
        <w:spacing w:after="0" w:line="18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Higher store bonus expense in the third quarter and first nine months of 2013 as compared to the same periods in the prior year resulted primarily from better performance against financial objectives in 2013 as compared to the prior year.</w:t>
      </w:r>
    </w:p>
    <w:p>
      <w:pPr>
        <w:spacing w:after="0" w:line="189" w:lineRule="exact"/>
        <w:rPr>
          <w:sz w:val="20"/>
          <w:szCs w:val="20"/>
          <w:color w:val="auto"/>
        </w:rPr>
      </w:pPr>
    </w:p>
    <w:p>
      <w:pPr>
        <w:jc w:val="both"/>
        <w:ind w:firstLine="620"/>
        <w:spacing w:after="0" w:line="283" w:lineRule="auto"/>
        <w:rPr>
          <w:sz w:val="20"/>
          <w:szCs w:val="20"/>
          <w:color w:val="auto"/>
        </w:rPr>
      </w:pPr>
      <w:r>
        <w:rPr>
          <w:rFonts w:ascii="Arial" w:cs="Arial" w:eastAsia="Arial" w:hAnsi="Arial"/>
          <w:sz w:val="16"/>
          <w:szCs w:val="16"/>
          <w:color w:val="auto"/>
        </w:rPr>
        <w:t>The increase in our employee health care expenses in the first nine months of 2013 as compared to the same period in the prior year resulted from reimbursements for certain health insurance premiums in the prior-year periods. The fully-insured portion of our health insurance program contains a retrospective feature which could increase or decrease premiums based on actual claims experience. As a result of lower claims experience in calendar 2011, we recorded $5,800 in the first nine months of 2012 for reimbursement of certain health insurance premiums paid in prior periods of calendar 2011.</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Other Store Operating Expenses</w:t>
      </w:r>
    </w:p>
    <w:p>
      <w:pPr>
        <w:spacing w:after="0" w:line="24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Other store operating expenses include all store-level operating costs, the major components of which are utilities, operating supplies, repairs and maintenance, depreciation and amortization, advertising, rent, credit card fees, real and personal property taxes and general insurance.</w:t>
      </w:r>
    </w:p>
    <w:p>
      <w:pPr>
        <w:spacing w:after="0" w:line="18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Other store operating expenses as a percentage of total revenue increased to 18.2% in the third quarter of 2013 as compared to 18.1% in the third quarter of 2012. This percentage change resulted primarily from higher advertising expense. The increase in advertising expense resulted primarily from higher media spending on radio and television.</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19" w:name="page20"/>
    <w:bookmarkEnd w:id="1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Other store operating expenses as a percentage of total revenue in the first nine months of 2013 remained flat at 18.0% as compared to the first nine months of 2012 as a result of the following offsetting variances.</w:t>
      </w:r>
    </w:p>
    <w:p>
      <w:pPr>
        <w:spacing w:after="0" w:line="189"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6340" w:type="dxa"/>
            <w:vAlign w:val="bottom"/>
          </w:tcPr>
          <w:p>
            <w:pPr>
              <w:spacing w:after="0"/>
              <w:rPr>
                <w:sz w:val="17"/>
                <w:szCs w:val="17"/>
                <w:color w:val="auto"/>
              </w:rPr>
            </w:pPr>
          </w:p>
        </w:tc>
        <w:tc>
          <w:tcPr>
            <w:tcW w:w="2300" w:type="dxa"/>
            <w:vAlign w:val="bottom"/>
            <w:gridSpan w:val="2"/>
          </w:tcPr>
          <w:p>
            <w:pPr>
              <w:jc w:val="center"/>
              <w:ind w:right="260"/>
              <w:spacing w:after="0"/>
              <w:rPr>
                <w:sz w:val="20"/>
                <w:szCs w:val="20"/>
                <w:color w:val="auto"/>
              </w:rPr>
            </w:pPr>
            <w:r>
              <w:rPr>
                <w:rFonts w:ascii="Arial" w:cs="Arial" w:eastAsia="Arial" w:hAnsi="Arial"/>
                <w:sz w:val="17"/>
                <w:szCs w:val="17"/>
                <w:color w:val="auto"/>
                <w:w w:val="93"/>
              </w:rPr>
              <w:t>Nine Month Period</w:t>
            </w:r>
          </w:p>
        </w:tc>
      </w:tr>
      <w:tr>
        <w:trPr>
          <w:trHeight w:val="206"/>
        </w:trPr>
        <w:tc>
          <w:tcPr>
            <w:tcW w:w="6340" w:type="dxa"/>
            <w:vAlign w:val="bottom"/>
          </w:tcPr>
          <w:p>
            <w:pPr>
              <w:spacing w:after="0"/>
              <w:rPr>
                <w:sz w:val="17"/>
                <w:szCs w:val="17"/>
                <w:color w:val="auto"/>
              </w:rPr>
            </w:pPr>
          </w:p>
        </w:tc>
        <w:tc>
          <w:tcPr>
            <w:tcW w:w="2300" w:type="dxa"/>
            <w:vAlign w:val="bottom"/>
            <w:gridSpan w:val="2"/>
          </w:tcPr>
          <w:p>
            <w:pPr>
              <w:jc w:val="center"/>
              <w:ind w:right="260"/>
              <w:spacing w:after="0"/>
              <w:rPr>
                <w:sz w:val="20"/>
                <w:szCs w:val="20"/>
                <w:color w:val="auto"/>
              </w:rPr>
            </w:pPr>
            <w:r>
              <w:rPr>
                <w:rFonts w:ascii="Arial" w:cs="Arial" w:eastAsia="Arial" w:hAnsi="Arial"/>
                <w:sz w:val="17"/>
                <w:szCs w:val="17"/>
                <w:color w:val="auto"/>
                <w:w w:val="88"/>
              </w:rPr>
              <w:t>Increase (Decrease) as a</w:t>
            </w:r>
          </w:p>
        </w:tc>
      </w:tr>
      <w:tr>
        <w:trPr>
          <w:trHeight w:val="225"/>
        </w:trPr>
        <w:tc>
          <w:tcPr>
            <w:tcW w:w="6340" w:type="dxa"/>
            <w:vAlign w:val="bottom"/>
          </w:tcPr>
          <w:p>
            <w:pPr>
              <w:spacing w:after="0"/>
              <w:rPr>
                <w:sz w:val="19"/>
                <w:szCs w:val="19"/>
                <w:color w:val="auto"/>
              </w:rPr>
            </w:pPr>
          </w:p>
        </w:tc>
        <w:tc>
          <w:tcPr>
            <w:tcW w:w="208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Percentage of Total Revenue</w:t>
            </w:r>
          </w:p>
        </w:tc>
        <w:tc>
          <w:tcPr>
            <w:tcW w:w="220" w:type="dxa"/>
            <w:vAlign w:val="bottom"/>
          </w:tcPr>
          <w:p>
            <w:pPr>
              <w:spacing w:after="0"/>
              <w:rPr>
                <w:sz w:val="19"/>
                <w:szCs w:val="19"/>
                <w:color w:val="auto"/>
              </w:rPr>
            </w:pPr>
          </w:p>
        </w:tc>
      </w:tr>
      <w:tr>
        <w:trPr>
          <w:trHeight w:val="206"/>
        </w:trPr>
        <w:tc>
          <w:tcPr>
            <w:tcW w:w="6340" w:type="dxa"/>
            <w:vAlign w:val="bottom"/>
            <w:shd w:val="clear" w:color="auto" w:fill="CCEEFF"/>
          </w:tcPr>
          <w:p>
            <w:pPr>
              <w:spacing w:after="0"/>
              <w:rPr>
                <w:sz w:val="20"/>
                <w:szCs w:val="20"/>
                <w:color w:val="auto"/>
              </w:rPr>
            </w:pPr>
            <w:r>
              <w:rPr>
                <w:rFonts w:ascii="Arial" w:cs="Arial" w:eastAsia="Arial" w:hAnsi="Arial"/>
                <w:sz w:val="17"/>
                <w:szCs w:val="17"/>
                <w:color w:val="auto"/>
              </w:rPr>
              <w:t>Litigation settlement received in 2012</w:t>
            </w:r>
          </w:p>
        </w:tc>
        <w:tc>
          <w:tcPr>
            <w:tcW w:w="2300" w:type="dxa"/>
            <w:vAlign w:val="bottom"/>
            <w:gridSpan w:val="2"/>
            <w:shd w:val="clear" w:color="auto" w:fill="CCEEFF"/>
          </w:tcPr>
          <w:p>
            <w:pPr>
              <w:jc w:val="right"/>
              <w:ind w:right="80"/>
              <w:spacing w:after="0"/>
              <w:rPr>
                <w:sz w:val="20"/>
                <w:szCs w:val="20"/>
                <w:color w:val="auto"/>
              </w:rPr>
            </w:pPr>
            <w:r>
              <w:rPr>
                <w:rFonts w:ascii="Arial" w:cs="Arial" w:eastAsia="Arial" w:hAnsi="Arial"/>
                <w:sz w:val="17"/>
                <w:szCs w:val="17"/>
                <w:color w:val="auto"/>
              </w:rPr>
              <w:t>0.2%</w:t>
            </w:r>
          </w:p>
        </w:tc>
      </w:tr>
      <w:tr>
        <w:trPr>
          <w:trHeight w:val="217"/>
        </w:trPr>
        <w:tc>
          <w:tcPr>
            <w:tcW w:w="6340" w:type="dxa"/>
            <w:vAlign w:val="bottom"/>
          </w:tcPr>
          <w:p>
            <w:pPr>
              <w:spacing w:after="0"/>
              <w:rPr>
                <w:sz w:val="20"/>
                <w:szCs w:val="20"/>
                <w:color w:val="auto"/>
              </w:rPr>
            </w:pPr>
            <w:r>
              <w:rPr>
                <w:rFonts w:ascii="Arial" w:cs="Arial" w:eastAsia="Arial" w:hAnsi="Arial"/>
                <w:sz w:val="17"/>
                <w:szCs w:val="17"/>
                <w:color w:val="auto"/>
              </w:rPr>
              <w:t>Utilities expense</w:t>
            </w:r>
          </w:p>
        </w:tc>
        <w:tc>
          <w:tcPr>
            <w:tcW w:w="2300" w:type="dxa"/>
            <w:vAlign w:val="bottom"/>
            <w:gridSpan w:val="2"/>
          </w:tcPr>
          <w:p>
            <w:pPr>
              <w:jc w:val="right"/>
              <w:ind w:right="20"/>
              <w:spacing w:after="0"/>
              <w:rPr>
                <w:sz w:val="20"/>
                <w:szCs w:val="20"/>
                <w:color w:val="auto"/>
              </w:rPr>
            </w:pPr>
            <w:r>
              <w:rPr>
                <w:rFonts w:ascii="Arial" w:cs="Arial" w:eastAsia="Arial" w:hAnsi="Arial"/>
                <w:sz w:val="17"/>
                <w:szCs w:val="17"/>
                <w:color w:val="auto"/>
              </w:rPr>
              <w:t>(0.2%)</w:t>
            </w:r>
          </w:p>
        </w:tc>
      </w:tr>
      <w:tr>
        <w:trPr>
          <w:trHeight w:val="401"/>
        </w:trPr>
        <w:tc>
          <w:tcPr>
            <w:tcW w:w="6340" w:type="dxa"/>
            <w:vAlign w:val="bottom"/>
          </w:tcPr>
          <w:p>
            <w:pPr>
              <w:spacing w:after="0"/>
              <w:rPr>
                <w:sz w:val="20"/>
                <w:szCs w:val="20"/>
                <w:color w:val="auto"/>
              </w:rPr>
            </w:pPr>
            <w:r>
              <w:rPr>
                <w:rFonts w:ascii="Arial" w:cs="Arial" w:eastAsia="Arial" w:hAnsi="Arial"/>
                <w:sz w:val="17"/>
                <w:szCs w:val="17"/>
                <w:color w:val="auto"/>
              </w:rPr>
              <w:t>Lower utilities expense resulted primarily from lower electricity costs.</w:t>
            </w:r>
          </w:p>
        </w:tc>
        <w:tc>
          <w:tcPr>
            <w:tcW w:w="2080" w:type="dxa"/>
            <w:vAlign w:val="bottom"/>
          </w:tcPr>
          <w:p>
            <w:pPr>
              <w:spacing w:after="0"/>
              <w:rPr>
                <w:sz w:val="24"/>
                <w:szCs w:val="24"/>
                <w:color w:val="auto"/>
              </w:rPr>
            </w:pPr>
          </w:p>
        </w:tc>
        <w:tc>
          <w:tcPr>
            <w:tcW w:w="220" w:type="dxa"/>
            <w:vAlign w:val="bottom"/>
          </w:tcPr>
          <w:p>
            <w:pPr>
              <w:spacing w:after="0"/>
              <w:rPr>
                <w:sz w:val="24"/>
                <w:szCs w:val="24"/>
                <w:color w:val="auto"/>
              </w:rPr>
            </w:pPr>
          </w:p>
        </w:tc>
      </w:tr>
    </w:tbl>
    <w:p>
      <w:pPr>
        <w:spacing w:after="0" w:line="2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 and Administrative Expenses</w:t>
      </w:r>
    </w:p>
    <w:p>
      <w:pPr>
        <w:spacing w:after="0" w:line="24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General and administrative expenses as a percentage of total revenue decreased to 5.6% in the third quarter of 2013 as compared to 5.7% in the third quarter of 2012. This percentage change resulted from the following:</w:t>
      </w:r>
    </w:p>
    <w:p>
      <w:pPr>
        <w:spacing w:after="0" w:line="189"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6380" w:type="dxa"/>
            <w:vAlign w:val="bottom"/>
          </w:tcPr>
          <w:p>
            <w:pPr>
              <w:spacing w:after="0"/>
              <w:rPr>
                <w:sz w:val="17"/>
                <w:szCs w:val="17"/>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7"/>
                <w:szCs w:val="17"/>
                <w:color w:val="auto"/>
                <w:w w:val="94"/>
              </w:rPr>
              <w:t>Third Quarter</w:t>
            </w:r>
          </w:p>
        </w:tc>
      </w:tr>
      <w:tr>
        <w:trPr>
          <w:trHeight w:val="206"/>
        </w:trPr>
        <w:tc>
          <w:tcPr>
            <w:tcW w:w="6380" w:type="dxa"/>
            <w:vAlign w:val="bottom"/>
          </w:tcPr>
          <w:p>
            <w:pPr>
              <w:spacing w:after="0"/>
              <w:rPr>
                <w:sz w:val="17"/>
                <w:szCs w:val="17"/>
                <w:color w:val="auto"/>
              </w:rPr>
            </w:pPr>
          </w:p>
        </w:tc>
        <w:tc>
          <w:tcPr>
            <w:tcW w:w="2260" w:type="dxa"/>
            <w:vAlign w:val="bottom"/>
            <w:gridSpan w:val="2"/>
          </w:tcPr>
          <w:p>
            <w:pPr>
              <w:jc w:val="center"/>
              <w:ind w:right="220"/>
              <w:spacing w:after="0"/>
              <w:rPr>
                <w:sz w:val="20"/>
                <w:szCs w:val="20"/>
                <w:color w:val="auto"/>
              </w:rPr>
            </w:pPr>
            <w:r>
              <w:rPr>
                <w:rFonts w:ascii="Arial" w:cs="Arial" w:eastAsia="Arial" w:hAnsi="Arial"/>
                <w:sz w:val="17"/>
                <w:szCs w:val="17"/>
                <w:color w:val="auto"/>
                <w:w w:val="88"/>
              </w:rPr>
              <w:t>(Decrease) Increase as a</w:t>
            </w:r>
          </w:p>
        </w:tc>
      </w:tr>
      <w:tr>
        <w:trPr>
          <w:trHeight w:val="225"/>
        </w:trPr>
        <w:tc>
          <w:tcPr>
            <w:tcW w:w="6380" w:type="dxa"/>
            <w:vAlign w:val="bottom"/>
          </w:tcPr>
          <w:p>
            <w:pPr>
              <w:spacing w:after="0"/>
              <w:rPr>
                <w:sz w:val="19"/>
                <w:szCs w:val="19"/>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89"/>
              </w:rPr>
              <w:t>Percentage of Total Revenue</w:t>
            </w:r>
          </w:p>
        </w:tc>
        <w:tc>
          <w:tcPr>
            <w:tcW w:w="220" w:type="dxa"/>
            <w:vAlign w:val="bottom"/>
          </w:tcPr>
          <w:p>
            <w:pPr>
              <w:spacing w:after="0"/>
              <w:rPr>
                <w:sz w:val="19"/>
                <w:szCs w:val="19"/>
                <w:color w:val="auto"/>
              </w:rPr>
            </w:pPr>
          </w:p>
        </w:tc>
      </w:tr>
      <w:tr>
        <w:trPr>
          <w:trHeight w:val="206"/>
        </w:trPr>
        <w:tc>
          <w:tcPr>
            <w:tcW w:w="6380" w:type="dxa"/>
            <w:vAlign w:val="bottom"/>
            <w:shd w:val="clear" w:color="auto" w:fill="CCEEFF"/>
          </w:tcPr>
          <w:p>
            <w:pPr>
              <w:spacing w:after="0"/>
              <w:rPr>
                <w:sz w:val="20"/>
                <w:szCs w:val="20"/>
                <w:color w:val="auto"/>
              </w:rPr>
            </w:pPr>
            <w:r>
              <w:rPr>
                <w:rFonts w:ascii="Arial" w:cs="Arial" w:eastAsia="Arial" w:hAnsi="Arial"/>
                <w:sz w:val="17"/>
                <w:szCs w:val="17"/>
                <w:color w:val="auto"/>
              </w:rPr>
              <w:t>Payroll and related expenses</w:t>
            </w:r>
          </w:p>
        </w:tc>
        <w:tc>
          <w:tcPr>
            <w:tcW w:w="22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(0.5%)</w:t>
            </w:r>
          </w:p>
        </w:tc>
      </w:tr>
      <w:tr>
        <w:trPr>
          <w:trHeight w:val="217"/>
        </w:trPr>
        <w:tc>
          <w:tcPr>
            <w:tcW w:w="6380" w:type="dxa"/>
            <w:vAlign w:val="bottom"/>
          </w:tcPr>
          <w:p>
            <w:pPr>
              <w:spacing w:after="0"/>
              <w:rPr>
                <w:sz w:val="20"/>
                <w:szCs w:val="20"/>
                <w:color w:val="auto"/>
              </w:rPr>
            </w:pPr>
            <w:r>
              <w:rPr>
                <w:rFonts w:ascii="Arial" w:cs="Arial" w:eastAsia="Arial" w:hAnsi="Arial"/>
                <w:sz w:val="17"/>
                <w:szCs w:val="17"/>
                <w:color w:val="auto"/>
              </w:rPr>
              <w:t>Incentive compensation</w:t>
            </w:r>
          </w:p>
        </w:tc>
        <w:tc>
          <w:tcPr>
            <w:tcW w:w="2260" w:type="dxa"/>
            <w:vAlign w:val="bottom"/>
            <w:gridSpan w:val="2"/>
          </w:tcPr>
          <w:p>
            <w:pPr>
              <w:jc w:val="right"/>
              <w:ind w:right="80"/>
              <w:spacing w:after="0"/>
              <w:rPr>
                <w:sz w:val="20"/>
                <w:szCs w:val="20"/>
                <w:color w:val="auto"/>
              </w:rPr>
            </w:pPr>
            <w:r>
              <w:rPr>
                <w:rFonts w:ascii="Arial" w:cs="Arial" w:eastAsia="Arial" w:hAnsi="Arial"/>
                <w:sz w:val="17"/>
                <w:szCs w:val="17"/>
                <w:color w:val="auto"/>
              </w:rPr>
              <w:t>0.4%</w:t>
            </w:r>
          </w:p>
        </w:tc>
      </w:tr>
    </w:tbl>
    <w:p>
      <w:pPr>
        <w:spacing w:after="0" w:line="20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General and administrative expenses as a percentage of total revenue decreased to 5.4% in the first nine months of 2013 as compared to 5.7% in the first nine months of 2012. This percentage change resulted from the following:</w:t>
      </w:r>
    </w:p>
    <w:p>
      <w:pPr>
        <w:spacing w:after="0" w:line="189" w:lineRule="exact"/>
        <w:rPr>
          <w:sz w:val="20"/>
          <w:szCs w:val="20"/>
          <w:color w:val="auto"/>
        </w:rPr>
      </w:pPr>
    </w:p>
    <w:tbl>
      <w:tblPr>
        <w:tblLayout w:type="fixed"/>
        <w:tblInd w:w="620" w:type="dxa"/>
        <w:tblCellMar>
          <w:top w:w="0" w:type="dxa"/>
          <w:left w:w="0" w:type="dxa"/>
          <w:bottom w:w="0" w:type="dxa"/>
          <w:right w:w="0" w:type="dxa"/>
        </w:tblCellMar>
      </w:tblPr>
      <w:tr>
        <w:trPr>
          <w:trHeight w:val="206"/>
        </w:trPr>
        <w:tc>
          <w:tcPr>
            <w:tcW w:w="6480" w:type="dxa"/>
            <w:vAlign w:val="bottom"/>
          </w:tcPr>
          <w:p>
            <w:pPr>
              <w:spacing w:after="0"/>
              <w:rPr>
                <w:sz w:val="17"/>
                <w:szCs w:val="17"/>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7"/>
                <w:szCs w:val="17"/>
                <w:color w:val="auto"/>
                <w:w w:val="95"/>
              </w:rPr>
              <w:t>Nine Month Period</w:t>
            </w:r>
          </w:p>
        </w:tc>
      </w:tr>
      <w:tr>
        <w:trPr>
          <w:trHeight w:val="206"/>
        </w:trPr>
        <w:tc>
          <w:tcPr>
            <w:tcW w:w="6480" w:type="dxa"/>
            <w:vAlign w:val="bottom"/>
          </w:tcPr>
          <w:p>
            <w:pPr>
              <w:spacing w:after="0"/>
              <w:rPr>
                <w:sz w:val="17"/>
                <w:szCs w:val="17"/>
                <w:color w:val="auto"/>
              </w:rPr>
            </w:pPr>
          </w:p>
        </w:tc>
        <w:tc>
          <w:tcPr>
            <w:tcW w:w="2160" w:type="dxa"/>
            <w:vAlign w:val="bottom"/>
            <w:gridSpan w:val="2"/>
          </w:tcPr>
          <w:p>
            <w:pPr>
              <w:jc w:val="center"/>
              <w:ind w:right="220"/>
              <w:spacing w:after="0"/>
              <w:rPr>
                <w:sz w:val="20"/>
                <w:szCs w:val="20"/>
                <w:color w:val="auto"/>
              </w:rPr>
            </w:pPr>
            <w:r>
              <w:rPr>
                <w:rFonts w:ascii="Arial" w:cs="Arial" w:eastAsia="Arial" w:hAnsi="Arial"/>
                <w:sz w:val="17"/>
                <w:szCs w:val="17"/>
                <w:color w:val="auto"/>
                <w:w w:val="87"/>
              </w:rPr>
              <w:t>(Decrease) as a Percentage</w:t>
            </w:r>
          </w:p>
        </w:tc>
      </w:tr>
      <w:tr>
        <w:trPr>
          <w:trHeight w:val="225"/>
        </w:trPr>
        <w:tc>
          <w:tcPr>
            <w:tcW w:w="6480" w:type="dxa"/>
            <w:vAlign w:val="bottom"/>
          </w:tcPr>
          <w:p>
            <w:pPr>
              <w:spacing w:after="0"/>
              <w:rPr>
                <w:sz w:val="19"/>
                <w:szCs w:val="19"/>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7"/>
                <w:szCs w:val="17"/>
                <w:color w:val="auto"/>
                <w:w w:val="91"/>
              </w:rPr>
              <w:t>of Total Revenue</w:t>
            </w:r>
          </w:p>
        </w:tc>
        <w:tc>
          <w:tcPr>
            <w:tcW w:w="220" w:type="dxa"/>
            <w:vAlign w:val="bottom"/>
          </w:tcPr>
          <w:p>
            <w:pPr>
              <w:spacing w:after="0"/>
              <w:rPr>
                <w:sz w:val="19"/>
                <w:szCs w:val="19"/>
                <w:color w:val="auto"/>
              </w:rPr>
            </w:pPr>
          </w:p>
        </w:tc>
      </w:tr>
      <w:tr>
        <w:trPr>
          <w:trHeight w:val="206"/>
        </w:trPr>
        <w:tc>
          <w:tcPr>
            <w:tcW w:w="6480" w:type="dxa"/>
            <w:vAlign w:val="bottom"/>
            <w:shd w:val="clear" w:color="auto" w:fill="CCEEFF"/>
          </w:tcPr>
          <w:p>
            <w:pPr>
              <w:spacing w:after="0"/>
              <w:rPr>
                <w:sz w:val="20"/>
                <w:szCs w:val="20"/>
                <w:color w:val="auto"/>
              </w:rPr>
            </w:pPr>
            <w:r>
              <w:rPr>
                <w:rFonts w:ascii="Arial" w:cs="Arial" w:eastAsia="Arial" w:hAnsi="Arial"/>
                <w:sz w:val="17"/>
                <w:szCs w:val="17"/>
                <w:color w:val="auto"/>
              </w:rPr>
              <w:t>Payroll and related expenses</w:t>
            </w:r>
          </w:p>
        </w:tc>
        <w:tc>
          <w:tcPr>
            <w:tcW w:w="2160" w:type="dxa"/>
            <w:vAlign w:val="bottom"/>
            <w:gridSpan w:val="2"/>
            <w:shd w:val="clear" w:color="auto" w:fill="CCEEFF"/>
          </w:tcPr>
          <w:p>
            <w:pPr>
              <w:jc w:val="right"/>
              <w:ind w:right="20"/>
              <w:spacing w:after="0"/>
              <w:rPr>
                <w:sz w:val="20"/>
                <w:szCs w:val="20"/>
                <w:color w:val="auto"/>
              </w:rPr>
            </w:pPr>
            <w:r>
              <w:rPr>
                <w:rFonts w:ascii="Arial" w:cs="Arial" w:eastAsia="Arial" w:hAnsi="Arial"/>
                <w:sz w:val="17"/>
                <w:szCs w:val="17"/>
                <w:color w:val="auto"/>
              </w:rPr>
              <w:t>(0.2%)</w:t>
            </w:r>
          </w:p>
        </w:tc>
      </w:tr>
      <w:tr>
        <w:trPr>
          <w:trHeight w:val="217"/>
        </w:trPr>
        <w:tc>
          <w:tcPr>
            <w:tcW w:w="6480" w:type="dxa"/>
            <w:vAlign w:val="bottom"/>
          </w:tcPr>
          <w:p>
            <w:pPr>
              <w:spacing w:after="0"/>
              <w:rPr>
                <w:sz w:val="20"/>
                <w:szCs w:val="20"/>
                <w:color w:val="auto"/>
              </w:rPr>
            </w:pPr>
            <w:r>
              <w:rPr>
                <w:rFonts w:ascii="Arial" w:cs="Arial" w:eastAsia="Arial" w:hAnsi="Arial"/>
                <w:sz w:val="17"/>
                <w:szCs w:val="17"/>
                <w:color w:val="auto"/>
              </w:rPr>
              <w:t>Manager conference expense</w:t>
            </w:r>
          </w:p>
        </w:tc>
        <w:tc>
          <w:tcPr>
            <w:tcW w:w="2160" w:type="dxa"/>
            <w:vAlign w:val="bottom"/>
            <w:gridSpan w:val="2"/>
          </w:tcPr>
          <w:p>
            <w:pPr>
              <w:jc w:val="right"/>
              <w:ind w:right="20"/>
              <w:spacing w:after="0"/>
              <w:rPr>
                <w:sz w:val="20"/>
                <w:szCs w:val="20"/>
                <w:color w:val="auto"/>
              </w:rPr>
            </w:pPr>
            <w:r>
              <w:rPr>
                <w:rFonts w:ascii="Arial" w:cs="Arial" w:eastAsia="Arial" w:hAnsi="Arial"/>
                <w:sz w:val="17"/>
                <w:szCs w:val="17"/>
                <w:color w:val="auto"/>
              </w:rPr>
              <w:t>(0.1%)</w:t>
            </w:r>
          </w:p>
        </w:tc>
      </w:tr>
    </w:tbl>
    <w:p>
      <w:pPr>
        <w:spacing w:after="0" w:line="20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Lower payroll and related expenses in the third quarter and first nine months of 2013 as compared to the same periods in the prior year resulted primarily from our organizational restructuring in the prior year.</w:t>
      </w:r>
    </w:p>
    <w:p>
      <w:pPr>
        <w:spacing w:after="0" w:line="18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Higher incentive compensation in the third quarter as compared to the same period in the prior year resulted primarily from better performance against financial objectives and increases in the price of our common stock in 2013 as compared to the prior year.</w:t>
      </w:r>
    </w:p>
    <w:p>
      <w:pPr>
        <w:spacing w:after="0" w:line="189"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decrease in general and administrative expenses in the first nine months of 2013 as compared to the first nine months of 2012 also resulted from the non-recurrence of expenses associated with a biannual manager conference which was held in the first quarter of 2012.</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Interest Expense</w:t>
      </w:r>
    </w:p>
    <w:p>
      <w:pPr>
        <w:spacing w:after="0" w:line="249" w:lineRule="exact"/>
        <w:rPr>
          <w:sz w:val="20"/>
          <w:szCs w:val="20"/>
          <w:color w:val="auto"/>
        </w:rPr>
      </w:pPr>
    </w:p>
    <w:p>
      <w:pPr>
        <w:jc w:val="both"/>
        <w:ind w:firstLine="620"/>
        <w:spacing w:after="0" w:line="302" w:lineRule="auto"/>
        <w:rPr>
          <w:sz w:val="20"/>
          <w:szCs w:val="20"/>
          <w:color w:val="auto"/>
        </w:rPr>
      </w:pPr>
      <w:r>
        <w:rPr>
          <w:rFonts w:ascii="Arial" w:cs="Arial" w:eastAsia="Arial" w:hAnsi="Arial"/>
          <w:sz w:val="15"/>
          <w:szCs w:val="15"/>
          <w:color w:val="auto"/>
        </w:rPr>
        <w:t>Interest expense for the third quarter of 2013 was $10,194 as compared to $11,173 in the third quarter of 2012. Interest expense for the first nine months of 2013 was $31,199 as compared to $33,333 in the first nine months of 2012. Both decreases resulted from lower debt outstanding and lower interest rates because of a reduction in our credit spread. We presently expect a reduction in interest expense of approximately $6,000 in the fourth quarter of 2013 due primarily to the expiration of a seven-year interest rate swap on May 3, 2013 with a fixed interest rate of 5.57% plus our current credit spread and a reduction in our debt outstanding. Additionally, during the fourth quarter of 2013, we expect a further reduction in our credit spread resulting in a weighted average interest rate of 3.73%.</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2" w:right="239" w:bottom="1440" w:gutter="0" w:footer="0" w:header="0"/>
        </w:sectPr>
      </w:pPr>
    </w:p>
    <w:bookmarkStart w:id="20" w:name="page21"/>
    <w:bookmarkEnd w:id="2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Provision for Income Taxes</w:t>
      </w:r>
    </w:p>
    <w:p>
      <w:pPr>
        <w:spacing w:after="0" w:line="249"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Provision for income taxes as a percentage of income before income taxes (the “effective tax rate”) was 27.6% and 32.1%, respectively, in the third quarters of 2013 and 2012. The effective tax rate was 28.2% and 30.0%, respectively, in the first nine months of 2013 and 2012. The decrease in the effective tax rate from the third quarter of 2012 to the third quarter of 2013 resulted primarily from a lower provision for uncertain tax positions than in the prior year. The decrease in the effective tax rate from the first nine months of 2012 to the first nine months of 2013 resulted primarily from the retroactive extension by Congress of the Work Opportunity Tax Credit through the end of calendar 2013 and a lower provision for uncertain tax positions than in the prior year. We presently expect our effective tax rate for 2013 to be between 28% to 29%.</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Liquidity and Capital Resources</w:t>
      </w:r>
    </w:p>
    <w:p>
      <w:pPr>
        <w:spacing w:after="0" w:line="249" w:lineRule="exact"/>
        <w:rPr>
          <w:sz w:val="20"/>
          <w:szCs w:val="20"/>
          <w:color w:val="auto"/>
        </w:rPr>
      </w:pPr>
    </w:p>
    <w:p>
      <w:pPr>
        <w:jc w:val="both"/>
        <w:ind w:firstLine="310"/>
        <w:spacing w:after="0" w:line="262" w:lineRule="auto"/>
        <w:rPr>
          <w:sz w:val="20"/>
          <w:szCs w:val="20"/>
          <w:color w:val="auto"/>
        </w:rPr>
      </w:pPr>
      <w:r>
        <w:rPr>
          <w:rFonts w:ascii="Arial" w:cs="Arial" w:eastAsia="Arial" w:hAnsi="Arial"/>
          <w:sz w:val="17"/>
          <w:szCs w:val="17"/>
          <w:color w:val="auto"/>
        </w:rPr>
        <w:t>Our primary sources of liquidity are cash generated from our operations and our borrowing capacity under our $500,000 revolving credit facility (the “Revolving Credit Facility”). Our internally generated cash, along with cash on hand at August 3, 2012 and proceeds from exercises of share-based compensation awards, were sufficient to finance all of our growth, debt payments, dividend payments, share repurchases, working capital needs and other cash payment obligations in the third quarter of 2013.</w:t>
      </w:r>
    </w:p>
    <w:p>
      <w:pPr>
        <w:spacing w:after="0" w:line="205"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We believe that cash on hand at May 3, 2013, along with cash generated from our operating activities, the borrowing capacity under our Revolving Credit Facility and proceeds from exercises of share-based compensation awards will be sufficient to finance our continuing operations, our continuing expansion plans, our share repurchase plans and our expected dividend payments for at least the next twelve months.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Cash Generated from Operations</w:t>
      </w:r>
    </w:p>
    <w:p>
      <w:pPr>
        <w:spacing w:after="0" w:line="249"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Our operating activities provided net cash of $106,699 for the first nine months of 2013, which represented a decrease from the $141,885 net cash provided during the first nine months of 2012. This decrease reflected the timing of payments for accounts payable and estimated income taxes and higher annual and long-term incentive bonus payments made in the current year as a result of the prior year’s performance partially offset by higher net income.</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Borrowing Capacity and Debt Covenants</w:t>
      </w:r>
    </w:p>
    <w:p>
      <w:pPr>
        <w:spacing w:after="0" w:line="249"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Our $750,000 credit facility (the “Credit Facility”) consists of a term loan (aggregate outstanding at May 3, 2013 was $187,500) and our Revolving Credit Facility. At May 3, 2013, we had $212,500 of outstanding borrowings under the Revolving Credit Facility and we had $28,171 of standby letters of credit related to securing reserved claims under workers’ compensation insurance which reduce our borrowing availability under the Revolving Credit Facility. At May 3, 2013, we had $259,329 in borrowing availability under our Revolving Credit Facility. On May 3, 2013, we made $25,000 in optional principal prepayments under our term loan and paid down $100,000 on the Revolving Credit Facility. See Note 4 to our Condensed Consolidated Financial Statements for further information on our long-term debt.</w:t>
      </w:r>
    </w:p>
    <w:p>
      <w:pPr>
        <w:spacing w:after="0" w:line="210"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The Credit Facility contains customary financial covenants, which include maintenance of a maximum consolidated total leverage ratio and a minimum consolidated interest coverage ratio. We presently are in compliance with the Credit Facility’s financial covenants.</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1" w:name="page22"/>
    <w:bookmarkEnd w:id="21"/>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Capital Expenditures</w:t>
      </w:r>
    </w:p>
    <w:p>
      <w:pPr>
        <w:spacing w:after="0" w:line="249" w:lineRule="exact"/>
        <w:rPr>
          <w:sz w:val="20"/>
          <w:szCs w:val="20"/>
          <w:color w:val="auto"/>
        </w:rPr>
      </w:pPr>
    </w:p>
    <w:p>
      <w:pPr>
        <w:jc w:val="both"/>
        <w:ind w:right="20" w:firstLine="620"/>
        <w:spacing w:after="0" w:line="257" w:lineRule="auto"/>
        <w:rPr>
          <w:sz w:val="20"/>
          <w:szCs w:val="20"/>
          <w:color w:val="auto"/>
        </w:rPr>
      </w:pPr>
      <w:r>
        <w:rPr>
          <w:rFonts w:ascii="Arial" w:cs="Arial" w:eastAsia="Arial" w:hAnsi="Arial"/>
          <w:sz w:val="17"/>
          <w:szCs w:val="17"/>
          <w:color w:val="auto"/>
        </w:rPr>
        <w:t>Capital expenditures (purchase of property and equipment), net of proceeds from insurance recoveries were $45,738 for the first nine months of 2013 as compared to $56,766 for the same period in the prior year. Our capital expenditures consisted primarily of costs of new store locations and capital expenditures for maintenance programs. The decrease in capital expenditures in the first nine months of 2013 as compared to the prior year is primarily the result of fewer new locations under construction as compared to the prior year partially offset by higher capital expenditures for maintenance programs and operational initiatives. We estimate that our capital expenditures during 2013 will be between $75,000 and $80,000. This estimate includes certain costs related to the acquisition of sites and construction of new stores that have opened or are expected to open during 2013, as well as for acquisition and construction costs for store locations to be opened in future years and capital expenditures for maintenance programs. We intend to fund our capital expenditures with cash flows from operations and borrowings under our Revolving Credit Facility, as necessary.</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Dividends, Share Repurchases and Proceeds from the Exercise of Share-Based Compensation Awards</w:t>
      </w:r>
    </w:p>
    <w:p>
      <w:pPr>
        <w:spacing w:after="0" w:line="249" w:lineRule="exact"/>
        <w:rPr>
          <w:sz w:val="20"/>
          <w:szCs w:val="20"/>
          <w:color w:val="auto"/>
        </w:rPr>
      </w:pPr>
    </w:p>
    <w:p>
      <w:pPr>
        <w:jc w:val="both"/>
        <w:ind w:right="20" w:firstLine="620"/>
        <w:spacing w:after="0" w:line="278" w:lineRule="auto"/>
        <w:rPr>
          <w:sz w:val="20"/>
          <w:szCs w:val="20"/>
          <w:color w:val="auto"/>
        </w:rPr>
      </w:pPr>
      <w:r>
        <w:rPr>
          <w:rFonts w:ascii="Arial" w:cs="Arial" w:eastAsia="Arial" w:hAnsi="Arial"/>
          <w:sz w:val="16"/>
          <w:szCs w:val="16"/>
          <w:color w:val="auto"/>
        </w:rPr>
        <w:t>Our Credit Facility imposes restrictions on the amount of dividends we are permitted to pay and the amount of shares we are permitted to repurchase. Prior to the June 3, 2013 amendment described below, if there was no default existing and the total of our availability under the Revolving Credit Facility plus our cash and cash equivalents on hand was at least $100,000 (the “liquidity requirements”), we could declare and pay cash dividends on shares of our common stock if the aggregate amount of dividends paid during any fiscal year was less than 20% of Consolidated EBITDA from continuing operations (as defined in the Credit Facility) (the “20% limitation”) during the immediately preceding fiscal year. In any event, as long as the liquidity requirements were met, dividends could be declared and paid in any fiscal year up to the amount of dividends permitted and paid in the preceding fiscal year without regard to the 20% limitation.</w:t>
      </w:r>
    </w:p>
    <w:p>
      <w:pPr>
        <w:spacing w:after="0" w:line="193" w:lineRule="exact"/>
        <w:rPr>
          <w:sz w:val="20"/>
          <w:szCs w:val="20"/>
          <w:color w:val="auto"/>
        </w:rPr>
      </w:pPr>
    </w:p>
    <w:p>
      <w:pPr>
        <w:jc w:val="both"/>
        <w:ind w:right="20" w:firstLine="620"/>
        <w:spacing w:after="0" w:line="302" w:lineRule="auto"/>
        <w:rPr>
          <w:sz w:val="20"/>
          <w:szCs w:val="20"/>
          <w:color w:val="auto"/>
        </w:rPr>
      </w:pPr>
      <w:r>
        <w:rPr>
          <w:rFonts w:ascii="Arial" w:cs="Arial" w:eastAsia="Arial" w:hAnsi="Arial"/>
          <w:sz w:val="15"/>
          <w:szCs w:val="15"/>
          <w:color w:val="auto"/>
        </w:rPr>
        <w:t>Effective June 3, 2013, we amended the Credit Facility to provide more flexibility with regard to the dividends we are permitted to pay. Under the amended Credit Facility, if there is no default existing and the liquidity requirements are met, we may declare and pay cash dividends on shares of our common stock if the aggregate amount of dividends paid in any fiscal year is less than the sum of (1) the 20% limitation and (2) provided our consolidated total leverage ratio is 3.25 to 1.00 or less, $100,000 (less the amount of any share repurchases during the current fiscal year). In any event, as long as the liquidity requirements are met, dividends may be declared and paid in any fiscal year up to the amount of dividends permitted and paid in the preceding fiscal year without regard to the 20% limitation.</w:t>
      </w:r>
    </w:p>
    <w:p>
      <w:pPr>
        <w:spacing w:after="0" w:line="180" w:lineRule="exact"/>
        <w:rPr>
          <w:sz w:val="20"/>
          <w:szCs w:val="20"/>
          <w:color w:val="auto"/>
        </w:rPr>
      </w:pPr>
    </w:p>
    <w:p>
      <w:pPr>
        <w:jc w:val="both"/>
        <w:ind w:right="20" w:firstLine="620"/>
        <w:spacing w:after="0" w:line="266" w:lineRule="auto"/>
        <w:rPr>
          <w:sz w:val="20"/>
          <w:szCs w:val="20"/>
          <w:color w:val="auto"/>
        </w:rPr>
      </w:pPr>
      <w:r>
        <w:rPr>
          <w:rFonts w:ascii="Arial" w:cs="Arial" w:eastAsia="Arial" w:hAnsi="Arial"/>
          <w:sz w:val="17"/>
          <w:szCs w:val="17"/>
          <w:color w:val="auto"/>
        </w:rPr>
        <w:t>During the first nine months of 2013, we paid dividends of $1.40 per share. During the third quarter of 2013, we declared a dividend of $0.50 per share that was paid on May 6, 2013 to shareholders of record on April 19, 2013. During the fourth quarter of 2013, we declared a regular dividend of $0.75 per share of our common stock payable on August 5, 2013 to shareholders of record on July 19, 2013.</w:t>
      </w:r>
    </w:p>
    <w:p>
      <w:pPr>
        <w:spacing w:after="0" w:line="202" w:lineRule="exact"/>
        <w:rPr>
          <w:sz w:val="20"/>
          <w:szCs w:val="20"/>
          <w:color w:val="auto"/>
        </w:rPr>
      </w:pPr>
    </w:p>
    <w:p>
      <w:pPr>
        <w:jc w:val="both"/>
        <w:ind w:right="20" w:firstLine="620"/>
        <w:spacing w:after="0" w:line="260" w:lineRule="auto"/>
        <w:rPr>
          <w:sz w:val="20"/>
          <w:szCs w:val="20"/>
          <w:color w:val="auto"/>
        </w:rPr>
      </w:pPr>
      <w:r>
        <w:rPr>
          <w:rFonts w:ascii="Arial" w:cs="Arial" w:eastAsia="Arial" w:hAnsi="Arial"/>
          <w:sz w:val="17"/>
          <w:szCs w:val="17"/>
          <w:color w:val="auto"/>
        </w:rPr>
        <w:t>Subject to a maximum amount of $100,000 and the limits imposed by the Credit Facility, we have been authorized by our Board of Directors to repurchase shares from time to time during 2013 through a combination of open market purchases, privately negotiated acquisitions, accelerated share repurchase transactions and/or other derivative transactions at the discretion of management. During the first nine months of 2013, we repurchased 44,300 shares of our common stock in the open market at an aggregate cost of $3,570. Under the amended Credit Facility, we may repurchase shares up to a maximum amount of $100,000 less the amount of dividends paid provided the liquidity requirements are met.</w:t>
      </w:r>
    </w:p>
    <w:p>
      <w:pPr>
        <w:spacing w:after="0" w:line="206"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During the first nine months of 2013, we received proceeds of $5,195 from the exercise of share-based compensation awards and the corresponding issuance of 329,232 shares of our common stock.</w:t>
      </w:r>
    </w:p>
    <w:p>
      <w:pPr>
        <w:spacing w:after="0" w:line="325"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2" w:name="page23"/>
    <w:bookmarkEnd w:id="22"/>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Working Capital</w:t>
      </w:r>
    </w:p>
    <w:p>
      <w:pPr>
        <w:spacing w:after="0" w:line="249" w:lineRule="exact"/>
        <w:rPr>
          <w:sz w:val="20"/>
          <w:szCs w:val="20"/>
          <w:color w:val="auto"/>
        </w:rPr>
      </w:pPr>
    </w:p>
    <w:p>
      <w:pPr>
        <w:jc w:val="both"/>
        <w:ind w:right="20" w:firstLine="620"/>
        <w:spacing w:after="0" w:line="276" w:lineRule="auto"/>
        <w:rPr>
          <w:sz w:val="20"/>
          <w:szCs w:val="20"/>
          <w:color w:val="auto"/>
        </w:rPr>
      </w:pPr>
      <w:r>
        <w:rPr>
          <w:rFonts w:ascii="Arial" w:cs="Arial" w:eastAsia="Arial" w:hAnsi="Arial"/>
          <w:sz w:val="16"/>
          <w:szCs w:val="16"/>
          <w:color w:val="auto"/>
        </w:rPr>
        <w:t>In the restaurant industry, virtually all sales are either for cash or third-party credit or debit card. Restaurant inventories purchased through our principal food distributor are on terms of net zero days, while restaurant inventories purchased locally generally are financed from normal trade credit. Because of our retail gift shops, which have a lower product turnover than the restaurant business, we carry larger inventories than many other companies in the restaurant industry. Retail inventories purchased domestically generally are financed from normal trade credit, while imported retail inventories generally are purchased through wire transfers. These various trade terms are aided by rapid turnover of the restaurant inventory. Employees generally are paid on weekly or semi-monthly schedules in arrears for hours worked except for bonuses that are paid either quarterly or annually in arrears. Many other operating expenses have normal trade terms and certain expenses such as certain taxes and some benefits are deferred for longer periods of time.</w:t>
      </w:r>
    </w:p>
    <w:p>
      <w:pPr>
        <w:spacing w:after="0" w:line="197" w:lineRule="exact"/>
        <w:rPr>
          <w:sz w:val="20"/>
          <w:szCs w:val="20"/>
          <w:color w:val="auto"/>
        </w:rPr>
      </w:pPr>
    </w:p>
    <w:p>
      <w:pPr>
        <w:jc w:val="both"/>
        <w:ind w:right="20" w:firstLine="620"/>
        <w:spacing w:after="0" w:line="266" w:lineRule="auto"/>
        <w:rPr>
          <w:sz w:val="20"/>
          <w:szCs w:val="20"/>
          <w:color w:val="auto"/>
        </w:rPr>
      </w:pPr>
      <w:r>
        <w:rPr>
          <w:rFonts w:ascii="Arial" w:cs="Arial" w:eastAsia="Arial" w:hAnsi="Arial"/>
          <w:sz w:val="17"/>
          <w:szCs w:val="17"/>
          <w:color w:val="auto"/>
        </w:rPr>
        <w:t>We had negative working capital of $23,123 at May 3, 2013 versus positive working capital of $18,249 at August 3, 2012. This decrease in working capital from August 3, 2012 primarily reflects a decrease in cash partially offset by a reduction in accounts payable due to the timing of payments and the expiration of an interest rate swap.</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Off-Balance Sheet Arrangements</w:t>
      </w:r>
    </w:p>
    <w:p>
      <w:pPr>
        <w:spacing w:after="0" w:line="249" w:lineRule="exact"/>
        <w:rPr>
          <w:sz w:val="20"/>
          <w:szCs w:val="20"/>
          <w:color w:val="auto"/>
        </w:rPr>
      </w:pPr>
    </w:p>
    <w:p>
      <w:pPr>
        <w:jc w:val="both"/>
        <w:ind w:right="20"/>
        <w:spacing w:after="0" w:line="266" w:lineRule="auto"/>
        <w:rPr>
          <w:sz w:val="20"/>
          <w:szCs w:val="20"/>
          <w:color w:val="auto"/>
        </w:rPr>
      </w:pPr>
      <w:r>
        <w:rPr>
          <w:rFonts w:ascii="Arial" w:cs="Arial" w:eastAsia="Arial" w:hAnsi="Arial"/>
          <w:sz w:val="17"/>
          <w:szCs w:val="17"/>
          <w:color w:val="auto"/>
        </w:rPr>
        <w:t>Other than various operating leases, we have no other material off-balance sheet arrangements. Refer to the sub-section entitled “Off-Balance Sheet Arrangements” under the section entitled “Liquidity and Capital Resources” presented in the MD&amp;A of our 2012 Form 10-K for additional information regarding our operating leases.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Material Commitments</w:t>
      </w:r>
    </w:p>
    <w:p>
      <w:pPr>
        <w:spacing w:after="0" w:line="249" w:lineRule="exact"/>
        <w:rPr>
          <w:sz w:val="20"/>
          <w:szCs w:val="20"/>
          <w:color w:val="auto"/>
        </w:rPr>
      </w:pPr>
    </w:p>
    <w:p>
      <w:pPr>
        <w:jc w:val="both"/>
        <w:ind w:right="20" w:firstLine="620"/>
        <w:spacing w:after="0" w:line="266" w:lineRule="auto"/>
        <w:rPr>
          <w:sz w:val="20"/>
          <w:szCs w:val="20"/>
          <w:color w:val="auto"/>
        </w:rPr>
      </w:pPr>
      <w:r>
        <w:rPr>
          <w:rFonts w:ascii="Arial" w:cs="Arial" w:eastAsia="Arial" w:hAnsi="Arial"/>
          <w:sz w:val="17"/>
          <w:szCs w:val="17"/>
          <w:color w:val="auto"/>
        </w:rPr>
        <w:t>There have been no material changes in our material commitments other than in the ordinary course of business since the end of 2012. Refer to the sub-section entitled “Material Commitments” under the section entitled “Liquidity and Capital Resources” presented in the MD&amp;A of our 2012 Form 10-K for additional information regarding our material commitments.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Recent Accounting Pronouncements Adopted and Not Yet Adopted</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See Note 1 to the accompanying Condensed Consolidated Financial Statements for a discussion of recent accounting guidance adopted and not yet adopted. None of the accounting guidance discussed in Note 1 either had or is expected to have a significant impact on our consolidated financial position or results of operations.</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Critical Accounting Estimates</w:t>
      </w:r>
    </w:p>
    <w:p>
      <w:pPr>
        <w:spacing w:after="0" w:line="249" w:lineRule="exact"/>
        <w:rPr>
          <w:sz w:val="20"/>
          <w:szCs w:val="20"/>
          <w:color w:val="auto"/>
        </w:rPr>
      </w:pPr>
    </w:p>
    <w:p>
      <w:pPr>
        <w:jc w:val="both"/>
        <w:ind w:right="20" w:firstLine="620"/>
        <w:spacing w:after="0" w:line="278" w:lineRule="auto"/>
        <w:rPr>
          <w:sz w:val="20"/>
          <w:szCs w:val="20"/>
          <w:color w:val="auto"/>
        </w:rPr>
      </w:pPr>
      <w:r>
        <w:rPr>
          <w:rFonts w:ascii="Arial" w:cs="Arial" w:eastAsia="Arial" w:hAnsi="Arial"/>
          <w:sz w:val="16"/>
          <w:szCs w:val="16"/>
          <w:color w:val="auto"/>
        </w:rPr>
        <w:t>We prepare our Consolidated Financial Statements in conformity with GAAP. The preparation of these financial statements requires us to make estimates and assumptions about future events and apply judgments that affect the reported amounts of assets, liabilities, revenue, expenses and related disclosures. We base our estimates and judgments on historical experience, current trends, outside advice from parties believed to be experts in such matters and on various other assumptions that are believed to be reasonable under the circumstances, the results of which form the basis for making judgments about the carrying value of assets and liabilities that are not readily apparent from other sources. However, because future events and their effects cannot be determined with certainty, actual results could differ from those assumptions and estimates, and such differences could be material.</w:t>
      </w:r>
    </w:p>
    <w:p>
      <w:pPr>
        <w:spacing w:after="0" w:line="193" w:lineRule="exact"/>
        <w:rPr>
          <w:sz w:val="20"/>
          <w:szCs w:val="20"/>
          <w:color w:val="auto"/>
        </w:rPr>
      </w:pPr>
    </w:p>
    <w:p>
      <w:pPr>
        <w:jc w:val="both"/>
        <w:ind w:right="20" w:firstLine="620"/>
        <w:spacing w:after="0" w:line="266" w:lineRule="auto"/>
        <w:rPr>
          <w:sz w:val="20"/>
          <w:szCs w:val="20"/>
          <w:color w:val="auto"/>
        </w:rPr>
      </w:pPr>
      <w:r>
        <w:rPr>
          <w:rFonts w:ascii="Arial" w:cs="Arial" w:eastAsia="Arial" w:hAnsi="Arial"/>
          <w:sz w:val="17"/>
          <w:szCs w:val="17"/>
          <w:color w:val="auto"/>
        </w:rPr>
        <w:t>Our significant accounting policies are discussed in Note 2 to the Consolidated Financial Statements contained in the 2012 Form 10-K. Judgments and uncertainties affecting the application of those policies may result in materially different amounts being reported under different conditions or using different assumptions.</w:t>
      </w: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3" w:name="page24"/>
    <w:bookmarkEnd w:id="23"/>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ind w:left="620"/>
        <w:spacing w:after="0"/>
        <w:rPr>
          <w:sz w:val="20"/>
          <w:szCs w:val="20"/>
          <w:color w:val="auto"/>
        </w:rPr>
      </w:pPr>
      <w:r>
        <w:rPr>
          <w:rFonts w:ascii="Arial" w:cs="Arial" w:eastAsia="Arial" w:hAnsi="Arial"/>
          <w:sz w:val="17"/>
          <w:szCs w:val="17"/>
          <w:color w:val="auto"/>
        </w:rPr>
        <w:t>Critical accounting estimates are those that:</w:t>
      </w:r>
    </w:p>
    <w:p>
      <w:pPr>
        <w:spacing w:after="0" w:line="243" w:lineRule="exact"/>
        <w:rPr>
          <w:sz w:val="20"/>
          <w:szCs w:val="20"/>
          <w:color w:val="auto"/>
        </w:rPr>
      </w:pPr>
    </w:p>
    <w:p>
      <w:pPr>
        <w:ind w:left="940" w:hanging="304"/>
        <w:spacing w:after="0"/>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management believes are most important to the accurate portrayal of both our financial condition and operating results, and</w:t>
      </w:r>
    </w:p>
    <w:p>
      <w:pPr>
        <w:spacing w:after="0" w:line="21" w:lineRule="exact"/>
        <w:rPr>
          <w:rFonts w:ascii="Arial" w:cs="Arial" w:eastAsia="Arial" w:hAnsi="Arial"/>
          <w:sz w:val="17"/>
          <w:szCs w:val="17"/>
          <w:color w:val="auto"/>
        </w:rPr>
      </w:pPr>
    </w:p>
    <w:p>
      <w:pPr>
        <w:ind w:left="940" w:hanging="304"/>
        <w:spacing w:after="0" w:line="267" w:lineRule="auto"/>
        <w:tabs>
          <w:tab w:leader="none" w:pos="9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require management’s most difficult, subjective or complex judgments, often as a result of the need to make estimates about the effect of matters that are inherently uncertain.</w:t>
      </w:r>
    </w:p>
    <w:p>
      <w:pPr>
        <w:spacing w:after="0" w:line="200"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We consider the following accounting estimates to be most critical in understanding the judgments that are involved in preparing our Consolidated Financial Statements:</w:t>
      </w:r>
    </w:p>
    <w:p>
      <w:pPr>
        <w:spacing w:after="0" w:line="189" w:lineRule="exact"/>
        <w:rPr>
          <w:sz w:val="20"/>
          <w:szCs w:val="20"/>
          <w:color w:val="auto"/>
        </w:rPr>
      </w:pPr>
    </w:p>
    <w:p>
      <w:pPr>
        <w:ind w:left="940" w:hanging="30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Impairment of Long-Lived Assets and Provision for Asset Dispositions</w:t>
      </w:r>
    </w:p>
    <w:p>
      <w:pPr>
        <w:spacing w:after="0" w:line="21" w:lineRule="exact"/>
        <w:rPr>
          <w:rFonts w:ascii="Arial" w:cs="Arial" w:eastAsia="Arial" w:hAnsi="Arial"/>
          <w:sz w:val="17"/>
          <w:szCs w:val="17"/>
          <w:color w:val="auto"/>
        </w:rPr>
      </w:pPr>
    </w:p>
    <w:p>
      <w:pPr>
        <w:ind w:left="940" w:hanging="30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Insurance Reserves</w:t>
      </w:r>
    </w:p>
    <w:p>
      <w:pPr>
        <w:spacing w:after="0" w:line="11" w:lineRule="exact"/>
        <w:rPr>
          <w:rFonts w:ascii="Arial" w:cs="Arial" w:eastAsia="Arial" w:hAnsi="Arial"/>
          <w:sz w:val="17"/>
          <w:szCs w:val="17"/>
          <w:color w:val="auto"/>
        </w:rPr>
      </w:pPr>
    </w:p>
    <w:p>
      <w:pPr>
        <w:ind w:left="940" w:hanging="30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Retail Inventory Valuation</w:t>
      </w:r>
    </w:p>
    <w:p>
      <w:pPr>
        <w:spacing w:after="0" w:line="11" w:lineRule="exact"/>
        <w:rPr>
          <w:rFonts w:ascii="Arial" w:cs="Arial" w:eastAsia="Arial" w:hAnsi="Arial"/>
          <w:sz w:val="17"/>
          <w:szCs w:val="17"/>
          <w:color w:val="auto"/>
        </w:rPr>
      </w:pPr>
    </w:p>
    <w:p>
      <w:pPr>
        <w:ind w:left="940" w:hanging="30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Tax Provision</w:t>
      </w:r>
    </w:p>
    <w:p>
      <w:pPr>
        <w:spacing w:after="0" w:line="11" w:lineRule="exact"/>
        <w:rPr>
          <w:rFonts w:ascii="Arial" w:cs="Arial" w:eastAsia="Arial" w:hAnsi="Arial"/>
          <w:sz w:val="17"/>
          <w:szCs w:val="17"/>
          <w:color w:val="auto"/>
        </w:rPr>
      </w:pPr>
    </w:p>
    <w:p>
      <w:pPr>
        <w:ind w:left="940" w:hanging="304"/>
        <w:spacing w:after="0"/>
        <w:tabs>
          <w:tab w:leader="none" w:pos="9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Share-Based Compensation</w:t>
      </w:r>
    </w:p>
    <w:p>
      <w:pPr>
        <w:spacing w:after="0" w:line="233" w:lineRule="exact"/>
        <w:rPr>
          <w:sz w:val="20"/>
          <w:szCs w:val="20"/>
          <w:color w:val="auto"/>
        </w:rPr>
      </w:pPr>
    </w:p>
    <w:p>
      <w:pPr>
        <w:spacing w:after="0"/>
        <w:rPr>
          <w:sz w:val="20"/>
          <w:szCs w:val="20"/>
          <w:color w:val="auto"/>
        </w:rPr>
      </w:pPr>
      <w:r>
        <w:rPr>
          <w:rFonts w:ascii="Arial" w:cs="Arial" w:eastAsia="Arial" w:hAnsi="Arial"/>
          <w:sz w:val="17"/>
          <w:szCs w:val="17"/>
          <w:color w:val="auto"/>
        </w:rPr>
        <w:t>Management has reviewed these critical accounting estimates and related disclosures with the Audit Committee of our Board of Directors.</w:t>
      </w:r>
    </w:p>
    <w:p>
      <w:pPr>
        <w:spacing w:after="0" w:line="23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Impairment of Long-Lived Assets and Provision for Asset Dispositions</w:t>
      </w:r>
    </w:p>
    <w:p>
      <w:pPr>
        <w:spacing w:after="0" w:line="249" w:lineRule="exact"/>
        <w:rPr>
          <w:sz w:val="20"/>
          <w:szCs w:val="20"/>
          <w:color w:val="auto"/>
        </w:rPr>
      </w:pPr>
    </w:p>
    <w:p>
      <w:pPr>
        <w:jc w:val="both"/>
        <w:ind w:firstLine="620"/>
        <w:spacing w:after="0" w:line="276" w:lineRule="auto"/>
        <w:rPr>
          <w:sz w:val="20"/>
          <w:szCs w:val="20"/>
          <w:color w:val="auto"/>
        </w:rPr>
      </w:pPr>
      <w:r>
        <w:rPr>
          <w:rFonts w:ascii="Arial" w:cs="Arial" w:eastAsia="Arial" w:hAnsi="Arial"/>
          <w:sz w:val="16"/>
          <w:szCs w:val="16"/>
          <w:color w:val="auto"/>
        </w:rPr>
        <w:t>We assess the impairment of long-lived assets whenever events or changes in circumstances indicate that the carrying value of an asset may not be recoverable. Recoverability of assets is measured by comparing the carrying value of the asset to the undiscounted future cash flows expected to be generated by the asset. If the total expected future cash flows are less than the carrying amount of the asset, the carrying value is written down, for an asset to be held and used, to the estimated fair value or, for an asset to be disposed of, to the fair value, net of estimated costs of disposal. Any loss resulting from impairment is recognized by a charge to income. Judgments and estimates that we make related to the expected useful lives of long-lived assets and future cash flows are affected by factors such as changes in economic conditions and changes in operating performance. The accuracy of such provisions can vary materially from original estimates and management regularly monitors the adequacy of the provisions until final disposition occurs.</w:t>
      </w:r>
    </w:p>
    <w:p>
      <w:pPr>
        <w:spacing w:after="0" w:line="197"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We have not made any material changes in our methodology for assessing impairments during the first nine months of 2013, and we do not believe that there is a reasonable likelihood that there will be a material change in the estimates or assumptions used by us in the future to assess impairment of long-lived assets. However, if actual results are not consistent with our estimates and assumptions used in estimating future cash flows and fair values of long-lived assets, we may be exposed to losses that could be material.</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Insurance Reserves</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We self-insure a significant portion of our expected workers’ compensation and general liability insurance programs. We purchase insurance for individual workers’ compensation claims that exceed $250, $500 or $1,000 depending on the state in which the claim originates. We purchase insurance for individual general liability claims that exceed $500.</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We record a reserve for workers’ compensation and general liability for all unresolved claims and for an estimate of incurred but not reported (“IBNR”) claims. These reserves and estimates of IBNR claims are based upon a full scope actuarial study which is performed annually at the end of our third quarter and is adjusted by the actuarially determined losses and actual claims payments for the fourth quarter. Additionally, we perform limited scope actuarial studies on a quarterly basis to verify and/or modify our reserves. The reserves and losses in the actuarial study represent a range of possible outcomes within which no given estimate is more likely than any other estimate. As such, we record the losses in the lower end of that range and discount them to present value using a risk-free interest rate based on projected timing of payments.</w:t>
      </w:r>
    </w:p>
    <w:p>
      <w:pPr>
        <w:spacing w:after="0" w:line="210" w:lineRule="exact"/>
        <w:rPr>
          <w:sz w:val="20"/>
          <w:szCs w:val="20"/>
          <w:color w:val="auto"/>
        </w:rPr>
      </w:pPr>
    </w:p>
    <w:p>
      <w:pPr>
        <w:jc w:val="both"/>
        <w:ind w:firstLine="620"/>
        <w:spacing w:after="0" w:line="308" w:lineRule="auto"/>
        <w:rPr>
          <w:sz w:val="20"/>
          <w:szCs w:val="20"/>
          <w:color w:val="auto"/>
        </w:rPr>
      </w:pPr>
      <w:r>
        <w:rPr>
          <w:rFonts w:ascii="Arial" w:cs="Arial" w:eastAsia="Arial" w:hAnsi="Arial"/>
          <w:sz w:val="15"/>
          <w:szCs w:val="15"/>
          <w:color w:val="auto"/>
        </w:rPr>
        <w:t>A significant portion of our health insurance program is self-insured. Benefits for any individual (employee or dependents) in the self-insured group health program are limited to not more than $20 in any given plan year and, in certain cases, to not more than $8 in any given year. We record a liability for the self-insured portion of our group health program for all unpaid claims based upon a loss development analysis derived from actual group health claims payment experience. The fully-insured portion of our health insurance program contains a retrospective feature which could increase or decrease premiums based on actual claims experience.</w:t>
      </w:r>
    </w:p>
    <w:p>
      <w:pPr>
        <w:spacing w:after="0" w:line="173"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Our accounting policies regarding workers’ compensation, general insurance and health insurance reserves include certain actuarial assumptions and management judgments regarding economic conditions, the frequency and severity of claims and claim development history and settlement practices. We have not made any material changes in the accounting methodology used to establish our insurance reserves during the first nine months of 2013 and do not believe there is a reasonable likelihood that there will be a material change in the estimates or assumptions used to calculate the insurance reserves. However, changes in these actuarial assumptions, management judgments or claims experience in the future may produce materially different amounts of expense that would be reported under these insurance programs.</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Retail Inventory Valuation</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Cost of goods sold includes the cost of retail merchandise sold at our stores utilizing the retail inventory method (“RIM”). Under RIM, the valuation of our retail inventories at cost and the resulting gross margins are calculated by applying a cost-to-retail ratio to the retail value of our inventories. Inherent in the RIM calculation are certain significant management judgments and estimates, including initial markons, markups, markdowns and shrinkage, which may significantly impact the gross margin calculation as well as the ending inventory valuation.</w:t>
      </w:r>
    </w:p>
    <w:p>
      <w:pPr>
        <w:spacing w:after="0" w:line="205" w:lineRule="exact"/>
        <w:rPr>
          <w:sz w:val="20"/>
          <w:szCs w:val="20"/>
          <w:color w:val="auto"/>
        </w:rPr>
      </w:pPr>
    </w:p>
    <w:p>
      <w:pPr>
        <w:jc w:val="both"/>
        <w:ind w:firstLine="620"/>
        <w:spacing w:after="0" w:line="278" w:lineRule="auto"/>
        <w:rPr>
          <w:sz w:val="20"/>
          <w:szCs w:val="20"/>
          <w:color w:val="auto"/>
        </w:rPr>
      </w:pPr>
      <w:r>
        <w:rPr>
          <w:rFonts w:ascii="Arial" w:cs="Arial" w:eastAsia="Arial" w:hAnsi="Arial"/>
          <w:sz w:val="16"/>
          <w:szCs w:val="16"/>
          <w:color w:val="auto"/>
        </w:rPr>
        <w:t>Inventory valuation provisions are included for retail inventory obsolescence and retail inventory shrinkage. Retail inventory is reviewed on a quarterly basis for obsolescence and adjusted as appropriate based on assumptions made by management and judgments regarding inventory aging and future promotional activities. Cost of goods sold includes an estimate of shrinkage that is adjusted upon physical inventory counts. Annual physical inventory counts are conducted throughout the third and fourth quarters based upon a cyclical inventory schedule. During both quarters ended May 3, 2013 and April 27, 2012, we recorded actual shrinkage resulting from physical inventory counts for approximately 40% of our stores. An estimate of shrinkage is recorded for the time period between physical inventory counts by using a three-year average of the physical inventories’ results on a store-by-store basis.</w:t>
      </w:r>
    </w:p>
    <w:p>
      <w:pPr>
        <w:spacing w:after="0" w:line="193"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We have not made any material changes in the methodologies, estimates or assumptions related to our merchandise inventories during the first nine months of 2013 and do not believe there is a reasonable likelihood that there will be a material change in the estimates or assumptions in the future. However, actual obsolescence or shrinkage recorded may produce materially different amounts than we have estimated.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Tax Provision</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We must make estimates of certain items that comprise our income tax provision. These estimates include effective state and local income tax rates, employer tax credits for items such as FICA taxes paid on employee tip income, Work Opportunity and Welfare to Work credits, as well as estimates related to certain depreciation and capitalization policies. Our estimates are made based on current tax laws, the best available information at the time of the provision and historical experience.</w:t>
      </w:r>
    </w:p>
    <w:p>
      <w:pPr>
        <w:spacing w:after="0" w:line="205"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We recognize (or derecognize) a tax position taken or expected to be taken in a tax return in the financial statements when it is more likely than not (i.e., a likelihood of more than fifty percent) that the position would be sustained (or not sustained) upon examination by tax authorities. A recognized tax position is then measured at the largest amount of benefit that is greater than fifty percent likely of being realized upon ultimate settlement.</w:t>
      </w:r>
    </w:p>
    <w:p>
      <w:pPr>
        <w:spacing w:after="0" w:line="183"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6"/>
          <w:szCs w:val="16"/>
          <w:color w:val="auto"/>
        </w:rPr>
        <w:t>We file our income tax returns many months after our year end. These returns are subject to audit by various federal and state governments years after the returns are filed and could be subject to differing interpretations of the tax laws. We then must assess the likelihood of successful legal proceedings or reach a settlement with the relevant taxing authority. Although we believe that the judgments and estimates used in establishing our tax provision are reasonable, an unsuccessful legal proceeding or a settlement could result in material adjustments to our Consolidated Financial Statements and our consolidated financial position (see Note 15 to our Consolidated Financial Statements contained in the 2012 Form 10-K for additional information).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Share-Based Compensation</w:t>
      </w:r>
    </w:p>
    <w:p>
      <w:pPr>
        <w:spacing w:after="0" w:line="24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Our share-based compensation consists of nonvested stock awards, performance-based market stock units (“MSU Grants”) and stock options. Share-based compensation expense is recognized based on the grant date fair value and the achievement of performance conditions for certain awards. We recognize share-based compensation expense on a straight-line basis over the requisite service period, which is generally the award’s vesting period, or the date on which retirement is achieved, if shorter.</w:t>
      </w:r>
    </w:p>
    <w:p>
      <w:pPr>
        <w:spacing w:after="0" w:line="205" w:lineRule="exact"/>
        <w:rPr>
          <w:sz w:val="20"/>
          <w:szCs w:val="20"/>
          <w:color w:val="auto"/>
        </w:rPr>
      </w:pPr>
    </w:p>
    <w:p>
      <w:pPr>
        <w:jc w:val="both"/>
        <w:ind w:firstLine="620"/>
        <w:spacing w:after="0" w:line="260" w:lineRule="auto"/>
        <w:rPr>
          <w:sz w:val="20"/>
          <w:szCs w:val="20"/>
          <w:color w:val="auto"/>
        </w:rPr>
      </w:pPr>
      <w:r>
        <w:rPr>
          <w:rFonts w:ascii="Arial" w:cs="Arial" w:eastAsia="Arial" w:hAnsi="Arial"/>
          <w:sz w:val="17"/>
          <w:szCs w:val="17"/>
          <w:color w:val="auto"/>
        </w:rPr>
        <w:t>Compensation expense is recognized for only the portion of our share-based compensation awards that are expected to vest. Therefore, an estimated forfeiture rate is derived from historical employee termination behavior and is updated annually. The forfeiture rate is applied on a straight-line basis over the service (vesting) period for each separately vesting portion of the award as if the award were, in substance, multiple awards. We update the estimated forfeiture rate to actual at each reporting period and adjust compensation expense accordingly so that the amount of compensation expense recognized at any date is at least equal to the portion of the grant-date value of the award that is vested at that date.</w:t>
      </w:r>
    </w:p>
    <w:p>
      <w:pPr>
        <w:spacing w:after="0" w:line="206" w:lineRule="exact"/>
        <w:rPr>
          <w:sz w:val="20"/>
          <w:szCs w:val="20"/>
          <w:color w:val="auto"/>
        </w:rPr>
      </w:pPr>
    </w:p>
    <w:p>
      <w:pPr>
        <w:jc w:val="both"/>
        <w:ind w:firstLine="620"/>
        <w:spacing w:after="0" w:line="258" w:lineRule="auto"/>
        <w:rPr>
          <w:sz w:val="20"/>
          <w:szCs w:val="20"/>
          <w:color w:val="auto"/>
        </w:rPr>
      </w:pPr>
      <w:r>
        <w:rPr>
          <w:rFonts w:ascii="Arial" w:cs="Arial" w:eastAsia="Arial" w:hAnsi="Arial"/>
          <w:sz w:val="17"/>
          <w:szCs w:val="17"/>
          <w:color w:val="auto"/>
        </w:rPr>
        <w:t>Our nonvested stock awards are time vested except for awards under our long-term incentive plans, which also contain performance conditions. At each reporting period, we reassess the probability of achieving the performance conditions under our long-term incentive plans. Determining whether the performance conditions will be achieved involves judgment, and the estimate of expense for nonvested stock awards may be revised periodically based on changes in our determination of the probability of achieving the performance conditions. Revisions are reflected in the period in which the estimate is changed. If any performance conditions are not met, no shares will be granted, no compensation will ultimately be recognized and, to the extent previously recognized, compensation expense will be reversed.</w:t>
      </w:r>
    </w:p>
    <w:p>
      <w:pPr>
        <w:spacing w:after="0" w:line="210" w:lineRule="exact"/>
        <w:rPr>
          <w:sz w:val="20"/>
          <w:szCs w:val="20"/>
          <w:color w:val="auto"/>
        </w:rPr>
      </w:pPr>
    </w:p>
    <w:p>
      <w:pPr>
        <w:jc w:val="both"/>
        <w:ind w:firstLine="620"/>
        <w:spacing w:after="0" w:line="280" w:lineRule="auto"/>
        <w:rPr>
          <w:sz w:val="20"/>
          <w:szCs w:val="20"/>
          <w:color w:val="auto"/>
        </w:rPr>
      </w:pPr>
      <w:r>
        <w:rPr>
          <w:rFonts w:ascii="Arial" w:cs="Arial" w:eastAsia="Arial" w:hAnsi="Arial"/>
          <w:sz w:val="17"/>
          <w:szCs w:val="17"/>
          <w:color w:val="auto"/>
        </w:rPr>
        <w:t>Generally, the fair value of each nonvested stock grant is equal to the market price of our common stock at the date of grant reduced by the present value of expected dividends to be paid prior to the vesting period, discounted using an appropriate risk-free interest rate.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jc w:val="both"/>
        <w:ind w:right="20" w:firstLine="620"/>
        <w:spacing w:after="0" w:line="257" w:lineRule="auto"/>
        <w:rPr>
          <w:sz w:val="20"/>
          <w:szCs w:val="20"/>
          <w:color w:val="auto"/>
        </w:rPr>
      </w:pPr>
      <w:r>
        <w:rPr>
          <w:rFonts w:ascii="Arial" w:cs="Arial" w:eastAsia="Arial" w:hAnsi="Arial"/>
          <w:sz w:val="17"/>
          <w:szCs w:val="17"/>
          <w:color w:val="auto"/>
        </w:rPr>
        <w:t>Beginning in 2011, we adopted annual long-term incentive plans that award MSU Grants to our executives instead of stock options. In addition to providing the requisite service, MSU Grants contain both a market condition based on total shareholder return and a performance condition based on operating income. Total shareholder return is defined as increases in our stock price plus dividends paid during the performance period. The number of shares awarded at the end of the performance period for each MSU Grant may increase up to 150% of target in direct proportion to any percentage increase in shareholder value during the performance period. The probability of the actual shares expected to be awarded is considered in the grant date valuation; therefore, the expense will not be adjusted to reflect the actual units awarded. However, if the performance condition is not met, no shares will be granted, no compensation will ultimately be recognized and, to the extent previously recognized, compensation expense will be reversed.</w:t>
      </w:r>
    </w:p>
    <w:p>
      <w:pPr>
        <w:spacing w:after="0" w:line="212" w:lineRule="exact"/>
        <w:rPr>
          <w:sz w:val="20"/>
          <w:szCs w:val="20"/>
          <w:color w:val="auto"/>
        </w:rPr>
      </w:pPr>
    </w:p>
    <w:p>
      <w:pPr>
        <w:jc w:val="both"/>
        <w:ind w:firstLine="620"/>
        <w:spacing w:after="0" w:line="291" w:lineRule="auto"/>
        <w:rPr>
          <w:sz w:val="20"/>
          <w:szCs w:val="20"/>
          <w:color w:val="auto"/>
        </w:rPr>
      </w:pPr>
      <w:r>
        <w:rPr>
          <w:rFonts w:ascii="Arial" w:cs="Arial" w:eastAsia="Arial" w:hAnsi="Arial"/>
          <w:sz w:val="16"/>
          <w:szCs w:val="16"/>
          <w:color w:val="auto"/>
        </w:rPr>
        <w:t>The fair value of our MSU Grants was determined using the Monte-Carlo simulation model, which simulates a range of possible future stock prices and estimates the probabilities of the potential payouts. The Monte-Carlo simulation model uses the average prices for the 60-consecutive calendar days beginning 30 days prior to and ending 30 days after the first business day of the performance period. This model also incorporates the following ranges of assumptions:</w:t>
      </w:r>
    </w:p>
    <w:p>
      <w:pPr>
        <w:spacing w:after="0" w:line="183" w:lineRule="exact"/>
        <w:rPr>
          <w:sz w:val="20"/>
          <w:szCs w:val="20"/>
          <w:color w:val="auto"/>
        </w:rPr>
      </w:pPr>
    </w:p>
    <w:p>
      <w:pPr>
        <w:ind w:left="620" w:hanging="307"/>
        <w:spacing w:after="0" w:line="260" w:lineRule="auto"/>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expected volatility is a blend of implied volatility based on market-traded options on our stock and historical volatility of our stock over the period commensurate with the three-year performance period.</w:t>
      </w:r>
    </w:p>
    <w:p>
      <w:pPr>
        <w:ind w:left="620" w:hanging="307"/>
        <w:spacing w:after="0"/>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risk-free interest rate is based on the U.S. Treasury rate assumption commensurate with the three-year performance period.</w:t>
      </w:r>
    </w:p>
    <w:p>
      <w:pPr>
        <w:spacing w:after="0" w:line="11" w:lineRule="exact"/>
        <w:rPr>
          <w:rFonts w:ascii="Arial" w:cs="Arial" w:eastAsia="Arial" w:hAnsi="Arial"/>
          <w:sz w:val="17"/>
          <w:szCs w:val="17"/>
          <w:color w:val="auto"/>
        </w:rPr>
      </w:pPr>
    </w:p>
    <w:p>
      <w:pPr>
        <w:ind w:left="620" w:hanging="307"/>
        <w:spacing w:after="0" w:line="267" w:lineRule="auto"/>
        <w:tabs>
          <w:tab w:leader="none" w:pos="62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expected dividend yield is based on our current dividend yield as the best estimate of projected dividend yield for periods within the three-year performance period.</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color w:val="auto"/>
        </w:rPr>
        <w:t>We update the historical and implied components of the expected volatility assumption when new grants are made.</w:t>
      </w:r>
    </w:p>
    <w:p>
      <w:pPr>
        <w:spacing w:after="0" w:line="243" w:lineRule="exact"/>
        <w:rPr>
          <w:sz w:val="20"/>
          <w:szCs w:val="20"/>
          <w:color w:val="auto"/>
        </w:rPr>
      </w:pPr>
    </w:p>
    <w:p>
      <w:pPr>
        <w:jc w:val="both"/>
        <w:ind w:firstLine="620"/>
        <w:spacing w:after="0" w:line="278" w:lineRule="auto"/>
        <w:rPr>
          <w:sz w:val="20"/>
          <w:szCs w:val="20"/>
          <w:color w:val="auto"/>
        </w:rPr>
      </w:pPr>
      <w:r>
        <w:rPr>
          <w:rFonts w:ascii="Arial" w:cs="Arial" w:eastAsia="Arial" w:hAnsi="Arial"/>
          <w:sz w:val="16"/>
          <w:szCs w:val="16"/>
          <w:color w:val="auto"/>
        </w:rPr>
        <w:t>The fair value of our stock options was estimated on the date of grant using a binomial lattice-based option valuation model. This model incorporates several key assumptions, including expected volatility, risk-free rate of return, expected dividend yield and the option’s expected life. Additionally, we use historical data to estimate option exercise and employee termination, and these assumptions are updated annually. The expected volatility, option exercise and termination assumptions involve management’s best estimates at that time, all of which affect the fair value of the option calculated by the binomial lattice-based option valuation model and, ultimately, the expense that will be recognized over the life of the option. The expected life is a by-product of the lattice model and is updated when new grants are made. No stock options were granted in 2012 or in the first nine months of 2013.</w:t>
      </w:r>
    </w:p>
    <w:p>
      <w:pPr>
        <w:spacing w:after="0" w:line="193"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We have not made any material changes in our estimates or assumptions used to determine share-based compensation during the first nine months of 2013 and do not believe there is a reasonable likelihood that there will be a material change in the future estimates or assumptions used to determine share-based compensation expense. However, if actual results are not consistent with our estimates or assumptions, we may be exposed to changes in share-based compensation expense that could be material.</w:t>
      </w: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ITEM</w:t>
      </w:r>
      <w:r>
        <w:rPr>
          <w:sz w:val="20"/>
          <w:szCs w:val="20"/>
          <w:color w:val="auto"/>
        </w:rPr>
        <w:tab/>
      </w:r>
      <w:r>
        <w:rPr>
          <w:rFonts w:ascii="Arial" w:cs="Arial" w:eastAsia="Arial" w:hAnsi="Arial"/>
          <w:sz w:val="15"/>
          <w:szCs w:val="15"/>
          <w:b w:val="1"/>
          <w:bCs w:val="1"/>
          <w:color w:val="auto"/>
        </w:rPr>
        <w:t>Quantitative and Qualitative Disclosures About Market Risk</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w:t>
      </w:r>
    </w:p>
    <w:p>
      <w:pPr>
        <w:spacing w:after="0" w:line="233" w:lineRule="exact"/>
        <w:rPr>
          <w:sz w:val="20"/>
          <w:szCs w:val="20"/>
          <w:color w:val="auto"/>
        </w:rPr>
      </w:pPr>
    </w:p>
    <w:p>
      <w:pPr>
        <w:jc w:val="both"/>
        <w:ind w:right="20" w:firstLine="620"/>
        <w:spacing w:after="0" w:line="280" w:lineRule="auto"/>
        <w:rPr>
          <w:sz w:val="20"/>
          <w:szCs w:val="20"/>
          <w:color w:val="auto"/>
        </w:rPr>
      </w:pPr>
      <w:r>
        <w:rPr>
          <w:rFonts w:ascii="Arial" w:cs="Arial" w:eastAsia="Arial" w:hAnsi="Arial"/>
          <w:sz w:val="17"/>
          <w:szCs w:val="17"/>
          <w:color w:val="auto"/>
        </w:rPr>
        <w:t>Part II, Item 7A of the 2012 Form 10-K is incorporated in this item of this Quarterly Report on Form 10-Q by this reference. There have been no material changes in our quantitative and qualitative market risks since August 3, 2012.</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ITEM</w:t>
      </w:r>
      <w:r>
        <w:rPr>
          <w:sz w:val="20"/>
          <w:szCs w:val="20"/>
          <w:color w:val="auto"/>
        </w:rPr>
        <w:tab/>
      </w:r>
      <w:r>
        <w:rPr>
          <w:rFonts w:ascii="Arial" w:cs="Arial" w:eastAsia="Arial" w:hAnsi="Arial"/>
          <w:sz w:val="15"/>
          <w:szCs w:val="15"/>
          <w:b w:val="1"/>
          <w:bCs w:val="1"/>
          <w:color w:val="auto"/>
        </w:rPr>
        <w:t>Controls and Procedures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w:t>
      </w:r>
    </w:p>
    <w:p>
      <w:pPr>
        <w:spacing w:after="0" w:line="233" w:lineRule="exact"/>
        <w:rPr>
          <w:sz w:val="20"/>
          <w:szCs w:val="20"/>
          <w:color w:val="auto"/>
        </w:rPr>
      </w:pPr>
    </w:p>
    <w:p>
      <w:pPr>
        <w:jc w:val="both"/>
        <w:ind w:right="20" w:firstLine="620"/>
        <w:spacing w:after="0" w:line="262" w:lineRule="auto"/>
        <w:rPr>
          <w:sz w:val="20"/>
          <w:szCs w:val="20"/>
          <w:color w:val="auto"/>
        </w:rPr>
      </w:pPr>
      <w:r>
        <w:rPr>
          <w:rFonts w:ascii="Arial" w:cs="Arial" w:eastAsia="Arial" w:hAnsi="Arial"/>
          <w:sz w:val="17"/>
          <w:szCs w:val="17"/>
          <w:color w:val="auto"/>
        </w:rPr>
        <w:t>Our management, including our principal executive and principal financial officers, evaluated the effectiveness of our disclosure controls and procedures (as defined in Rules 13a-15(e) and 15d-15(e) promulgated under the Exchange Act) as of the end of the period covered by this report. Based upon this evaluation, our Chief Executive Officer and Chief Financial Officer each concluded that as of May 3, 2013, our disclosure controls and procedures were effective for the purposes set forth in the definition thereof in Exchange Act Rule 13a-15(e).</w:t>
      </w:r>
    </w:p>
    <w:p>
      <w:pPr>
        <w:spacing w:after="0" w:line="205"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There have been no changes (including corrective actions with regard to significant deficiencies and material weaknesses) during the quarter ended May 3, 2013 in our internal control over financial reporting (as defined in Exchange Act Rule 13a-15(f)) that have materially affected, or are reasonably likely to materially affect, our internal control over financial reporting.</w:t>
      </w:r>
    </w:p>
    <w:p>
      <w:pPr>
        <w:spacing w:after="0" w:line="338" w:lineRule="exact"/>
        <w:rPr>
          <w:sz w:val="20"/>
          <w:szCs w:val="20"/>
          <w:color w:val="auto"/>
        </w:rPr>
      </w:pPr>
    </w:p>
    <w:p>
      <w:pPr>
        <w:jc w:val="center"/>
        <w:ind w:right="20"/>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40"/>
          </w:cols>
          <w:pgMar w:left="240" w:top="121" w:right="219" w:bottom="1440" w:gutter="0" w:footer="0" w:header="0"/>
        </w:sectPr>
      </w:pPr>
    </w:p>
    <w:bookmarkStart w:id="28" w:name="page29"/>
    <w:bookmarkEnd w:id="28"/>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II – OTHER INFORMATION</w:t>
      </w:r>
    </w:p>
    <w:p>
      <w:pPr>
        <w:spacing w:after="0" w:line="24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ITEM</w:t>
      </w:r>
      <w:r>
        <w:rPr>
          <w:sz w:val="20"/>
          <w:szCs w:val="20"/>
          <w:color w:val="auto"/>
        </w:rPr>
        <w:tab/>
      </w:r>
      <w:r>
        <w:rPr>
          <w:rFonts w:ascii="Arial" w:cs="Arial" w:eastAsia="Arial" w:hAnsi="Arial"/>
          <w:sz w:val="15"/>
          <w:szCs w:val="15"/>
          <w:b w:val="1"/>
          <w:bCs w:val="1"/>
          <w:color w:val="auto"/>
        </w:rPr>
        <w:t>Legal Proceedings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w:t>
      </w:r>
    </w:p>
    <w:p>
      <w:pPr>
        <w:spacing w:after="0" w:line="233" w:lineRule="exact"/>
        <w:rPr>
          <w:sz w:val="20"/>
          <w:szCs w:val="20"/>
          <w:color w:val="auto"/>
        </w:rPr>
      </w:pPr>
    </w:p>
    <w:p>
      <w:pPr>
        <w:ind w:firstLine="620"/>
        <w:spacing w:after="0" w:line="280" w:lineRule="auto"/>
        <w:rPr>
          <w:sz w:val="20"/>
          <w:szCs w:val="20"/>
          <w:color w:val="auto"/>
        </w:rPr>
      </w:pPr>
      <w:r>
        <w:rPr>
          <w:rFonts w:ascii="Arial" w:cs="Arial" w:eastAsia="Arial" w:hAnsi="Arial"/>
          <w:sz w:val="17"/>
          <w:szCs w:val="17"/>
          <w:color w:val="auto"/>
        </w:rPr>
        <w:t>Part II, Item 1 of our Quarterly Report on Form 10-Q for the quarter ended February 1, 2013 is incorporated in this item of this Quarterly Report on Form 10-Q by this reference.</w:t>
      </w:r>
    </w:p>
    <w:p>
      <w:pPr>
        <w:spacing w:after="0" w:line="18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49" w:lineRule="exact"/>
        <w:rPr>
          <w:sz w:val="20"/>
          <w:szCs w:val="20"/>
          <w:color w:val="auto"/>
        </w:rPr>
      </w:pPr>
    </w:p>
    <w:p>
      <w:pPr>
        <w:ind w:firstLine="310"/>
        <w:spacing w:after="0" w:line="280" w:lineRule="auto"/>
        <w:rPr>
          <w:sz w:val="20"/>
          <w:szCs w:val="20"/>
          <w:color w:val="auto"/>
        </w:rPr>
      </w:pPr>
      <w:r>
        <w:rPr>
          <w:rFonts w:ascii="Arial" w:cs="Arial" w:eastAsia="Arial" w:hAnsi="Arial"/>
          <w:sz w:val="17"/>
          <w:szCs w:val="17"/>
          <w:color w:val="auto"/>
        </w:rPr>
        <w:t>There have been no material changes in the risk factors previously disclosed in “Item 1A. Risk Factors” of our 2012 Form 10-K and our Quarterly Report on Form 10-Q for the quarter ended November 2, 2012.</w:t>
      </w:r>
    </w:p>
    <w:p>
      <w:pPr>
        <w:spacing w:after="0" w:line="183"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ITEM</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Unregistered Sales of Equity Securities</w:t>
      </w:r>
    </w:p>
    <w:p>
      <w:pPr>
        <w:spacing w:after="0" w:line="243" w:lineRule="exact"/>
        <w:rPr>
          <w:sz w:val="20"/>
          <w:szCs w:val="20"/>
          <w:color w:val="auto"/>
        </w:rPr>
      </w:pPr>
    </w:p>
    <w:p>
      <w:pPr>
        <w:ind w:left="620" w:right="20"/>
        <w:spacing w:after="0" w:line="280" w:lineRule="auto"/>
        <w:rPr>
          <w:sz w:val="20"/>
          <w:szCs w:val="20"/>
          <w:color w:val="auto"/>
        </w:rPr>
      </w:pPr>
      <w:r>
        <w:rPr>
          <w:rFonts w:ascii="Arial" w:cs="Arial" w:eastAsia="Arial" w:hAnsi="Arial"/>
          <w:sz w:val="17"/>
          <w:szCs w:val="17"/>
          <w:color w:val="auto"/>
        </w:rPr>
        <w:t>There were no equity securities sold by the Company during the period covered by this Form 10-Q that were not registered under the Securities Act of 1933, as amended.</w:t>
      </w:r>
    </w:p>
    <w:p>
      <w:pPr>
        <w:spacing w:after="0" w:line="163" w:lineRule="exact"/>
        <w:rPr>
          <w:sz w:val="20"/>
          <w:szCs w:val="20"/>
          <w:color w:val="auto"/>
        </w:rPr>
      </w:pPr>
    </w:p>
    <w:p>
      <w:pPr>
        <w:ind w:left="620"/>
        <w:spacing w:after="0"/>
        <w:rPr>
          <w:sz w:val="20"/>
          <w:szCs w:val="20"/>
          <w:color w:val="auto"/>
        </w:rPr>
      </w:pPr>
      <w:r>
        <w:rPr>
          <w:rFonts w:ascii="Arial" w:cs="Arial" w:eastAsia="Arial" w:hAnsi="Arial"/>
          <w:sz w:val="17"/>
          <w:szCs w:val="17"/>
          <w:u w:val="single" w:color="auto"/>
          <w:color w:val="auto"/>
        </w:rPr>
        <w:t>Issuer Purchases of Equity Securities</w:t>
      </w:r>
    </w:p>
    <w:p>
      <w:pPr>
        <w:spacing w:after="0" w:line="243" w:lineRule="exact"/>
        <w:rPr>
          <w:sz w:val="20"/>
          <w:szCs w:val="20"/>
          <w:color w:val="auto"/>
        </w:rPr>
      </w:pPr>
    </w:p>
    <w:p>
      <w:pPr>
        <w:ind w:left="620"/>
        <w:spacing w:after="0" w:line="280" w:lineRule="auto"/>
        <w:rPr>
          <w:sz w:val="20"/>
          <w:szCs w:val="20"/>
          <w:color w:val="auto"/>
        </w:rPr>
      </w:pPr>
      <w:r>
        <w:rPr>
          <w:rFonts w:ascii="Arial" w:cs="Arial" w:eastAsia="Arial" w:hAnsi="Arial"/>
          <w:sz w:val="17"/>
          <w:szCs w:val="17"/>
          <w:color w:val="auto"/>
        </w:rPr>
        <w:t>The following table sets forth information with respect to purchases of shares of the Company’s common stock made during the quarter ended May 3, 2013 by or on behalf of the Company or any “affiliated purchaser,” as defined by Rule 10b-18(a)(3) of the Exchange Act:</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6"/>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7"/>
                <w:szCs w:val="17"/>
                <w:color w:val="auto"/>
                <w:w w:val="93"/>
              </w:rPr>
              <w:t>Total Number of</w:t>
            </w:r>
          </w:p>
        </w:tc>
        <w:tc>
          <w:tcPr>
            <w:tcW w:w="376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7"/>
                <w:szCs w:val="17"/>
                <w:color w:val="auto"/>
                <w:w w:val="85"/>
              </w:rPr>
              <w:t>Shares</w:t>
            </w:r>
          </w:p>
        </w:tc>
        <w:tc>
          <w:tcPr>
            <w:tcW w:w="376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7"/>
                <w:szCs w:val="17"/>
                <w:color w:val="auto"/>
                <w:w w:val="87"/>
              </w:rPr>
              <w:t>Purchased as Part</w:t>
            </w:r>
          </w:p>
        </w:tc>
        <w:tc>
          <w:tcPr>
            <w:tcW w:w="3760" w:type="dxa"/>
            <w:vAlign w:val="bottom"/>
          </w:tcPr>
          <w:p>
            <w:pPr>
              <w:jc w:val="center"/>
              <w:spacing w:after="0"/>
              <w:rPr>
                <w:sz w:val="20"/>
                <w:szCs w:val="20"/>
                <w:color w:val="auto"/>
              </w:rPr>
            </w:pPr>
            <w:r>
              <w:rPr>
                <w:rFonts w:ascii="Arial" w:cs="Arial" w:eastAsia="Arial" w:hAnsi="Arial"/>
                <w:sz w:val="17"/>
                <w:szCs w:val="17"/>
                <w:color w:val="auto"/>
                <w:w w:val="96"/>
              </w:rPr>
              <w:t>Maximum Number of</w:t>
            </w:r>
          </w:p>
        </w:tc>
      </w:tr>
      <w:tr>
        <w:trPr>
          <w:trHeight w:val="206"/>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7"/>
                <w:szCs w:val="17"/>
                <w:color w:val="auto"/>
                <w:w w:val="93"/>
              </w:rPr>
              <w:t>Total Number</w:t>
            </w:r>
          </w:p>
        </w:tc>
        <w:tc>
          <w:tcPr>
            <w:tcW w:w="120" w:type="dxa"/>
            <w:vAlign w:val="bottom"/>
          </w:tcPr>
          <w:p>
            <w:pPr>
              <w:spacing w:after="0"/>
              <w:rPr>
                <w:sz w:val="17"/>
                <w:szCs w:val="17"/>
                <w:color w:val="auto"/>
              </w:rPr>
            </w:pPr>
          </w:p>
        </w:tc>
        <w:tc>
          <w:tcPr>
            <w:tcW w:w="1120" w:type="dxa"/>
            <w:vAlign w:val="bottom"/>
            <w:gridSpan w:val="2"/>
          </w:tcPr>
          <w:p>
            <w:pPr>
              <w:jc w:val="center"/>
              <w:spacing w:after="0"/>
              <w:rPr>
                <w:sz w:val="20"/>
                <w:szCs w:val="20"/>
                <w:color w:val="auto"/>
              </w:rPr>
            </w:pPr>
            <w:r>
              <w:rPr>
                <w:rFonts w:ascii="Arial" w:cs="Arial" w:eastAsia="Arial" w:hAnsi="Arial"/>
                <w:sz w:val="17"/>
                <w:szCs w:val="17"/>
                <w:color w:val="auto"/>
                <w:w w:val="91"/>
              </w:rPr>
              <w:t>Average Price</w:t>
            </w:r>
          </w:p>
        </w:tc>
        <w:tc>
          <w:tcPr>
            <w:tcW w:w="200" w:type="dxa"/>
            <w:vAlign w:val="bottom"/>
          </w:tcPr>
          <w:p>
            <w:pPr>
              <w:spacing w:after="0"/>
              <w:rPr>
                <w:sz w:val="17"/>
                <w:szCs w:val="17"/>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7"/>
                <w:szCs w:val="17"/>
                <w:color w:val="auto"/>
                <w:w w:val="98"/>
              </w:rPr>
              <w:t>of Publicly</w:t>
            </w:r>
          </w:p>
        </w:tc>
        <w:tc>
          <w:tcPr>
            <w:tcW w:w="3760" w:type="dxa"/>
            <w:vAlign w:val="bottom"/>
          </w:tcPr>
          <w:p>
            <w:pPr>
              <w:jc w:val="center"/>
              <w:spacing w:after="0"/>
              <w:rPr>
                <w:sz w:val="20"/>
                <w:szCs w:val="20"/>
                <w:color w:val="auto"/>
              </w:rPr>
            </w:pPr>
            <w:r>
              <w:rPr>
                <w:rFonts w:ascii="Arial" w:cs="Arial" w:eastAsia="Arial" w:hAnsi="Arial"/>
                <w:sz w:val="17"/>
                <w:szCs w:val="17"/>
                <w:color w:val="auto"/>
                <w:w w:val="91"/>
              </w:rPr>
              <w:t>Shares that May Yet Be</w:t>
            </w:r>
          </w:p>
        </w:tc>
      </w:tr>
      <w:tr>
        <w:trPr>
          <w:trHeight w:val="206"/>
        </w:trPr>
        <w:tc>
          <w:tcPr>
            <w:tcW w:w="2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Arial" w:cs="Arial" w:eastAsia="Arial" w:hAnsi="Arial"/>
                <w:sz w:val="17"/>
                <w:szCs w:val="17"/>
                <w:color w:val="auto"/>
                <w:w w:val="87"/>
              </w:rPr>
              <w:t>of Shares</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94"/>
              <w:spacing w:after="0"/>
              <w:rPr>
                <w:sz w:val="20"/>
                <w:szCs w:val="20"/>
                <w:color w:val="auto"/>
              </w:rPr>
            </w:pPr>
            <w:r>
              <w:rPr>
                <w:rFonts w:ascii="Arial" w:cs="Arial" w:eastAsia="Arial" w:hAnsi="Arial"/>
                <w:sz w:val="17"/>
                <w:szCs w:val="17"/>
                <w:color w:val="auto"/>
                <w:w w:val="88"/>
              </w:rPr>
              <w:t>Paid Per</w:t>
            </w:r>
          </w:p>
        </w:tc>
        <w:tc>
          <w:tcPr>
            <w:tcW w:w="200" w:type="dxa"/>
            <w:vAlign w:val="bottom"/>
          </w:tcPr>
          <w:p>
            <w:pPr>
              <w:spacing w:after="0"/>
              <w:rPr>
                <w:sz w:val="17"/>
                <w:szCs w:val="17"/>
                <w:color w:val="auto"/>
              </w:rPr>
            </w:pPr>
          </w:p>
        </w:tc>
        <w:tc>
          <w:tcPr>
            <w:tcW w:w="1320" w:type="dxa"/>
            <w:vAlign w:val="bottom"/>
            <w:gridSpan w:val="2"/>
          </w:tcPr>
          <w:p>
            <w:pPr>
              <w:jc w:val="center"/>
              <w:ind w:right="100"/>
              <w:spacing w:after="0"/>
              <w:rPr>
                <w:sz w:val="20"/>
                <w:szCs w:val="20"/>
                <w:color w:val="auto"/>
              </w:rPr>
            </w:pPr>
            <w:r>
              <w:rPr>
                <w:rFonts w:ascii="Arial" w:cs="Arial" w:eastAsia="Arial" w:hAnsi="Arial"/>
                <w:sz w:val="17"/>
                <w:szCs w:val="17"/>
                <w:color w:val="auto"/>
                <w:w w:val="91"/>
              </w:rPr>
              <w:t>Announced Plans</w:t>
            </w:r>
          </w:p>
        </w:tc>
        <w:tc>
          <w:tcPr>
            <w:tcW w:w="3760" w:type="dxa"/>
            <w:vAlign w:val="bottom"/>
          </w:tcPr>
          <w:p>
            <w:pPr>
              <w:jc w:val="center"/>
              <w:spacing w:after="0"/>
              <w:rPr>
                <w:sz w:val="20"/>
                <w:szCs w:val="20"/>
                <w:color w:val="auto"/>
              </w:rPr>
            </w:pPr>
            <w:r>
              <w:rPr>
                <w:rFonts w:ascii="Arial" w:cs="Arial" w:eastAsia="Arial" w:hAnsi="Arial"/>
                <w:sz w:val="17"/>
                <w:szCs w:val="17"/>
                <w:color w:val="auto"/>
                <w:w w:val="89"/>
              </w:rPr>
              <w:t>Purchased Under the</w:t>
            </w:r>
          </w:p>
        </w:tc>
      </w:tr>
      <w:tr>
        <w:trPr>
          <w:trHeight w:val="225"/>
        </w:trPr>
        <w:tc>
          <w:tcPr>
            <w:tcW w:w="20" w:type="dxa"/>
            <w:vAlign w:val="bottom"/>
          </w:tcPr>
          <w:p>
            <w:pPr>
              <w:spacing w:after="0"/>
              <w:rPr>
                <w:sz w:val="19"/>
                <w:szCs w:val="19"/>
                <w:color w:val="auto"/>
              </w:rPr>
            </w:pPr>
          </w:p>
        </w:tc>
        <w:tc>
          <w:tcPr>
            <w:tcW w:w="3540" w:type="dxa"/>
            <w:vAlign w:val="bottom"/>
          </w:tcPr>
          <w:p>
            <w:pPr>
              <w:ind w:left="1540"/>
              <w:spacing w:after="0"/>
              <w:rPr>
                <w:sz w:val="20"/>
                <w:szCs w:val="20"/>
                <w:color w:val="auto"/>
              </w:rPr>
            </w:pPr>
            <w:r>
              <w:rPr>
                <w:rFonts w:ascii="Arial" w:cs="Arial" w:eastAsia="Arial" w:hAnsi="Arial"/>
                <w:sz w:val="17"/>
                <w:szCs w:val="17"/>
                <w:color w:val="auto"/>
              </w:rPr>
              <w:t>Period</w:t>
            </w:r>
          </w:p>
        </w:tc>
        <w:tc>
          <w:tcPr>
            <w:tcW w:w="100" w:type="dxa"/>
            <w:vAlign w:val="bottom"/>
          </w:tcPr>
          <w:p>
            <w:pPr>
              <w:spacing w:after="0"/>
              <w:rPr>
                <w:sz w:val="19"/>
                <w:szCs w:val="19"/>
                <w:color w:val="auto"/>
              </w:rPr>
            </w:pPr>
          </w:p>
        </w:tc>
        <w:tc>
          <w:tcPr>
            <w:tcW w:w="1240" w:type="dxa"/>
            <w:vAlign w:val="bottom"/>
            <w:gridSpan w:val="2"/>
          </w:tcPr>
          <w:p>
            <w:pPr>
              <w:jc w:val="center"/>
              <w:ind w:right="100"/>
              <w:spacing w:after="0"/>
              <w:rPr>
                <w:sz w:val="20"/>
                <w:szCs w:val="20"/>
                <w:color w:val="auto"/>
              </w:rPr>
            </w:pPr>
            <w:r>
              <w:rPr>
                <w:rFonts w:ascii="Arial" w:cs="Arial" w:eastAsia="Arial" w:hAnsi="Arial"/>
                <w:sz w:val="17"/>
                <w:szCs w:val="17"/>
                <w:color w:val="auto"/>
                <w:w w:val="86"/>
              </w:rPr>
              <w:t>Purchased</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jc w:val="center"/>
              <w:ind w:right="94"/>
              <w:spacing w:after="0"/>
              <w:rPr>
                <w:sz w:val="20"/>
                <w:szCs w:val="20"/>
                <w:color w:val="auto"/>
              </w:rPr>
            </w:pPr>
            <w:r>
              <w:rPr>
                <w:rFonts w:ascii="Arial" w:cs="Arial" w:eastAsia="Arial" w:hAnsi="Arial"/>
                <w:sz w:val="17"/>
                <w:szCs w:val="17"/>
                <w:color w:val="auto"/>
                <w:w w:val="87"/>
              </w:rPr>
              <w:t>Share (1)</w:t>
            </w:r>
          </w:p>
        </w:tc>
        <w:tc>
          <w:tcPr>
            <w:tcW w:w="200" w:type="dxa"/>
            <w:vAlign w:val="bottom"/>
          </w:tcPr>
          <w:p>
            <w:pPr>
              <w:spacing w:after="0"/>
              <w:rPr>
                <w:sz w:val="19"/>
                <w:szCs w:val="19"/>
                <w:color w:val="auto"/>
              </w:rPr>
            </w:pPr>
          </w:p>
        </w:tc>
        <w:tc>
          <w:tcPr>
            <w:tcW w:w="1320" w:type="dxa"/>
            <w:vAlign w:val="bottom"/>
            <w:gridSpan w:val="2"/>
          </w:tcPr>
          <w:p>
            <w:pPr>
              <w:jc w:val="center"/>
              <w:ind w:right="120"/>
              <w:spacing w:after="0"/>
              <w:rPr>
                <w:sz w:val="20"/>
                <w:szCs w:val="20"/>
                <w:color w:val="auto"/>
              </w:rPr>
            </w:pPr>
            <w:r>
              <w:rPr>
                <w:rFonts w:ascii="Arial" w:cs="Arial" w:eastAsia="Arial" w:hAnsi="Arial"/>
                <w:sz w:val="17"/>
                <w:szCs w:val="17"/>
                <w:color w:val="auto"/>
                <w:w w:val="89"/>
              </w:rPr>
              <w:t>or Programs</w:t>
            </w:r>
          </w:p>
        </w:tc>
        <w:tc>
          <w:tcPr>
            <w:tcW w:w="3760" w:type="dxa"/>
            <w:vAlign w:val="bottom"/>
          </w:tcPr>
          <w:p>
            <w:pPr>
              <w:jc w:val="center"/>
              <w:spacing w:after="0"/>
              <w:rPr>
                <w:sz w:val="20"/>
                <w:szCs w:val="20"/>
                <w:color w:val="auto"/>
              </w:rPr>
            </w:pPr>
            <w:r>
              <w:rPr>
                <w:rFonts w:ascii="Arial" w:cs="Arial" w:eastAsia="Arial" w:hAnsi="Arial"/>
                <w:sz w:val="17"/>
                <w:szCs w:val="17"/>
                <w:color w:val="auto"/>
                <w:w w:val="90"/>
              </w:rPr>
              <w:t>Plans or Programs</w:t>
            </w:r>
          </w:p>
        </w:tc>
      </w:tr>
      <w:tr>
        <w:trPr>
          <w:trHeight w:val="206"/>
        </w:trPr>
        <w:tc>
          <w:tcPr>
            <w:tcW w:w="20" w:type="dxa"/>
            <w:vAlign w:val="bottom"/>
          </w:tcPr>
          <w:p>
            <w:pPr>
              <w:spacing w:after="0"/>
              <w:rPr>
                <w:sz w:val="17"/>
                <w:szCs w:val="17"/>
                <w:color w:val="auto"/>
              </w:rPr>
            </w:pPr>
          </w:p>
        </w:tc>
        <w:tc>
          <w:tcPr>
            <w:tcW w:w="3540" w:type="dxa"/>
            <w:vAlign w:val="bottom"/>
            <w:tcBorders>
              <w:top w:val="single" w:sz="8" w:color="auto"/>
            </w:tcBorders>
          </w:tcPr>
          <w:p>
            <w:pPr>
              <w:spacing w:after="0"/>
              <w:rPr>
                <w:sz w:val="20"/>
                <w:szCs w:val="20"/>
                <w:color w:val="auto"/>
              </w:rPr>
            </w:pPr>
            <w:r>
              <w:rPr>
                <w:rFonts w:ascii="Arial" w:cs="Arial" w:eastAsia="Arial" w:hAnsi="Arial"/>
                <w:sz w:val="17"/>
                <w:szCs w:val="17"/>
                <w:color w:val="auto"/>
              </w:rPr>
              <w:t>2/2/13 – 3/1/13</w:t>
            </w:r>
          </w:p>
        </w:tc>
        <w:tc>
          <w:tcPr>
            <w:tcW w:w="100" w:type="dxa"/>
            <w:vAlign w:val="bottom"/>
          </w:tcPr>
          <w:p>
            <w:pPr>
              <w:spacing w:after="0"/>
              <w:rPr>
                <w:sz w:val="17"/>
                <w:szCs w:val="17"/>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200" w:type="dxa"/>
            <w:vAlign w:val="bottom"/>
          </w:tcPr>
          <w:p>
            <w:pPr>
              <w:spacing w:after="0"/>
              <w:rPr>
                <w:sz w:val="17"/>
                <w:szCs w:val="17"/>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100" w:type="dxa"/>
            <w:vAlign w:val="bottom"/>
          </w:tcPr>
          <w:p>
            <w:pPr>
              <w:spacing w:after="0"/>
              <w:rPr>
                <w:sz w:val="17"/>
                <w:szCs w:val="17"/>
                <w:color w:val="auto"/>
              </w:rPr>
            </w:pPr>
          </w:p>
        </w:tc>
        <w:tc>
          <w:tcPr>
            <w:tcW w:w="3760" w:type="dxa"/>
            <w:vAlign w:val="bottom"/>
            <w:tcBorders>
              <w:top w:val="single" w:sz="8" w:color="auto"/>
            </w:tcBorders>
          </w:tcPr>
          <w:p>
            <w:pPr>
              <w:jc w:val="center"/>
              <w:spacing w:after="0"/>
              <w:rPr>
                <w:sz w:val="20"/>
                <w:szCs w:val="20"/>
                <w:color w:val="auto"/>
              </w:rPr>
            </w:pPr>
            <w:r>
              <w:rPr>
                <w:rFonts w:ascii="Arial" w:cs="Arial" w:eastAsia="Arial" w:hAnsi="Arial"/>
                <w:sz w:val="17"/>
                <w:szCs w:val="17"/>
                <w:color w:val="auto"/>
                <w:w w:val="92"/>
              </w:rPr>
              <w:t>Indeterminate (2)</w:t>
            </w:r>
          </w:p>
        </w:tc>
      </w:tr>
      <w:tr>
        <w:trPr>
          <w:trHeight w:val="206"/>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3/2/13 – 3/29/13</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31,800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80.75</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31,800</w:t>
            </w:r>
          </w:p>
        </w:tc>
        <w:tc>
          <w:tcPr>
            <w:tcW w:w="3760" w:type="dxa"/>
            <w:vAlign w:val="bottom"/>
            <w:shd w:val="clear" w:color="auto" w:fill="CCEEFF"/>
          </w:tcPr>
          <w:p>
            <w:pPr>
              <w:jc w:val="center"/>
              <w:spacing w:after="0"/>
              <w:rPr>
                <w:sz w:val="20"/>
                <w:szCs w:val="20"/>
                <w:color w:val="auto"/>
              </w:rPr>
            </w:pPr>
            <w:r>
              <w:rPr>
                <w:rFonts w:ascii="Arial" w:cs="Arial" w:eastAsia="Arial" w:hAnsi="Arial"/>
                <w:sz w:val="17"/>
                <w:szCs w:val="17"/>
                <w:color w:val="auto"/>
                <w:w w:val="92"/>
              </w:rPr>
              <w:t>Indeterminate (2)</w:t>
            </w:r>
          </w:p>
        </w:tc>
      </w:tr>
      <w:tr>
        <w:trPr>
          <w:trHeight w:val="206"/>
        </w:trPr>
        <w:tc>
          <w:tcPr>
            <w:tcW w:w="20" w:type="dxa"/>
            <w:vAlign w:val="bottom"/>
          </w:tcPr>
          <w:p>
            <w:pPr>
              <w:spacing w:after="0"/>
              <w:rPr>
                <w:sz w:val="17"/>
                <w:szCs w:val="17"/>
                <w:color w:val="auto"/>
              </w:rPr>
            </w:pPr>
          </w:p>
        </w:tc>
        <w:tc>
          <w:tcPr>
            <w:tcW w:w="3540" w:type="dxa"/>
            <w:vAlign w:val="bottom"/>
          </w:tcPr>
          <w:p>
            <w:pPr>
              <w:spacing w:after="0"/>
              <w:rPr>
                <w:sz w:val="20"/>
                <w:szCs w:val="20"/>
                <w:color w:val="auto"/>
              </w:rPr>
            </w:pPr>
            <w:r>
              <w:rPr>
                <w:rFonts w:ascii="Arial" w:cs="Arial" w:eastAsia="Arial" w:hAnsi="Arial"/>
                <w:sz w:val="17"/>
                <w:szCs w:val="17"/>
                <w:color w:val="auto"/>
              </w:rPr>
              <w:t>3/30/13 – 5/3/13</w:t>
            </w:r>
          </w:p>
        </w:tc>
        <w:tc>
          <w:tcPr>
            <w:tcW w:w="1340" w:type="dxa"/>
            <w:vAlign w:val="bottom"/>
            <w:gridSpan w:val="3"/>
          </w:tcPr>
          <w:p>
            <w:pPr>
              <w:jc w:val="right"/>
              <w:ind w:right="100"/>
              <w:spacing w:after="0"/>
              <w:rPr>
                <w:sz w:val="20"/>
                <w:szCs w:val="20"/>
                <w:color w:val="auto"/>
              </w:rPr>
            </w:pPr>
            <w:r>
              <w:rPr>
                <w:rFonts w:ascii="Arial" w:cs="Arial" w:eastAsia="Arial" w:hAnsi="Arial"/>
                <w:sz w:val="17"/>
                <w:szCs w:val="17"/>
                <w:color w:val="auto"/>
              </w:rPr>
              <w:t>12,500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60" w:type="dxa"/>
            <w:vAlign w:val="bottom"/>
          </w:tcPr>
          <w:p>
            <w:pPr>
              <w:jc w:val="right"/>
              <w:spacing w:after="0"/>
              <w:rPr>
                <w:sz w:val="20"/>
                <w:szCs w:val="20"/>
                <w:color w:val="auto"/>
              </w:rPr>
            </w:pPr>
            <w:r>
              <w:rPr>
                <w:rFonts w:ascii="Arial" w:cs="Arial" w:eastAsia="Arial" w:hAnsi="Arial"/>
                <w:sz w:val="17"/>
                <w:szCs w:val="17"/>
                <w:color w:val="auto"/>
              </w:rPr>
              <w:t>80.14</w:t>
            </w:r>
          </w:p>
        </w:tc>
        <w:tc>
          <w:tcPr>
            <w:tcW w:w="1520" w:type="dxa"/>
            <w:vAlign w:val="bottom"/>
            <w:gridSpan w:val="3"/>
          </w:tcPr>
          <w:p>
            <w:pPr>
              <w:jc w:val="right"/>
              <w:ind w:right="100"/>
              <w:spacing w:after="0"/>
              <w:rPr>
                <w:sz w:val="20"/>
                <w:szCs w:val="20"/>
                <w:color w:val="auto"/>
              </w:rPr>
            </w:pPr>
            <w:r>
              <w:rPr>
                <w:rFonts w:ascii="Arial" w:cs="Arial" w:eastAsia="Arial" w:hAnsi="Arial"/>
                <w:sz w:val="17"/>
                <w:szCs w:val="17"/>
                <w:color w:val="auto"/>
              </w:rPr>
              <w:t>12,500</w:t>
            </w:r>
          </w:p>
        </w:tc>
        <w:tc>
          <w:tcPr>
            <w:tcW w:w="3760" w:type="dxa"/>
            <w:vAlign w:val="bottom"/>
          </w:tcPr>
          <w:p>
            <w:pPr>
              <w:jc w:val="center"/>
              <w:spacing w:after="0"/>
              <w:rPr>
                <w:sz w:val="20"/>
                <w:szCs w:val="20"/>
                <w:color w:val="auto"/>
              </w:rPr>
            </w:pPr>
            <w:r>
              <w:rPr>
                <w:rFonts w:ascii="Arial" w:cs="Arial" w:eastAsia="Arial" w:hAnsi="Arial"/>
                <w:sz w:val="17"/>
                <w:szCs w:val="17"/>
                <w:color w:val="auto"/>
                <w:w w:val="92"/>
              </w:rPr>
              <w:t>Indeterminate (2)</w:t>
            </w:r>
          </w:p>
        </w:tc>
      </w:tr>
      <w:tr>
        <w:trPr>
          <w:trHeight w:val="206"/>
        </w:trPr>
        <w:tc>
          <w:tcPr>
            <w:tcW w:w="20" w:type="dxa"/>
            <w:vAlign w:val="bottom"/>
          </w:tcPr>
          <w:p>
            <w:pPr>
              <w:spacing w:after="0"/>
              <w:rPr>
                <w:sz w:val="17"/>
                <w:szCs w:val="17"/>
                <w:color w:val="auto"/>
              </w:rPr>
            </w:pPr>
          </w:p>
        </w:tc>
        <w:tc>
          <w:tcPr>
            <w:tcW w:w="3540" w:type="dxa"/>
            <w:vAlign w:val="bottom"/>
            <w:shd w:val="clear" w:color="auto" w:fill="CCEEFF"/>
          </w:tcPr>
          <w:p>
            <w:pPr>
              <w:spacing w:after="0"/>
              <w:rPr>
                <w:sz w:val="20"/>
                <w:szCs w:val="20"/>
                <w:color w:val="auto"/>
              </w:rPr>
            </w:pPr>
            <w:r>
              <w:rPr>
                <w:rFonts w:ascii="Arial" w:cs="Arial" w:eastAsia="Arial" w:hAnsi="Arial"/>
                <w:sz w:val="17"/>
                <w:szCs w:val="17"/>
                <w:color w:val="auto"/>
              </w:rPr>
              <w:t>Total for the quarter</w:t>
            </w:r>
          </w:p>
        </w:tc>
        <w:tc>
          <w:tcPr>
            <w:tcW w:w="134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44,300</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80.58</w:t>
            </w:r>
          </w:p>
        </w:tc>
        <w:tc>
          <w:tcPr>
            <w:tcW w:w="1520" w:type="dxa"/>
            <w:vAlign w:val="bottom"/>
            <w:gridSpan w:val="3"/>
            <w:shd w:val="clear" w:color="auto" w:fill="CCEEFF"/>
          </w:tcPr>
          <w:p>
            <w:pPr>
              <w:jc w:val="right"/>
              <w:ind w:right="100"/>
              <w:spacing w:after="0"/>
              <w:rPr>
                <w:sz w:val="20"/>
                <w:szCs w:val="20"/>
                <w:color w:val="auto"/>
              </w:rPr>
            </w:pPr>
            <w:r>
              <w:rPr>
                <w:rFonts w:ascii="Arial" w:cs="Arial" w:eastAsia="Arial" w:hAnsi="Arial"/>
                <w:sz w:val="17"/>
                <w:szCs w:val="17"/>
                <w:color w:val="auto"/>
              </w:rPr>
              <w:t>44,300</w:t>
            </w:r>
          </w:p>
        </w:tc>
        <w:tc>
          <w:tcPr>
            <w:tcW w:w="3760" w:type="dxa"/>
            <w:vAlign w:val="bottom"/>
            <w:shd w:val="clear" w:color="auto" w:fill="CCEEFF"/>
          </w:tcPr>
          <w:p>
            <w:pPr>
              <w:ind w:left="1260"/>
              <w:spacing w:after="0"/>
              <w:rPr>
                <w:sz w:val="20"/>
                <w:szCs w:val="20"/>
                <w:color w:val="auto"/>
              </w:rPr>
            </w:pPr>
            <w:r>
              <w:rPr>
                <w:rFonts w:ascii="Arial" w:cs="Arial" w:eastAsia="Arial" w:hAnsi="Arial"/>
                <w:sz w:val="17"/>
                <w:szCs w:val="17"/>
                <w:color w:val="auto"/>
              </w:rPr>
              <w:t>Indeterminate (2)</w:t>
            </w:r>
          </w:p>
        </w:tc>
      </w:tr>
    </w:tbl>
    <w:p>
      <w:pPr>
        <w:spacing w:after="0" w:line="220" w:lineRule="exact"/>
        <w:rPr>
          <w:sz w:val="20"/>
          <w:szCs w:val="20"/>
          <w:color w:val="auto"/>
        </w:rPr>
      </w:pPr>
    </w:p>
    <w:p>
      <w:pPr>
        <w:ind w:left="1700" w:hanging="303"/>
        <w:spacing w:after="0"/>
        <w:tabs>
          <w:tab w:leader="none" w:pos="1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Average price paid per share is calculated on a settlement basis and includes commissions and fees.</w:t>
      </w:r>
    </w:p>
    <w:p>
      <w:pPr>
        <w:spacing w:after="0" w:line="21" w:lineRule="exact"/>
        <w:rPr>
          <w:rFonts w:ascii="Arial" w:cs="Arial" w:eastAsia="Arial" w:hAnsi="Arial"/>
          <w:sz w:val="17"/>
          <w:szCs w:val="17"/>
          <w:color w:val="auto"/>
        </w:rPr>
      </w:pPr>
    </w:p>
    <w:p>
      <w:pPr>
        <w:jc w:val="both"/>
        <w:ind w:left="1700" w:hanging="303"/>
        <w:spacing w:after="0" w:line="260" w:lineRule="auto"/>
        <w:tabs>
          <w:tab w:leader="none" w:pos="1700" w:val="left"/>
        </w:tabs>
        <w:numPr>
          <w:ilvl w:val="0"/>
          <w:numId w:val="18"/>
        </w:numPr>
        <w:rPr>
          <w:rFonts w:ascii="Arial" w:cs="Arial" w:eastAsia="Arial" w:hAnsi="Arial"/>
          <w:sz w:val="17"/>
          <w:szCs w:val="17"/>
          <w:color w:val="auto"/>
        </w:rPr>
      </w:pPr>
      <w:r>
        <w:rPr>
          <w:rFonts w:ascii="Arial" w:cs="Arial" w:eastAsia="Arial" w:hAnsi="Arial"/>
          <w:sz w:val="17"/>
          <w:szCs w:val="17"/>
          <w:color w:val="auto"/>
        </w:rPr>
        <w:t>Subject to a maximum amount of $100,000 and the limits imposed by our Credit Facility, we have been authorized by our Board of Directors, on September 19, 2012, to repurchase shares during 2013. See Note 7 to our Consolidated Financial Statements contained in the 2012 Form 10-K.</w:t>
      </w:r>
    </w:p>
    <w:p>
      <w:pPr>
        <w:spacing w:after="0" w:line="200" w:lineRule="exact"/>
        <w:rPr>
          <w:sz w:val="20"/>
          <w:szCs w:val="20"/>
          <w:color w:val="auto"/>
        </w:rPr>
      </w:pPr>
    </w:p>
    <w:p>
      <w:pPr>
        <w:spacing w:after="0"/>
        <w:tabs>
          <w:tab w:leader="none" w:pos="600" w:val="left"/>
        </w:tabs>
        <w:rPr>
          <w:sz w:val="20"/>
          <w:szCs w:val="20"/>
          <w:color w:val="auto"/>
        </w:rPr>
      </w:pPr>
      <w:r>
        <w:rPr>
          <w:rFonts w:ascii="Arial" w:cs="Arial" w:eastAsia="Arial" w:hAnsi="Arial"/>
          <w:sz w:val="17"/>
          <w:szCs w:val="17"/>
          <w:b w:val="1"/>
          <w:bCs w:val="1"/>
          <w:color w:val="auto"/>
        </w:rPr>
        <w:t>ITEM</w:t>
      </w:r>
      <w:r>
        <w:rPr>
          <w:sz w:val="20"/>
          <w:szCs w:val="20"/>
          <w:color w:val="auto"/>
        </w:rPr>
        <w:tab/>
      </w:r>
      <w:r>
        <w:rPr>
          <w:rFonts w:ascii="Arial" w:cs="Arial" w:eastAsia="Arial" w:hAnsi="Arial"/>
          <w:sz w:val="15"/>
          <w:szCs w:val="15"/>
          <w:b w:val="1"/>
          <w:bCs w:val="1"/>
          <w:color w:val="auto"/>
        </w:rPr>
        <w:t>Exhibits</w:t>
      </w:r>
    </w:p>
    <w:p>
      <w:pPr>
        <w:spacing w:after="0" w:line="2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w:t>
      </w:r>
    </w:p>
    <w:p>
      <w:pPr>
        <w:spacing w:after="0" w:line="233" w:lineRule="exact"/>
        <w:rPr>
          <w:sz w:val="20"/>
          <w:szCs w:val="20"/>
          <w:color w:val="auto"/>
        </w:rPr>
      </w:pPr>
    </w:p>
    <w:p>
      <w:pPr>
        <w:ind w:left="620"/>
        <w:spacing w:after="0"/>
        <w:rPr>
          <w:sz w:val="20"/>
          <w:szCs w:val="20"/>
          <w:color w:val="auto"/>
        </w:rPr>
      </w:pPr>
      <w:r>
        <w:rPr>
          <w:rFonts w:ascii="Arial" w:cs="Arial" w:eastAsia="Arial" w:hAnsi="Arial"/>
          <w:sz w:val="17"/>
          <w:szCs w:val="17"/>
          <w:color w:val="auto"/>
        </w:rPr>
        <w:t>See Exhibit Index immediately following the signature page hereto.</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62865</wp:posOffset>
            </wp:positionV>
            <wp:extent cx="7257415" cy="209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187"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SIGNATURES</w:t>
      </w:r>
    </w:p>
    <w:p>
      <w:pPr>
        <w:spacing w:after="0" w:line="249" w:lineRule="exact"/>
        <w:rPr>
          <w:sz w:val="20"/>
          <w:szCs w:val="20"/>
          <w:color w:val="auto"/>
        </w:rPr>
      </w:pPr>
    </w:p>
    <w:p>
      <w:pPr>
        <w:spacing w:after="0" w:line="280"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200" w:type="dxa"/>
            <w:vAlign w:val="bottom"/>
            <w:gridSpan w:val="5"/>
          </w:tcPr>
          <w:p>
            <w:pPr>
              <w:ind w:left="1940"/>
              <w:spacing w:after="0"/>
              <w:rPr>
                <w:sz w:val="20"/>
                <w:szCs w:val="20"/>
                <w:color w:val="auto"/>
              </w:rPr>
            </w:pPr>
            <w:r>
              <w:rPr>
                <w:rFonts w:ascii="Arial" w:cs="Arial" w:eastAsia="Arial" w:hAnsi="Arial"/>
                <w:sz w:val="17"/>
                <w:szCs w:val="17"/>
                <w:b w:val="1"/>
                <w:bCs w:val="1"/>
                <w:color w:val="auto"/>
              </w:rPr>
              <w:t>CRACKER BARREL OLD COUNTRY STORE, INC.</w:t>
            </w:r>
          </w:p>
        </w:tc>
      </w:tr>
      <w:tr>
        <w:trPr>
          <w:trHeight w:val="376"/>
        </w:trPr>
        <w:tc>
          <w:tcPr>
            <w:tcW w:w="3220" w:type="dxa"/>
            <w:vAlign w:val="bottom"/>
            <w:gridSpan w:val="3"/>
          </w:tcPr>
          <w:p>
            <w:pPr>
              <w:spacing w:after="0"/>
              <w:rPr>
                <w:sz w:val="20"/>
                <w:szCs w:val="20"/>
                <w:color w:val="auto"/>
              </w:rPr>
            </w:pPr>
            <w:r>
              <w:rPr>
                <w:rFonts w:ascii="Arial" w:cs="Arial" w:eastAsia="Arial" w:hAnsi="Arial"/>
                <w:sz w:val="17"/>
                <w:szCs w:val="17"/>
                <w:color w:val="auto"/>
              </w:rPr>
              <w:t>Date: June 3, 2013</w:t>
            </w:r>
          </w:p>
        </w:tc>
        <w:tc>
          <w:tcPr>
            <w:tcW w:w="2300" w:type="dxa"/>
            <w:vAlign w:val="bottom"/>
          </w:tcPr>
          <w:p>
            <w:pPr>
              <w:ind w:left="1940"/>
              <w:spacing w:after="0"/>
              <w:rPr>
                <w:sz w:val="20"/>
                <w:szCs w:val="20"/>
                <w:color w:val="auto"/>
              </w:rPr>
            </w:pPr>
            <w:r>
              <w:rPr>
                <w:rFonts w:ascii="Arial" w:cs="Arial" w:eastAsia="Arial" w:hAnsi="Arial"/>
                <w:sz w:val="17"/>
                <w:szCs w:val="17"/>
                <w:color w:val="auto"/>
              </w:rPr>
              <w:t>By:</w:t>
            </w:r>
          </w:p>
        </w:tc>
        <w:tc>
          <w:tcPr>
            <w:tcW w:w="5900" w:type="dxa"/>
            <w:vAlign w:val="bottom"/>
            <w:gridSpan w:val="4"/>
          </w:tcPr>
          <w:p>
            <w:pPr>
              <w:ind w:left="200"/>
              <w:spacing w:after="0"/>
              <w:rPr>
                <w:sz w:val="20"/>
                <w:szCs w:val="20"/>
                <w:color w:val="auto"/>
              </w:rPr>
            </w:pPr>
            <w:r>
              <w:rPr>
                <w:rFonts w:ascii="Arial" w:cs="Arial" w:eastAsia="Arial" w:hAnsi="Arial"/>
                <w:sz w:val="17"/>
                <w:szCs w:val="17"/>
                <w:color w:val="auto"/>
              </w:rPr>
              <w:t>/s/Lawrence E. Hyatt</w:t>
            </w:r>
          </w:p>
        </w:tc>
      </w:tr>
      <w:tr>
        <w:trPr>
          <w:trHeight w:val="20"/>
        </w:trPr>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13"/>
        </w:trPr>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700" w:type="dxa"/>
            <w:vAlign w:val="bottom"/>
            <w:gridSpan w:val="3"/>
          </w:tcPr>
          <w:p>
            <w:pPr>
              <w:spacing w:after="0"/>
              <w:rPr>
                <w:sz w:val="20"/>
                <w:szCs w:val="20"/>
                <w:color w:val="auto"/>
              </w:rPr>
            </w:pPr>
            <w:r>
              <w:rPr>
                <w:rFonts w:ascii="Arial" w:cs="Arial" w:eastAsia="Arial" w:hAnsi="Arial"/>
                <w:sz w:val="17"/>
                <w:szCs w:val="17"/>
                <w:color w:val="auto"/>
              </w:rPr>
              <w:t>Lawrence E. Hyatt, Senior Vice President and</w:t>
            </w:r>
          </w:p>
        </w:tc>
      </w:tr>
      <w:tr>
        <w:trPr>
          <w:trHeight w:val="217"/>
        </w:trPr>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900" w:type="dxa"/>
            <w:vAlign w:val="bottom"/>
            <w:gridSpan w:val="4"/>
          </w:tcPr>
          <w:p>
            <w:pPr>
              <w:ind w:left="200"/>
              <w:spacing w:after="0"/>
              <w:rPr>
                <w:sz w:val="20"/>
                <w:szCs w:val="20"/>
                <w:color w:val="auto"/>
              </w:rPr>
            </w:pPr>
            <w:r>
              <w:rPr>
                <w:rFonts w:ascii="Arial" w:cs="Arial" w:eastAsia="Arial" w:hAnsi="Arial"/>
                <w:sz w:val="17"/>
                <w:szCs w:val="17"/>
                <w:color w:val="auto"/>
              </w:rPr>
              <w:t>Chief Financial Officer</w:t>
            </w:r>
          </w:p>
        </w:tc>
      </w:tr>
      <w:tr>
        <w:trPr>
          <w:trHeight w:val="376"/>
        </w:trPr>
        <w:tc>
          <w:tcPr>
            <w:tcW w:w="3220" w:type="dxa"/>
            <w:vAlign w:val="bottom"/>
            <w:gridSpan w:val="3"/>
          </w:tcPr>
          <w:p>
            <w:pPr>
              <w:spacing w:after="0"/>
              <w:rPr>
                <w:sz w:val="20"/>
                <w:szCs w:val="20"/>
                <w:color w:val="auto"/>
              </w:rPr>
            </w:pPr>
            <w:r>
              <w:rPr>
                <w:rFonts w:ascii="Arial" w:cs="Arial" w:eastAsia="Arial" w:hAnsi="Arial"/>
                <w:sz w:val="17"/>
                <w:szCs w:val="17"/>
                <w:color w:val="auto"/>
              </w:rPr>
              <w:t>Date: June 3, 2013</w:t>
            </w:r>
          </w:p>
        </w:tc>
        <w:tc>
          <w:tcPr>
            <w:tcW w:w="2300" w:type="dxa"/>
            <w:vAlign w:val="bottom"/>
          </w:tcPr>
          <w:p>
            <w:pPr>
              <w:ind w:left="1940"/>
              <w:spacing w:after="0"/>
              <w:rPr>
                <w:sz w:val="20"/>
                <w:szCs w:val="20"/>
                <w:color w:val="auto"/>
              </w:rPr>
            </w:pPr>
            <w:r>
              <w:rPr>
                <w:rFonts w:ascii="Arial" w:cs="Arial" w:eastAsia="Arial" w:hAnsi="Arial"/>
                <w:sz w:val="17"/>
                <w:szCs w:val="17"/>
                <w:color w:val="auto"/>
              </w:rPr>
              <w:t>By:</w:t>
            </w:r>
          </w:p>
        </w:tc>
        <w:tc>
          <w:tcPr>
            <w:tcW w:w="5900" w:type="dxa"/>
            <w:vAlign w:val="bottom"/>
            <w:gridSpan w:val="4"/>
          </w:tcPr>
          <w:p>
            <w:pPr>
              <w:ind w:left="200"/>
              <w:spacing w:after="0"/>
              <w:rPr>
                <w:sz w:val="20"/>
                <w:szCs w:val="20"/>
                <w:color w:val="auto"/>
              </w:rPr>
            </w:pPr>
            <w:r>
              <w:rPr>
                <w:rFonts w:ascii="Arial" w:cs="Arial" w:eastAsia="Arial" w:hAnsi="Arial"/>
                <w:sz w:val="17"/>
                <w:szCs w:val="17"/>
                <w:color w:val="auto"/>
              </w:rPr>
              <w:t>/s/P. Douglas Couvillion</w:t>
            </w:r>
          </w:p>
        </w:tc>
      </w:tr>
      <w:tr>
        <w:trPr>
          <w:trHeight w:val="20"/>
        </w:trPr>
        <w:tc>
          <w:tcPr>
            <w:tcW w:w="42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gridSpan w:val="2"/>
            <w:shd w:val="clear" w:color="auto" w:fill="000000"/>
          </w:tcPr>
          <w:p>
            <w:pPr>
              <w:spacing w:after="0" w:line="20" w:lineRule="exact"/>
              <w:rPr>
                <w:sz w:val="1"/>
                <w:szCs w:val="1"/>
                <w:color w:val="auto"/>
              </w:rPr>
            </w:pPr>
          </w:p>
        </w:tc>
        <w:tc>
          <w:tcPr>
            <w:tcW w:w="4020" w:type="dxa"/>
            <w:vAlign w:val="bottom"/>
          </w:tcPr>
          <w:p>
            <w:pPr>
              <w:spacing w:after="0" w:line="20" w:lineRule="exact"/>
              <w:rPr>
                <w:sz w:val="1"/>
                <w:szCs w:val="1"/>
                <w:color w:val="auto"/>
              </w:rPr>
            </w:pPr>
          </w:p>
        </w:tc>
      </w:tr>
      <w:tr>
        <w:trPr>
          <w:trHeight w:val="239"/>
        </w:trPr>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700" w:type="dxa"/>
            <w:vAlign w:val="bottom"/>
            <w:gridSpan w:val="3"/>
          </w:tcPr>
          <w:p>
            <w:pPr>
              <w:spacing w:after="0"/>
              <w:rPr>
                <w:sz w:val="20"/>
                <w:szCs w:val="20"/>
                <w:color w:val="auto"/>
              </w:rPr>
            </w:pPr>
            <w:r>
              <w:rPr>
                <w:rFonts w:ascii="Arial" w:cs="Arial" w:eastAsia="Arial" w:hAnsi="Arial"/>
                <w:sz w:val="17"/>
                <w:szCs w:val="17"/>
                <w:color w:val="auto"/>
              </w:rPr>
              <w:t>P. Douglas Couvillion, Vice President, Corporate Controller and</w:t>
            </w:r>
          </w:p>
        </w:tc>
      </w:tr>
      <w:tr>
        <w:trPr>
          <w:trHeight w:val="217"/>
        </w:trPr>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5900" w:type="dxa"/>
            <w:vAlign w:val="bottom"/>
            <w:gridSpan w:val="4"/>
          </w:tcPr>
          <w:p>
            <w:pPr>
              <w:ind w:left="200"/>
              <w:spacing w:after="0"/>
              <w:rPr>
                <w:sz w:val="20"/>
                <w:szCs w:val="20"/>
                <w:color w:val="auto"/>
              </w:rPr>
            </w:pPr>
            <w:r>
              <w:rPr>
                <w:rFonts w:ascii="Arial" w:cs="Arial" w:eastAsia="Arial" w:hAnsi="Arial"/>
                <w:sz w:val="17"/>
                <w:szCs w:val="17"/>
                <w:color w:val="auto"/>
              </w:rPr>
              <w:t>Principal Accounting Officer</w:t>
            </w:r>
          </w:p>
        </w:tc>
      </w:tr>
      <w:tr>
        <w:trPr>
          <w:trHeight w:val="532"/>
        </w:trPr>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1660" w:type="dxa"/>
            <w:vAlign w:val="bottom"/>
            <w:gridSpan w:val="2"/>
          </w:tcPr>
          <w:p>
            <w:pPr>
              <w:jc w:val="right"/>
              <w:ind w:right="1314"/>
              <w:spacing w:after="0"/>
              <w:rPr>
                <w:sz w:val="20"/>
                <w:szCs w:val="20"/>
                <w:color w:val="auto"/>
              </w:rPr>
            </w:pPr>
            <w:r>
              <w:rPr>
                <w:rFonts w:ascii="Arial" w:cs="Arial" w:eastAsia="Arial" w:hAnsi="Arial"/>
                <w:sz w:val="14"/>
                <w:szCs w:val="14"/>
                <w:color w:val="auto"/>
              </w:rPr>
              <w:t>30</w:t>
            </w:r>
          </w:p>
        </w:tc>
        <w:tc>
          <w:tcPr>
            <w:tcW w:w="220" w:type="dxa"/>
            <w:vAlign w:val="bottom"/>
          </w:tcPr>
          <w:p>
            <w:pPr>
              <w:spacing w:after="0"/>
              <w:rPr>
                <w:sz w:val="24"/>
                <w:szCs w:val="24"/>
                <w:color w:val="auto"/>
              </w:rPr>
            </w:pPr>
          </w:p>
        </w:tc>
        <w:tc>
          <w:tcPr>
            <w:tcW w:w="4020" w:type="dxa"/>
            <w:vAlign w:val="bottom"/>
          </w:tcPr>
          <w:p>
            <w:pPr>
              <w:spacing w:after="0"/>
              <w:rPr>
                <w:sz w:val="24"/>
                <w:szCs w:val="24"/>
                <w:color w:val="auto"/>
              </w:rPr>
            </w:pPr>
          </w:p>
        </w:tc>
      </w:tr>
      <w:tr>
        <w:trPr>
          <w:trHeight w:val="98"/>
        </w:trPr>
        <w:tc>
          <w:tcPr>
            <w:tcW w:w="420" w:type="dxa"/>
            <w:vAlign w:val="bottom"/>
            <w:tcBorders>
              <w:bottom w:val="single" w:sz="8" w:color="808080"/>
            </w:tcBorders>
          </w:tcPr>
          <w:p>
            <w:pPr>
              <w:spacing w:after="0"/>
              <w:rPr>
                <w:sz w:val="8"/>
                <w:szCs w:val="8"/>
                <w:color w:val="auto"/>
              </w:rPr>
            </w:pPr>
          </w:p>
        </w:tc>
        <w:tc>
          <w:tcPr>
            <w:tcW w:w="880" w:type="dxa"/>
            <w:vAlign w:val="bottom"/>
            <w:tcBorders>
              <w:bottom w:val="single" w:sz="8" w:color="808080"/>
            </w:tcBorders>
          </w:tcPr>
          <w:p>
            <w:pPr>
              <w:spacing w:after="0"/>
              <w:rPr>
                <w:sz w:val="8"/>
                <w:szCs w:val="8"/>
                <w:color w:val="auto"/>
              </w:rPr>
            </w:pPr>
          </w:p>
        </w:tc>
        <w:tc>
          <w:tcPr>
            <w:tcW w:w="1920" w:type="dxa"/>
            <w:vAlign w:val="bottom"/>
            <w:tcBorders>
              <w:bottom w:val="single" w:sz="8" w:color="808080"/>
            </w:tcBorders>
          </w:tcPr>
          <w:p>
            <w:pPr>
              <w:spacing w:after="0"/>
              <w:rPr>
                <w:sz w:val="8"/>
                <w:szCs w:val="8"/>
                <w:color w:val="auto"/>
              </w:rPr>
            </w:pPr>
          </w:p>
        </w:tc>
        <w:tc>
          <w:tcPr>
            <w:tcW w:w="230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1460" w:type="dxa"/>
            <w:vAlign w:val="bottom"/>
            <w:tcBorders>
              <w:bottom w:val="single" w:sz="8" w:color="808080"/>
            </w:tcBorders>
          </w:tcPr>
          <w:p>
            <w:pPr>
              <w:spacing w:after="0"/>
              <w:rPr>
                <w:sz w:val="8"/>
                <w:szCs w:val="8"/>
                <w:color w:val="auto"/>
              </w:rPr>
            </w:pPr>
          </w:p>
        </w:tc>
        <w:tc>
          <w:tcPr>
            <w:tcW w:w="220" w:type="dxa"/>
            <w:vAlign w:val="bottom"/>
            <w:tcBorders>
              <w:bottom w:val="single" w:sz="8" w:color="808080"/>
            </w:tcBorders>
          </w:tcPr>
          <w:p>
            <w:pPr>
              <w:spacing w:after="0"/>
              <w:rPr>
                <w:sz w:val="8"/>
                <w:szCs w:val="8"/>
                <w:color w:val="auto"/>
              </w:rPr>
            </w:pPr>
          </w:p>
        </w:tc>
        <w:tc>
          <w:tcPr>
            <w:tcW w:w="4020" w:type="dxa"/>
            <w:vAlign w:val="bottom"/>
            <w:tcBorders>
              <w:bottom w:val="single" w:sz="8" w:color="808080"/>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4"/>
          <w:szCs w:val="14"/>
          <w:i w:val="1"/>
          <w:iCs w:val="1"/>
          <w:u w:val="single" w:color="auto"/>
          <w:color w:val="0000EE"/>
        </w:rPr>
      </w:pPr>
      <w:hyperlink w:anchor="page2">
        <w:r>
          <w:rPr>
            <w:rFonts w:ascii="Arial" w:cs="Arial" w:eastAsia="Arial" w:hAnsi="Arial"/>
            <w:sz w:val="14"/>
            <w:szCs w:val="14"/>
            <w:i w:val="1"/>
            <w:iCs w:val="1"/>
            <w:u w:val="single" w:color="auto"/>
            <w:color w:val="0000EE"/>
          </w:rPr>
          <w:t>Index</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7"/>
          <w:szCs w:val="17"/>
          <w:color w:val="auto"/>
        </w:rPr>
        <w:t>INDEX TO EXHIBITS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900" w:type="dxa"/>
            <w:vAlign w:val="bottom"/>
            <w:gridSpan w:val="4"/>
          </w:tcPr>
          <w:p>
            <w:pPr>
              <w:spacing w:after="0"/>
              <w:rPr>
                <w:sz w:val="20"/>
                <w:szCs w:val="20"/>
                <w:color w:val="auto"/>
              </w:rPr>
            </w:pPr>
            <w:r>
              <w:rPr>
                <w:rFonts w:ascii="Arial" w:cs="Arial" w:eastAsia="Arial" w:hAnsi="Arial"/>
                <w:sz w:val="17"/>
                <w:szCs w:val="17"/>
                <w:color w:val="auto"/>
              </w:rPr>
              <w:t>Exhibit</w:t>
            </w:r>
          </w:p>
        </w:tc>
        <w:tc>
          <w:tcPr>
            <w:tcW w:w="10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1"/>
        </w:trPr>
        <w:tc>
          <w:tcPr>
            <w:tcW w:w="20" w:type="dxa"/>
            <w:vAlign w:val="bottom"/>
            <w:vMerge w:val="restart"/>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400" w:type="dxa"/>
            <w:vAlign w:val="bottom"/>
          </w:tcPr>
          <w:p>
            <w:pPr>
              <w:spacing w:after="0"/>
              <w:rPr>
                <w:sz w:val="21"/>
                <w:szCs w:val="21"/>
                <w:color w:val="auto"/>
              </w:rPr>
            </w:pPr>
          </w:p>
        </w:tc>
        <w:tc>
          <w:tcPr>
            <w:tcW w:w="105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48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0000EE"/>
              </w:rPr>
              <w:t>10.</w:t>
            </w:r>
            <w:r>
              <w:rPr>
                <w:rFonts w:ascii="Arial" w:cs="Arial" w:eastAsia="Arial" w:hAnsi="Arial"/>
                <w:sz w:val="17"/>
                <w:szCs w:val="17"/>
                <w:u w:val="single" w:color="auto"/>
                <w:color w:val="0000EE"/>
              </w:rPr>
              <w:t>1</w:t>
            </w:r>
          </w:p>
        </w:tc>
        <w:tc>
          <w:tcPr>
            <w:tcW w:w="400" w:type="dxa"/>
            <w:vAlign w:val="bottom"/>
            <w:shd w:val="clear" w:color="auto" w:fill="CCEEFF"/>
          </w:tcPr>
          <w:p>
            <w:pPr>
              <w:spacing w:after="0"/>
              <w:rPr>
                <w:sz w:val="16"/>
                <w:szCs w:val="16"/>
                <w:color w:val="auto"/>
              </w:rPr>
            </w:pPr>
          </w:p>
        </w:tc>
        <w:tc>
          <w:tcPr>
            <w:tcW w:w="10520" w:type="dxa"/>
            <w:vAlign w:val="bottom"/>
            <w:shd w:val="clear" w:color="auto" w:fill="CCEEFF"/>
          </w:tcPr>
          <w:p>
            <w:pPr>
              <w:ind w:left="260"/>
              <w:spacing w:after="0" w:line="167" w:lineRule="exact"/>
              <w:rPr>
                <w:sz w:val="20"/>
                <w:szCs w:val="20"/>
                <w:color w:val="auto"/>
              </w:rPr>
            </w:pPr>
            <w:r>
              <w:rPr>
                <w:rFonts w:ascii="Arial" w:cs="Arial" w:eastAsia="Arial" w:hAnsi="Arial"/>
                <w:sz w:val="17"/>
                <w:szCs w:val="17"/>
                <w:color w:val="auto"/>
              </w:rPr>
              <w:t>Second Amendment to Credit Agreement dated as of May 31, 2013</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052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48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0000EE"/>
              </w:rPr>
              <w:t>31.</w:t>
            </w:r>
            <w:r>
              <w:rPr>
                <w:rFonts w:ascii="Arial" w:cs="Arial" w:eastAsia="Arial" w:hAnsi="Arial"/>
                <w:sz w:val="17"/>
                <w:szCs w:val="17"/>
                <w:u w:val="single" w:color="auto"/>
                <w:color w:val="0000EE"/>
              </w:rPr>
              <w:t>1</w:t>
            </w:r>
          </w:p>
        </w:tc>
        <w:tc>
          <w:tcPr>
            <w:tcW w:w="400" w:type="dxa"/>
            <w:vAlign w:val="bottom"/>
            <w:shd w:val="clear" w:color="auto" w:fill="CCEEFF"/>
          </w:tcPr>
          <w:p>
            <w:pPr>
              <w:spacing w:after="0"/>
              <w:rPr>
                <w:sz w:val="16"/>
                <w:szCs w:val="16"/>
                <w:color w:val="auto"/>
              </w:rPr>
            </w:pPr>
          </w:p>
        </w:tc>
        <w:tc>
          <w:tcPr>
            <w:tcW w:w="10520" w:type="dxa"/>
            <w:vAlign w:val="bottom"/>
            <w:shd w:val="clear" w:color="auto" w:fill="CCEEFF"/>
          </w:tcPr>
          <w:p>
            <w:pPr>
              <w:ind w:left="260"/>
              <w:spacing w:after="0" w:line="167" w:lineRule="exact"/>
              <w:rPr>
                <w:sz w:val="20"/>
                <w:szCs w:val="20"/>
                <w:color w:val="auto"/>
              </w:rPr>
            </w:pPr>
            <w:r>
              <w:rPr>
                <w:rFonts w:ascii="Arial" w:cs="Arial" w:eastAsia="Arial" w:hAnsi="Arial"/>
                <w:sz w:val="17"/>
                <w:szCs w:val="17"/>
                <w:color w:val="auto"/>
              </w:rPr>
              <w:t>Certification of Chief Executive Officer pursuant to Section 302 of the Sarbanes-Oxley Act of 2002 (filed herewith)</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052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48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0000EE"/>
              </w:rPr>
              <w:t>31.</w:t>
            </w:r>
            <w:r>
              <w:rPr>
                <w:rFonts w:ascii="Arial" w:cs="Arial" w:eastAsia="Arial" w:hAnsi="Arial"/>
                <w:sz w:val="17"/>
                <w:szCs w:val="17"/>
                <w:u w:val="single" w:color="auto"/>
                <w:color w:val="0000EE"/>
              </w:rPr>
              <w:t>2</w:t>
            </w:r>
          </w:p>
        </w:tc>
        <w:tc>
          <w:tcPr>
            <w:tcW w:w="400" w:type="dxa"/>
            <w:vAlign w:val="bottom"/>
            <w:shd w:val="clear" w:color="auto" w:fill="CCEEFF"/>
          </w:tcPr>
          <w:p>
            <w:pPr>
              <w:spacing w:after="0"/>
              <w:rPr>
                <w:sz w:val="16"/>
                <w:szCs w:val="16"/>
                <w:color w:val="auto"/>
              </w:rPr>
            </w:pPr>
          </w:p>
        </w:tc>
        <w:tc>
          <w:tcPr>
            <w:tcW w:w="10520" w:type="dxa"/>
            <w:vAlign w:val="bottom"/>
            <w:shd w:val="clear" w:color="auto" w:fill="CCEEFF"/>
          </w:tcPr>
          <w:p>
            <w:pPr>
              <w:ind w:left="260"/>
              <w:spacing w:after="0" w:line="167" w:lineRule="exact"/>
              <w:rPr>
                <w:sz w:val="20"/>
                <w:szCs w:val="20"/>
                <w:color w:val="auto"/>
              </w:rPr>
            </w:pPr>
            <w:r>
              <w:rPr>
                <w:rFonts w:ascii="Arial" w:cs="Arial" w:eastAsia="Arial" w:hAnsi="Arial"/>
                <w:sz w:val="17"/>
                <w:szCs w:val="17"/>
                <w:color w:val="auto"/>
              </w:rPr>
              <w:t>Certification of Chief Financial Officer pursuant to Section 302 of the Sarbanes-Oxley Act of 2002 (filed herewith)</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052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48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0000EE"/>
              </w:rPr>
              <w:t>32.</w:t>
            </w:r>
            <w:r>
              <w:rPr>
                <w:rFonts w:ascii="Arial" w:cs="Arial" w:eastAsia="Arial" w:hAnsi="Arial"/>
                <w:sz w:val="17"/>
                <w:szCs w:val="17"/>
                <w:u w:val="single" w:color="auto"/>
                <w:color w:val="0000EE"/>
              </w:rPr>
              <w:t>1</w:t>
            </w:r>
          </w:p>
        </w:tc>
        <w:tc>
          <w:tcPr>
            <w:tcW w:w="400" w:type="dxa"/>
            <w:vAlign w:val="bottom"/>
            <w:shd w:val="clear" w:color="auto" w:fill="CCEEFF"/>
          </w:tcPr>
          <w:p>
            <w:pPr>
              <w:spacing w:after="0"/>
              <w:rPr>
                <w:sz w:val="16"/>
                <w:szCs w:val="16"/>
                <w:color w:val="auto"/>
              </w:rPr>
            </w:pPr>
          </w:p>
        </w:tc>
        <w:tc>
          <w:tcPr>
            <w:tcW w:w="10520" w:type="dxa"/>
            <w:vAlign w:val="bottom"/>
            <w:shd w:val="clear" w:color="auto" w:fill="CCEEFF"/>
          </w:tcPr>
          <w:p>
            <w:pPr>
              <w:ind w:left="260"/>
              <w:spacing w:after="0" w:line="167" w:lineRule="exact"/>
              <w:rPr>
                <w:sz w:val="20"/>
                <w:szCs w:val="20"/>
                <w:color w:val="auto"/>
              </w:rPr>
            </w:pPr>
            <w:r>
              <w:rPr>
                <w:rFonts w:ascii="Arial" w:cs="Arial" w:eastAsia="Arial" w:hAnsi="Arial"/>
                <w:sz w:val="17"/>
                <w:szCs w:val="17"/>
                <w:color w:val="auto"/>
              </w:rPr>
              <w:t>Certification of Chief Executive Officer pursuant to Section 906 of the Sarbanes-Oxley Act of 2002 (filed herewith)</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052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0" w:type="dxa"/>
            <w:vAlign w:val="bottom"/>
            <w:vMerge w:val="continue"/>
          </w:tcPr>
          <w:p>
            <w:pPr>
              <w:spacing w:after="0"/>
              <w:rPr>
                <w:sz w:val="16"/>
                <w:szCs w:val="16"/>
                <w:color w:val="auto"/>
              </w:rPr>
            </w:pPr>
          </w:p>
        </w:tc>
        <w:tc>
          <w:tcPr>
            <w:tcW w:w="480" w:type="dxa"/>
            <w:vAlign w:val="bottom"/>
            <w:gridSpan w:val="2"/>
            <w:shd w:val="clear" w:color="auto" w:fill="CCEEFF"/>
          </w:tcPr>
          <w:p>
            <w:pPr>
              <w:spacing w:after="0" w:line="167" w:lineRule="exact"/>
              <w:rPr>
                <w:sz w:val="20"/>
                <w:szCs w:val="20"/>
                <w:color w:val="auto"/>
              </w:rPr>
            </w:pPr>
            <w:r>
              <w:rPr>
                <w:rFonts w:ascii="Arial" w:cs="Arial" w:eastAsia="Arial" w:hAnsi="Arial"/>
                <w:sz w:val="17"/>
                <w:szCs w:val="17"/>
                <w:color w:val="0000EE"/>
              </w:rPr>
              <w:t>32.</w:t>
            </w:r>
            <w:r>
              <w:rPr>
                <w:rFonts w:ascii="Arial" w:cs="Arial" w:eastAsia="Arial" w:hAnsi="Arial"/>
                <w:sz w:val="17"/>
                <w:szCs w:val="17"/>
                <w:u w:val="single" w:color="auto"/>
                <w:color w:val="0000EE"/>
              </w:rPr>
              <w:t>2</w:t>
            </w:r>
          </w:p>
        </w:tc>
        <w:tc>
          <w:tcPr>
            <w:tcW w:w="400" w:type="dxa"/>
            <w:vAlign w:val="bottom"/>
            <w:shd w:val="clear" w:color="auto" w:fill="CCEEFF"/>
          </w:tcPr>
          <w:p>
            <w:pPr>
              <w:spacing w:after="0"/>
              <w:rPr>
                <w:sz w:val="16"/>
                <w:szCs w:val="16"/>
                <w:color w:val="auto"/>
              </w:rPr>
            </w:pPr>
          </w:p>
        </w:tc>
        <w:tc>
          <w:tcPr>
            <w:tcW w:w="10520" w:type="dxa"/>
            <w:vAlign w:val="bottom"/>
            <w:shd w:val="clear" w:color="auto" w:fill="CCEEFF"/>
          </w:tcPr>
          <w:p>
            <w:pPr>
              <w:ind w:left="260"/>
              <w:spacing w:after="0" w:line="167" w:lineRule="exact"/>
              <w:rPr>
                <w:sz w:val="20"/>
                <w:szCs w:val="20"/>
                <w:color w:val="auto"/>
              </w:rPr>
            </w:pPr>
            <w:r>
              <w:rPr>
                <w:rFonts w:ascii="Arial" w:cs="Arial" w:eastAsia="Arial" w:hAnsi="Arial"/>
                <w:sz w:val="17"/>
                <w:szCs w:val="17"/>
                <w:color w:val="auto"/>
              </w:rPr>
              <w:t>Certification of Chief Financial Officer pursuant to Section 906 of the Sarbanes-Oxley Act of 2002 (filed herewith)</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0" w:type="dxa"/>
            <w:vAlign w:val="bottom"/>
            <w:tcBorders>
              <w:top w:val="single" w:sz="8" w:color="CCEEFF"/>
            </w:tcBorders>
          </w:tcPr>
          <w:p>
            <w:pPr>
              <w:spacing w:after="0"/>
              <w:rPr>
                <w:sz w:val="17"/>
                <w:szCs w:val="17"/>
                <w:color w:val="auto"/>
              </w:rPr>
            </w:pPr>
          </w:p>
        </w:tc>
        <w:tc>
          <w:tcPr>
            <w:tcW w:w="400" w:type="dxa"/>
            <w:vAlign w:val="bottom"/>
            <w:tcBorders>
              <w:top w:val="single" w:sz="8" w:color="CCEEFF"/>
            </w:tcBorders>
          </w:tcPr>
          <w:p>
            <w:pPr>
              <w:spacing w:after="0"/>
              <w:rPr>
                <w:sz w:val="17"/>
                <w:szCs w:val="17"/>
                <w:color w:val="auto"/>
              </w:rPr>
            </w:pPr>
          </w:p>
        </w:tc>
        <w:tc>
          <w:tcPr>
            <w:tcW w:w="10520" w:type="dxa"/>
            <w:vAlign w:val="bottom"/>
            <w:tcBorders>
              <w:top w:val="single" w:sz="8" w:color="CCEEFF"/>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101.INS</w:t>
            </w: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XBRL Instance Document (filed herewith)</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101.SCH</w:t>
            </w: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XBRL Taxonomy Extension Schema (filed herewith)</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101.CAL</w:t>
            </w: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XBRL Taxonomy Extension Calculation Linkbase (filed herewith)</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101.LAB</w:t>
            </w: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XBRL Taxonomy Extension Label Linkbase (filed herewith)</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101.PRE</w:t>
            </w: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XBRL Taxonomy Extension Presentation Linkbase (filed herewith)</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restart"/>
          </w:tcPr>
          <w:p>
            <w:pPr>
              <w:spacing w:after="0"/>
              <w:rPr>
                <w:sz w:val="17"/>
                <w:szCs w:val="17"/>
                <w:color w:val="auto"/>
              </w:rPr>
            </w:pPr>
          </w:p>
        </w:tc>
        <w:tc>
          <w:tcPr>
            <w:tcW w:w="2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 w:type="dxa"/>
            <w:vAlign w:val="bottom"/>
            <w:vMerge w:val="continue"/>
          </w:tcPr>
          <w:p>
            <w:pPr>
              <w:spacing w:after="0"/>
              <w:rPr>
                <w:sz w:val="17"/>
                <w:szCs w:val="17"/>
                <w:color w:val="auto"/>
              </w:rPr>
            </w:pPr>
          </w:p>
        </w:tc>
        <w:tc>
          <w:tcPr>
            <w:tcW w:w="880" w:type="dxa"/>
            <w:vAlign w:val="bottom"/>
            <w:gridSpan w:val="3"/>
            <w:shd w:val="clear" w:color="auto" w:fill="CCEEFF"/>
          </w:tcPr>
          <w:p>
            <w:pPr>
              <w:spacing w:after="0"/>
              <w:rPr>
                <w:sz w:val="20"/>
                <w:szCs w:val="20"/>
                <w:color w:val="auto"/>
              </w:rPr>
            </w:pPr>
            <w:r>
              <w:rPr>
                <w:rFonts w:ascii="Arial" w:cs="Arial" w:eastAsia="Arial" w:hAnsi="Arial"/>
                <w:sz w:val="17"/>
                <w:szCs w:val="17"/>
                <w:color w:val="auto"/>
              </w:rPr>
              <w:t>101.DEF</w:t>
            </w:r>
          </w:p>
        </w:tc>
        <w:tc>
          <w:tcPr>
            <w:tcW w:w="10520" w:type="dxa"/>
            <w:vAlign w:val="bottom"/>
            <w:shd w:val="clear" w:color="auto" w:fill="CCEEFF"/>
          </w:tcPr>
          <w:p>
            <w:pPr>
              <w:ind w:left="260"/>
              <w:spacing w:after="0"/>
              <w:rPr>
                <w:sz w:val="20"/>
                <w:szCs w:val="20"/>
                <w:color w:val="auto"/>
              </w:rPr>
            </w:pPr>
            <w:r>
              <w:rPr>
                <w:rFonts w:ascii="Arial" w:cs="Arial" w:eastAsia="Arial" w:hAnsi="Arial"/>
                <w:sz w:val="17"/>
                <w:szCs w:val="17"/>
                <w:color w:val="auto"/>
              </w:rPr>
              <w:t>XBRL Taxonomy Extension Definition Linkbase (filed herewith)</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95"/>
        </w:trPr>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520" w:type="dxa"/>
            <w:vAlign w:val="bottom"/>
          </w:tcPr>
          <w:p>
            <w:pPr>
              <w:ind w:left="4740"/>
              <w:spacing w:after="0"/>
              <w:rPr>
                <w:sz w:val="20"/>
                <w:szCs w:val="20"/>
                <w:color w:val="auto"/>
              </w:rPr>
            </w:pPr>
            <w:r>
              <w:rPr>
                <w:rFonts w:ascii="Arial" w:cs="Arial" w:eastAsia="Arial" w:hAnsi="Arial"/>
                <w:sz w:val="14"/>
                <w:szCs w:val="14"/>
                <w:color w:val="auto"/>
              </w:rPr>
              <w:t>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80" w:type="dxa"/>
            <w:vAlign w:val="bottom"/>
            <w:tcBorders>
              <w:bottom w:val="single" w:sz="8" w:color="808080"/>
            </w:tcBorders>
          </w:tcPr>
          <w:p>
            <w:pPr>
              <w:spacing w:after="0"/>
              <w:rPr>
                <w:sz w:val="8"/>
                <w:szCs w:val="8"/>
                <w:color w:val="auto"/>
              </w:rPr>
            </w:pPr>
          </w:p>
        </w:tc>
        <w:tc>
          <w:tcPr>
            <w:tcW w:w="200" w:type="dxa"/>
            <w:vAlign w:val="bottom"/>
            <w:tcBorders>
              <w:bottom w:val="single" w:sz="8" w:color="808080"/>
            </w:tcBorders>
          </w:tcPr>
          <w:p>
            <w:pPr>
              <w:spacing w:after="0"/>
              <w:rPr>
                <w:sz w:val="8"/>
                <w:szCs w:val="8"/>
                <w:color w:val="auto"/>
              </w:rPr>
            </w:pPr>
          </w:p>
        </w:tc>
        <w:tc>
          <w:tcPr>
            <w:tcW w:w="400" w:type="dxa"/>
            <w:vAlign w:val="bottom"/>
            <w:tcBorders>
              <w:bottom w:val="single" w:sz="8" w:color="808080"/>
            </w:tcBorders>
          </w:tcPr>
          <w:p>
            <w:pPr>
              <w:spacing w:after="0"/>
              <w:rPr>
                <w:sz w:val="8"/>
                <w:szCs w:val="8"/>
                <w:color w:val="auto"/>
              </w:rPr>
            </w:pPr>
          </w:p>
        </w:tc>
        <w:tc>
          <w:tcPr>
            <w:tcW w:w="10520" w:type="dxa"/>
            <w:vAlign w:val="bottom"/>
            <w:tcBorders>
              <w:bottom w:val="single" w:sz="8" w:color="808080"/>
            </w:tcBorders>
          </w:tcPr>
          <w:p>
            <w:pPr>
              <w:spacing w:after="0"/>
              <w:rPr>
                <w:sz w:val="8"/>
                <w:szCs w:val="8"/>
                <w:color w:val="auto"/>
              </w:rPr>
            </w:pPr>
          </w:p>
        </w:tc>
        <w:tc>
          <w:tcPr>
            <w:tcW w:w="40" w:type="dxa"/>
            <w:vAlign w:val="bottom"/>
            <w:tcBorders>
              <w:bottom w:val="single" w:sz="8" w:color="808080"/>
            </w:tcBorders>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121" w:right="19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3492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73290" cy="34925"/>
                    </a:xfrm>
                    <a:prstGeom prst="rect">
                      <a:avLst/>
                    </a:prstGeom>
                    <a:noFill/>
                  </pic:spPr>
                </pic:pic>
              </a:graphicData>
            </a:graphic>
          </wp:anchor>
        </w:drawing>
        <w:t>Exhibit 10.1</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SECOND AMENDMENT TO CREDIT AGREEMENT</w:t>
      </w:r>
    </w:p>
    <w:p>
      <w:pPr>
        <w:spacing w:after="0" w:line="249" w:lineRule="exact"/>
        <w:rPr>
          <w:sz w:val="20"/>
          <w:szCs w:val="20"/>
          <w:color w:val="auto"/>
        </w:rPr>
      </w:pPr>
    </w:p>
    <w:p>
      <w:pPr>
        <w:jc w:val="both"/>
        <w:ind w:firstLine="620"/>
        <w:spacing w:after="0" w:line="266" w:lineRule="auto"/>
        <w:rPr>
          <w:sz w:val="20"/>
          <w:szCs w:val="20"/>
          <w:color w:val="auto"/>
        </w:rPr>
      </w:pPr>
      <w:r>
        <w:rPr>
          <w:rFonts w:ascii="Arial" w:cs="Arial" w:eastAsia="Arial" w:hAnsi="Arial"/>
          <w:sz w:val="17"/>
          <w:szCs w:val="17"/>
          <w:color w:val="auto"/>
        </w:rPr>
        <w:t>THIS SECOND AMENDMENT TO CREDIT AGREEMENT (this “</w:t>
      </w:r>
      <w:r>
        <w:rPr>
          <w:rFonts w:ascii="Arial" w:cs="Arial" w:eastAsia="Arial" w:hAnsi="Arial"/>
          <w:sz w:val="17"/>
          <w:szCs w:val="17"/>
          <w:u w:val="single" w:color="auto"/>
          <w:color w:val="auto"/>
        </w:rPr>
        <w:t>Amendment</w:t>
      </w:r>
      <w:r>
        <w:rPr>
          <w:rFonts w:ascii="Arial" w:cs="Arial" w:eastAsia="Arial" w:hAnsi="Arial"/>
          <w:sz w:val="17"/>
          <w:szCs w:val="17"/>
          <w:color w:val="auto"/>
        </w:rPr>
        <w:t>”) dated as of May 31, 2013 is made by and among CRACKER BARREL OLD COUNTRY STORE, INC., a Tennessee corporation (the “</w:t>
      </w:r>
      <w:r>
        <w:rPr>
          <w:rFonts w:ascii="Arial" w:cs="Arial" w:eastAsia="Arial" w:hAnsi="Arial"/>
          <w:sz w:val="17"/>
          <w:szCs w:val="17"/>
          <w:u w:val="single" w:color="auto"/>
          <w:color w:val="auto"/>
        </w:rPr>
        <w:t>Borrower</w:t>
      </w:r>
      <w:r>
        <w:rPr>
          <w:rFonts w:ascii="Arial" w:cs="Arial" w:eastAsia="Arial" w:hAnsi="Arial"/>
          <w:sz w:val="17"/>
          <w:szCs w:val="17"/>
          <w:color w:val="auto"/>
        </w:rPr>
        <w:t>”), the Guarantors identified on the signature pages hereto, the Lenders party hereto, and WELLS FARGO BANK, NATIONAL ASSOCIATION, in its capacity as Administrative Agent.</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 I T N E S S E T H</w:t>
      </w:r>
    </w:p>
    <w:p>
      <w:pPr>
        <w:spacing w:after="0" w:line="243"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WHEREAS, a credit facility has been extended to the Borrower pursuant to that certain Credit Agreement dated as of July 8, 2011 among the Borrower, the Guarantors identified therein, the Lenders identified therein and the Administrative Agent (as amended by the First Amendment to Credit Agreement dated as of April 24, 2012, and as further amended, modified, supplemented and extended from time to time, the “</w:t>
      </w:r>
      <w:r>
        <w:rPr>
          <w:rFonts w:ascii="Arial" w:cs="Arial" w:eastAsia="Arial" w:hAnsi="Arial"/>
          <w:sz w:val="17"/>
          <w:szCs w:val="17"/>
          <w:u w:val="single" w:color="auto"/>
          <w:color w:val="auto"/>
        </w:rPr>
        <w:t>Credit Agreement</w:t>
      </w:r>
      <w:r>
        <w:rPr>
          <w:rFonts w:ascii="Arial" w:cs="Arial" w:eastAsia="Arial" w:hAnsi="Arial"/>
          <w:sz w:val="17"/>
          <w:szCs w:val="17"/>
          <w:color w:val="auto"/>
        </w:rPr>
        <w:t>”);</w:t>
      </w:r>
    </w:p>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WHEREAS, the Loan Parties have requested that the Administrative Agent and the Lenders agree to certain amendments to the Credit Agreement;</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WHEREAS, the Administrative Agent and the Lenders have approved the requested amendments on the terms and conditions set forth herein.</w:t>
      </w:r>
    </w:p>
    <w:p>
      <w:pPr>
        <w:spacing w:after="0" w:line="243" w:lineRule="exact"/>
        <w:rPr>
          <w:sz w:val="20"/>
          <w:szCs w:val="20"/>
          <w:color w:val="auto"/>
        </w:rPr>
      </w:pPr>
    </w:p>
    <w:p>
      <w:pPr>
        <w:jc w:val="both"/>
        <w:spacing w:after="0" w:line="280" w:lineRule="auto"/>
        <w:rPr>
          <w:sz w:val="20"/>
          <w:szCs w:val="20"/>
          <w:color w:val="auto"/>
        </w:rPr>
      </w:pPr>
      <w:r>
        <w:rPr>
          <w:rFonts w:ascii="Arial" w:cs="Arial" w:eastAsia="Arial" w:hAnsi="Arial"/>
          <w:sz w:val="17"/>
          <w:szCs w:val="17"/>
          <w:color w:val="auto"/>
        </w:rPr>
        <w:t>NOW, THEREFORE, IN CONSIDERATION of the premises and other good and valuable consideration, the receipt and sufficiency of which are hereby acknowledged, the parties hereto agree as follows:</w:t>
      </w:r>
    </w:p>
    <w:p>
      <w:pPr>
        <w:spacing w:after="0" w:line="189" w:lineRule="exact"/>
        <w:rPr>
          <w:sz w:val="20"/>
          <w:szCs w:val="20"/>
          <w:color w:val="auto"/>
        </w:rPr>
      </w:pPr>
    </w:p>
    <w:p>
      <w:pPr>
        <w:ind w:firstLine="3"/>
        <w:spacing w:after="0" w:line="280" w:lineRule="auto"/>
        <w:tabs>
          <w:tab w:leader="none" w:pos="688" w:val="left"/>
        </w:tabs>
        <w:numPr>
          <w:ilvl w:val="0"/>
          <w:numId w:val="19"/>
        </w:numPr>
        <w:rPr>
          <w:rFonts w:ascii="Arial" w:cs="Arial" w:eastAsia="Arial" w:hAnsi="Arial"/>
          <w:sz w:val="17"/>
          <w:szCs w:val="17"/>
          <w:color w:val="auto"/>
        </w:rPr>
      </w:pPr>
      <w:r>
        <w:rPr>
          <w:rFonts w:ascii="Arial" w:cs="Arial" w:eastAsia="Arial" w:hAnsi="Arial"/>
          <w:sz w:val="17"/>
          <w:szCs w:val="17"/>
          <w:u w:val="single" w:color="auto"/>
          <w:color w:val="auto"/>
        </w:rPr>
        <w:t>Defined Terms</w:t>
      </w:r>
      <w:r>
        <w:rPr>
          <w:rFonts w:ascii="Arial" w:cs="Arial" w:eastAsia="Arial" w:hAnsi="Arial"/>
          <w:sz w:val="17"/>
          <w:szCs w:val="17"/>
          <w:color w:val="auto"/>
        </w:rPr>
        <w:t>. Capitalized terms used herein but not otherwise defined herein shall have the meanings provided to such terms in the Credit Agreement (as amended hereby).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371475</wp:posOffset>
            </wp:positionV>
            <wp:extent cx="725741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276" w:right="239" w:bottom="1440" w:gutter="0" w:footer="0" w:header="0"/>
        </w:sectPr>
      </w:pPr>
    </w:p>
    <w:bookmarkStart w:id="32" w:name="page33"/>
    <w:bookmarkEnd w:id="32"/>
    <w:p>
      <w:pPr>
        <w:ind w:firstLine="623"/>
        <w:spacing w:after="0" w:line="280" w:lineRule="auto"/>
        <w:tabs>
          <w:tab w:leader="none" w:pos="1411" w:val="left"/>
        </w:tabs>
        <w:numPr>
          <w:ilvl w:val="0"/>
          <w:numId w:val="20"/>
        </w:numPr>
        <w:rPr>
          <w:rFonts w:ascii="Arial" w:cs="Arial" w:eastAsia="Arial" w:hAnsi="Arial"/>
          <w:sz w:val="17"/>
          <w:szCs w:val="17"/>
          <w:color w:val="auto"/>
        </w:rPr>
      </w:pPr>
      <w:r>
        <w:rPr>
          <w:rFonts w:ascii="Arial" w:cs="Arial" w:eastAsia="Arial" w:hAnsi="Arial"/>
          <w:sz w:val="17"/>
          <w:szCs w:val="17"/>
          <w:u w:val="single" w:color="auto"/>
          <w:color w:val="auto"/>
        </w:rPr>
        <w:t>Amendments</w:t>
      </w:r>
      <w:r>
        <w:rPr>
          <w:rFonts w:ascii="Arial" w:cs="Arial" w:eastAsia="Arial" w:hAnsi="Arial"/>
          <w:sz w:val="17"/>
          <w:szCs w:val="17"/>
          <w:color w:val="auto"/>
        </w:rPr>
        <w:t>. Subject to the terms and conditions hereof, and the occurrence of the Amendment Effective Date (as defined below), the parties hereto agree to amend the Credit Agreement as follows:</w:t>
      </w:r>
    </w:p>
    <w:p>
      <w:pPr>
        <w:spacing w:after="0" w:line="189" w:lineRule="exact"/>
        <w:rPr>
          <w:sz w:val="20"/>
          <w:szCs w:val="20"/>
          <w:color w:val="auto"/>
        </w:rPr>
      </w:pPr>
    </w:p>
    <w:p>
      <w:pPr>
        <w:ind w:left="1460" w:hanging="837"/>
        <w:spacing w:after="0"/>
        <w:tabs>
          <w:tab w:leader="none" w:pos="1460" w:val="left"/>
        </w:tabs>
        <w:numPr>
          <w:ilvl w:val="0"/>
          <w:numId w:val="21"/>
        </w:numPr>
        <w:rPr>
          <w:rFonts w:ascii="Arial" w:cs="Arial" w:eastAsia="Arial" w:hAnsi="Arial"/>
          <w:sz w:val="16"/>
          <w:szCs w:val="16"/>
          <w:color w:val="auto"/>
        </w:rPr>
      </w:pPr>
      <w:r>
        <w:rPr>
          <w:rFonts w:ascii="Arial" w:cs="Arial" w:eastAsia="Arial" w:hAnsi="Arial"/>
          <w:sz w:val="16"/>
          <w:szCs w:val="16"/>
          <w:u w:val="single" w:color="auto"/>
          <w:color w:val="auto"/>
        </w:rPr>
        <w:t>Section 5.02(g)(iii)</w:t>
      </w:r>
      <w:r>
        <w:rPr>
          <w:rFonts w:ascii="Arial" w:cs="Arial" w:eastAsia="Arial" w:hAnsi="Arial"/>
          <w:sz w:val="16"/>
          <w:szCs w:val="16"/>
          <w:color w:val="auto"/>
        </w:rPr>
        <w:t xml:space="preserve"> of the Credit Agreement is hereby amended be deleting such subsection in its entirety and substituting in lieu thereof the</w:t>
      </w:r>
    </w:p>
    <w:p>
      <w:pPr>
        <w:spacing w:after="0" w:line="33"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7"/>
          <w:szCs w:val="17"/>
          <w:color w:val="auto"/>
        </w:rPr>
        <w:t>following:</w:t>
      </w:r>
    </w:p>
    <w:p>
      <w:pPr>
        <w:spacing w:after="0" w:line="233" w:lineRule="exact"/>
        <w:rPr>
          <w:sz w:val="20"/>
          <w:szCs w:val="20"/>
          <w:color w:val="auto"/>
        </w:rPr>
      </w:pPr>
    </w:p>
    <w:p>
      <w:pPr>
        <w:jc w:val="both"/>
        <w:ind w:left="620" w:firstLine="619"/>
        <w:spacing w:after="0" w:line="274" w:lineRule="auto"/>
        <w:rPr>
          <w:sz w:val="20"/>
          <w:szCs w:val="20"/>
          <w:color w:val="auto"/>
        </w:rPr>
      </w:pPr>
      <w:r>
        <w:rPr>
          <w:rFonts w:ascii="Arial" w:cs="Arial" w:eastAsia="Arial" w:hAnsi="Arial"/>
          <w:sz w:val="16"/>
          <w:szCs w:val="16"/>
          <w:color w:val="auto"/>
        </w:rPr>
        <w:t xml:space="preserve">“(iii) so long as immediately after giving effect thereto, the sum of (A) availability under the Revolving Credit Facility </w:t>
      </w:r>
      <w:r>
        <w:rPr>
          <w:rFonts w:ascii="Arial" w:cs="Arial" w:eastAsia="Arial" w:hAnsi="Arial"/>
          <w:sz w:val="16"/>
          <w:szCs w:val="16"/>
          <w:i w:val="1"/>
          <w:iCs w:val="1"/>
          <w:color w:val="auto"/>
        </w:rPr>
        <w:t>plus</w:t>
      </w:r>
      <w:r>
        <w:rPr>
          <w:rFonts w:ascii="Arial" w:cs="Arial" w:eastAsia="Arial" w:hAnsi="Arial"/>
          <w:sz w:val="16"/>
          <w:szCs w:val="16"/>
          <w:color w:val="auto"/>
        </w:rPr>
        <w:t xml:space="preserve"> (B) unrestricted cash and Cash Equivalents on hand of the Loan Parties, equals or exceeds $100,000,000, the Borrower may declare and pay cash dividends to its stockholders if, after giving effect thereto, the aggregate amount of such dividends paid during any Fiscal Year would be less than the sum of (I) 20% of Consolidated EBITDA from continuing operations of the Borrower for the Fiscal Year immediately preceding the Fiscal Year in which the dividend is paid, </w:t>
      </w:r>
      <w:r>
        <w:rPr>
          <w:rFonts w:ascii="Arial" w:cs="Arial" w:eastAsia="Arial" w:hAnsi="Arial"/>
          <w:sz w:val="16"/>
          <w:szCs w:val="16"/>
          <w:u w:val="single" w:color="auto"/>
          <w:color w:val="auto"/>
        </w:rPr>
        <w:t>plus</w:t>
      </w:r>
      <w:r>
        <w:rPr>
          <w:rFonts w:ascii="Arial" w:cs="Arial" w:eastAsia="Arial" w:hAnsi="Arial"/>
          <w:sz w:val="16"/>
          <w:szCs w:val="16"/>
          <w:color w:val="auto"/>
        </w:rPr>
        <w:t xml:space="preserve"> (II) so long as the Borrower’s Consolidated Total Leverage Ratio is 3.25 to 1.00 or less, $100,000,000 (less the sum of any amounts expended during such Fiscal Year in which the dividend is paid (1) for shares, rights or options repurchased pursuant to clause (iv) of this </w:t>
      </w:r>
      <w:r>
        <w:rPr>
          <w:rFonts w:ascii="Arial" w:cs="Arial" w:eastAsia="Arial" w:hAnsi="Arial"/>
          <w:sz w:val="16"/>
          <w:szCs w:val="16"/>
          <w:u w:val="single" w:color="auto"/>
          <w:color w:val="auto"/>
        </w:rPr>
        <w:t>Section 5.02(g) plus</w:t>
      </w:r>
      <w:r>
        <w:rPr>
          <w:rFonts w:ascii="Arial" w:cs="Arial" w:eastAsia="Arial" w:hAnsi="Arial"/>
          <w:sz w:val="16"/>
          <w:szCs w:val="16"/>
          <w:color w:val="auto"/>
        </w:rPr>
        <w:t xml:space="preserve"> (2) for shares repurchased pursuant to clause (vi) of this </w:t>
      </w:r>
      <w:r>
        <w:rPr>
          <w:rFonts w:ascii="Arial" w:cs="Arial" w:eastAsia="Arial" w:hAnsi="Arial"/>
          <w:sz w:val="16"/>
          <w:szCs w:val="16"/>
          <w:u w:val="single" w:color="auto"/>
          <w:color w:val="auto"/>
        </w:rPr>
        <w:t>Section 5.02(g)</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so long as the liquidity requirements of this Section have been met, the Borrower shall be permitted to declare and pay dividends during any Fiscal Year in an amount up to the dividends that were permitted hereunder, declared and actually paid, in the immediately preceding Fiscal Year without regard to the 20% limitation noted above.”</w:t>
      </w:r>
    </w:p>
    <w:p>
      <w:pPr>
        <w:spacing w:after="0" w:line="200" w:lineRule="exact"/>
        <w:rPr>
          <w:sz w:val="20"/>
          <w:szCs w:val="20"/>
          <w:color w:val="auto"/>
        </w:rPr>
      </w:pPr>
    </w:p>
    <w:p>
      <w:pPr>
        <w:ind w:firstLine="623"/>
        <w:spacing w:after="0" w:line="280" w:lineRule="auto"/>
        <w:tabs>
          <w:tab w:leader="none" w:pos="1293" w:val="left"/>
        </w:tabs>
        <w:numPr>
          <w:ilvl w:val="0"/>
          <w:numId w:val="22"/>
        </w:numPr>
        <w:rPr>
          <w:rFonts w:ascii="Arial" w:cs="Arial" w:eastAsia="Arial" w:hAnsi="Arial"/>
          <w:sz w:val="17"/>
          <w:szCs w:val="17"/>
          <w:color w:val="auto"/>
        </w:rPr>
      </w:pPr>
      <w:r>
        <w:rPr>
          <w:rFonts w:ascii="Arial" w:cs="Arial" w:eastAsia="Arial" w:hAnsi="Arial"/>
          <w:sz w:val="17"/>
          <w:szCs w:val="17"/>
          <w:u w:val="single" w:color="auto"/>
          <w:color w:val="auto"/>
        </w:rPr>
        <w:t>Section 5.02(g)(iv)</w:t>
      </w:r>
      <w:r>
        <w:rPr>
          <w:rFonts w:ascii="Arial" w:cs="Arial" w:eastAsia="Arial" w:hAnsi="Arial"/>
          <w:sz w:val="17"/>
          <w:szCs w:val="17"/>
          <w:color w:val="auto"/>
        </w:rPr>
        <w:t xml:space="preserve"> of the Credit Agreement is hereby amended be deleting the parenthetical clause in the last line of such subsection in its entirety and substituting in lieu thereof the following:</w:t>
      </w:r>
    </w:p>
    <w:p>
      <w:pPr>
        <w:spacing w:after="0" w:line="189" w:lineRule="exact"/>
        <w:rPr>
          <w:sz w:val="20"/>
          <w:szCs w:val="20"/>
          <w:color w:val="auto"/>
        </w:rPr>
      </w:pPr>
    </w:p>
    <w:p>
      <w:pPr>
        <w:ind w:left="620" w:firstLine="619"/>
        <w:spacing w:after="0" w:line="280" w:lineRule="auto"/>
        <w:rPr>
          <w:sz w:val="20"/>
          <w:szCs w:val="20"/>
          <w:color w:val="auto"/>
        </w:rPr>
      </w:pPr>
      <w:r>
        <w:rPr>
          <w:rFonts w:ascii="Arial" w:cs="Arial" w:eastAsia="Arial" w:hAnsi="Arial"/>
          <w:sz w:val="17"/>
          <w:szCs w:val="17"/>
          <w:color w:val="auto"/>
        </w:rPr>
        <w:t xml:space="preserve">“(less the sum of any amounts expended during such Fiscal Year (1) to pay cash dividends pursuant to clause (iii)(II) of this </w:t>
      </w:r>
      <w:r>
        <w:rPr>
          <w:rFonts w:ascii="Arial" w:cs="Arial" w:eastAsia="Arial" w:hAnsi="Arial"/>
          <w:sz w:val="17"/>
          <w:szCs w:val="17"/>
          <w:u w:val="single" w:color="auto"/>
          <w:color w:val="auto"/>
        </w:rPr>
        <w:t>Section 5.02(g) plus</w:t>
      </w:r>
      <w:r>
        <w:rPr>
          <w:rFonts w:ascii="Arial" w:cs="Arial" w:eastAsia="Arial" w:hAnsi="Arial"/>
          <w:sz w:val="17"/>
          <w:szCs w:val="17"/>
          <w:color w:val="auto"/>
        </w:rPr>
        <w:t xml:space="preserve"> (2) for shares repurchased pursuant to clause (vi) of this </w:t>
      </w:r>
      <w:r>
        <w:rPr>
          <w:rFonts w:ascii="Arial" w:cs="Arial" w:eastAsia="Arial" w:hAnsi="Arial"/>
          <w:sz w:val="17"/>
          <w:szCs w:val="17"/>
          <w:u w:val="single" w:color="auto"/>
          <w:color w:val="auto"/>
        </w:rPr>
        <w:t>Section 5.02(g)</w:t>
      </w:r>
      <w:r>
        <w:rPr>
          <w:rFonts w:ascii="Arial" w:cs="Arial" w:eastAsia="Arial" w:hAnsi="Arial"/>
          <w:sz w:val="17"/>
          <w:szCs w:val="17"/>
          <w:color w:val="auto"/>
        </w:rPr>
        <w:t>);”</w:t>
      </w:r>
    </w:p>
    <w:p>
      <w:pPr>
        <w:spacing w:after="0" w:line="189" w:lineRule="exact"/>
        <w:rPr>
          <w:sz w:val="20"/>
          <w:szCs w:val="20"/>
          <w:color w:val="auto"/>
        </w:rPr>
      </w:pPr>
    </w:p>
    <w:p>
      <w:pPr>
        <w:ind w:firstLine="623"/>
        <w:spacing w:after="0" w:line="280" w:lineRule="auto"/>
        <w:tabs>
          <w:tab w:leader="none" w:pos="1296"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Section 5.02(g)(vi)</w:t>
      </w:r>
      <w:r>
        <w:rPr>
          <w:rFonts w:ascii="Arial" w:cs="Arial" w:eastAsia="Arial" w:hAnsi="Arial"/>
          <w:sz w:val="17"/>
          <w:szCs w:val="17"/>
          <w:color w:val="auto"/>
        </w:rPr>
        <w:t xml:space="preserve"> of the Credit Agreement is hereby amended be deleting the parenthetical clause in the last line of such subsection in its entirety and substituting in lieu thereof the following:</w:t>
      </w:r>
    </w:p>
    <w:p>
      <w:pPr>
        <w:spacing w:after="0" w:line="189" w:lineRule="exact"/>
        <w:rPr>
          <w:sz w:val="20"/>
          <w:szCs w:val="20"/>
          <w:color w:val="auto"/>
        </w:rPr>
      </w:pPr>
    </w:p>
    <w:p>
      <w:pPr>
        <w:ind w:left="620" w:firstLine="619"/>
        <w:spacing w:after="0" w:line="280" w:lineRule="auto"/>
        <w:rPr>
          <w:sz w:val="20"/>
          <w:szCs w:val="20"/>
          <w:color w:val="auto"/>
        </w:rPr>
      </w:pPr>
      <w:r>
        <w:rPr>
          <w:rFonts w:ascii="Arial" w:cs="Arial" w:eastAsia="Arial" w:hAnsi="Arial"/>
          <w:sz w:val="17"/>
          <w:szCs w:val="17"/>
          <w:color w:val="auto"/>
        </w:rPr>
        <w:t xml:space="preserve">“(less the sum of any amounts expended during such Fiscal Year (1) to pay cash dividends pursuant to clause (iii)(II) of this </w:t>
      </w:r>
      <w:r>
        <w:rPr>
          <w:rFonts w:ascii="Arial" w:cs="Arial" w:eastAsia="Arial" w:hAnsi="Arial"/>
          <w:sz w:val="17"/>
          <w:szCs w:val="17"/>
          <w:u w:val="single" w:color="auto"/>
          <w:color w:val="auto"/>
        </w:rPr>
        <w:t>Section 5.02(g) plus</w:t>
      </w:r>
      <w:r>
        <w:rPr>
          <w:rFonts w:ascii="Arial" w:cs="Arial" w:eastAsia="Arial" w:hAnsi="Arial"/>
          <w:sz w:val="17"/>
          <w:szCs w:val="17"/>
          <w:color w:val="auto"/>
        </w:rPr>
        <w:t xml:space="preserve"> (2) for shares, rights or options repurchased pursuant to clause (iv) of this </w:t>
      </w:r>
      <w:r>
        <w:rPr>
          <w:rFonts w:ascii="Arial" w:cs="Arial" w:eastAsia="Arial" w:hAnsi="Arial"/>
          <w:sz w:val="17"/>
          <w:szCs w:val="17"/>
          <w:u w:val="single" w:color="auto"/>
          <w:color w:val="auto"/>
        </w:rPr>
        <w:t>Section 5.02(g)</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371475</wp:posOffset>
            </wp:positionV>
            <wp:extent cx="7257415" cy="209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3" w:name="page34"/>
    <w:bookmarkEnd w:id="33"/>
    <w:p>
      <w:pPr>
        <w:ind w:firstLine="623"/>
        <w:spacing w:after="0" w:line="280" w:lineRule="auto"/>
        <w:tabs>
          <w:tab w:leader="none" w:pos="1308"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Conditions Precedent</w:t>
      </w:r>
      <w:r>
        <w:rPr>
          <w:rFonts w:ascii="Arial" w:cs="Arial" w:eastAsia="Arial" w:hAnsi="Arial"/>
          <w:sz w:val="17"/>
          <w:szCs w:val="17"/>
          <w:color w:val="auto"/>
        </w:rPr>
        <w:t>. This Amendment shall be effective as of the date hereof (the “</w:t>
      </w:r>
      <w:r>
        <w:rPr>
          <w:rFonts w:ascii="Arial" w:cs="Arial" w:eastAsia="Arial" w:hAnsi="Arial"/>
          <w:sz w:val="17"/>
          <w:szCs w:val="17"/>
          <w:u w:val="single" w:color="auto"/>
          <w:color w:val="auto"/>
        </w:rPr>
        <w:t>Amendment Effective Date</w:t>
      </w:r>
      <w:r>
        <w:rPr>
          <w:rFonts w:ascii="Arial" w:cs="Arial" w:eastAsia="Arial" w:hAnsi="Arial"/>
          <w:sz w:val="17"/>
          <w:szCs w:val="17"/>
          <w:color w:val="auto"/>
        </w:rPr>
        <w:t>”) upon satisfaction of each of the following conditions:</w:t>
      </w:r>
    </w:p>
    <w:p>
      <w:pPr>
        <w:spacing w:after="0" w:line="189" w:lineRule="exact"/>
        <w:rPr>
          <w:rFonts w:ascii="Arial" w:cs="Arial" w:eastAsia="Arial" w:hAnsi="Arial"/>
          <w:sz w:val="17"/>
          <w:szCs w:val="17"/>
          <w:color w:val="auto"/>
        </w:rPr>
      </w:pPr>
    </w:p>
    <w:p>
      <w:pPr>
        <w:jc w:val="both"/>
        <w:ind w:left="620" w:firstLine="622"/>
        <w:spacing w:after="0" w:line="266" w:lineRule="auto"/>
        <w:tabs>
          <w:tab w:leader="none" w:pos="2075"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Executed Documents</w:t>
      </w:r>
      <w:r>
        <w:rPr>
          <w:rFonts w:ascii="Arial" w:cs="Arial" w:eastAsia="Arial" w:hAnsi="Arial"/>
          <w:sz w:val="17"/>
          <w:szCs w:val="17"/>
          <w:color w:val="auto"/>
        </w:rPr>
        <w:t xml:space="preserve">. The Administrative Agent shall have received counterparts of this Amendment executed by the Borrower, the Guarantors, the Administrative Agent (on behalf of itself and the Required Lenders) and executed lender authorizations and consents (substantially in the form 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each a “</w:t>
      </w:r>
      <w:r>
        <w:rPr>
          <w:rFonts w:ascii="Arial" w:cs="Arial" w:eastAsia="Arial" w:hAnsi="Arial"/>
          <w:sz w:val="17"/>
          <w:szCs w:val="17"/>
          <w:u w:val="single" w:color="auto"/>
          <w:color w:val="auto"/>
        </w:rPr>
        <w:t>Lender Authorization and Consent</w:t>
      </w:r>
      <w:r>
        <w:rPr>
          <w:rFonts w:ascii="Arial" w:cs="Arial" w:eastAsia="Arial" w:hAnsi="Arial"/>
          <w:sz w:val="17"/>
          <w:szCs w:val="17"/>
          <w:color w:val="auto"/>
        </w:rPr>
        <w:t>”) from the Required Lenders;</w:t>
      </w:r>
    </w:p>
    <w:p>
      <w:pPr>
        <w:spacing w:after="0" w:line="201" w:lineRule="exact"/>
        <w:rPr>
          <w:rFonts w:ascii="Arial" w:cs="Arial" w:eastAsia="Arial" w:hAnsi="Arial"/>
          <w:sz w:val="17"/>
          <w:szCs w:val="17"/>
          <w:color w:val="auto"/>
        </w:rPr>
      </w:pPr>
    </w:p>
    <w:p>
      <w:pPr>
        <w:jc w:val="both"/>
        <w:ind w:left="620" w:firstLine="622"/>
        <w:spacing w:after="0" w:line="262" w:lineRule="auto"/>
        <w:tabs>
          <w:tab w:leader="none" w:pos="2184"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Payment of Fees and Expenses</w:t>
      </w:r>
      <w:r>
        <w:rPr>
          <w:rFonts w:ascii="Arial" w:cs="Arial" w:eastAsia="Arial" w:hAnsi="Arial"/>
          <w:sz w:val="17"/>
          <w:szCs w:val="17"/>
          <w:color w:val="auto"/>
        </w:rPr>
        <w:t xml:space="preserve">. All fees and expenses required to be paid on or before the date hereof in connection with this Amendment in accordance with </w:t>
      </w:r>
      <w:r>
        <w:rPr>
          <w:rFonts w:ascii="Arial" w:cs="Arial" w:eastAsia="Arial" w:hAnsi="Arial"/>
          <w:sz w:val="17"/>
          <w:szCs w:val="17"/>
          <w:u w:val="single" w:color="auto"/>
          <w:color w:val="auto"/>
        </w:rPr>
        <w:t>Section 9.03</w:t>
      </w:r>
      <w:r>
        <w:rPr>
          <w:rFonts w:ascii="Arial" w:cs="Arial" w:eastAsia="Arial" w:hAnsi="Arial"/>
          <w:sz w:val="17"/>
          <w:szCs w:val="17"/>
          <w:color w:val="auto"/>
        </w:rPr>
        <w:t xml:space="preserve"> of the Credit Agreement shall have been paid. In addition, the Administrative Agent shall have been reimbursed for all fees and out-of-pocket charges and other expenses incurred in connection with this Amendment, including, without limitation, the reasonable fees and disbursements of counsel for the Administrative Agent; and</w:t>
      </w:r>
    </w:p>
    <w:p>
      <w:pPr>
        <w:spacing w:after="0" w:line="204" w:lineRule="exact"/>
        <w:rPr>
          <w:rFonts w:ascii="Arial" w:cs="Arial" w:eastAsia="Arial" w:hAnsi="Arial"/>
          <w:sz w:val="17"/>
          <w:szCs w:val="17"/>
          <w:color w:val="auto"/>
        </w:rPr>
      </w:pPr>
    </w:p>
    <w:p>
      <w:pPr>
        <w:ind w:left="620" w:firstLine="622"/>
        <w:spacing w:after="0" w:line="280" w:lineRule="auto"/>
        <w:tabs>
          <w:tab w:leader="none" w:pos="1981" w:val="left"/>
        </w:tabs>
        <w:numPr>
          <w:ilvl w:val="1"/>
          <w:numId w:val="24"/>
        </w:numPr>
        <w:rPr>
          <w:rFonts w:ascii="Arial" w:cs="Arial" w:eastAsia="Arial" w:hAnsi="Arial"/>
          <w:sz w:val="17"/>
          <w:szCs w:val="17"/>
          <w:color w:val="auto"/>
        </w:rPr>
      </w:pPr>
      <w:r>
        <w:rPr>
          <w:rFonts w:ascii="Arial" w:cs="Arial" w:eastAsia="Arial" w:hAnsi="Arial"/>
          <w:sz w:val="17"/>
          <w:szCs w:val="17"/>
          <w:u w:val="single" w:color="auto"/>
          <w:color w:val="auto"/>
        </w:rPr>
        <w:t>Miscellaneous</w:t>
      </w:r>
      <w:r>
        <w:rPr>
          <w:rFonts w:ascii="Arial" w:cs="Arial" w:eastAsia="Arial" w:hAnsi="Arial"/>
          <w:sz w:val="17"/>
          <w:szCs w:val="17"/>
          <w:color w:val="auto"/>
        </w:rPr>
        <w:t>. The Administrative Agent shall have received such other instruments, documents and certificates as the Administrative Agent shall reasonably request in connection with the execution of this Amendment.</w:t>
      </w:r>
    </w:p>
    <w:p>
      <w:pPr>
        <w:spacing w:after="0" w:line="189" w:lineRule="exact"/>
        <w:rPr>
          <w:sz w:val="20"/>
          <w:szCs w:val="20"/>
          <w:color w:val="auto"/>
        </w:rPr>
      </w:pPr>
    </w:p>
    <w:p>
      <w:pPr>
        <w:jc w:val="both"/>
        <w:ind w:firstLine="620"/>
        <w:spacing w:after="0" w:line="262" w:lineRule="auto"/>
        <w:rPr>
          <w:sz w:val="20"/>
          <w:szCs w:val="20"/>
          <w:color w:val="auto"/>
        </w:rPr>
      </w:pPr>
      <w:r>
        <w:rPr>
          <w:rFonts w:ascii="Arial" w:cs="Arial" w:eastAsia="Arial" w:hAnsi="Arial"/>
          <w:sz w:val="17"/>
          <w:szCs w:val="17"/>
          <w:color w:val="auto"/>
        </w:rPr>
        <w:t xml:space="preserve">For purposes of determining compliance with the conditions specified in this </w:t>
      </w:r>
      <w:r>
        <w:rPr>
          <w:rFonts w:ascii="Arial" w:cs="Arial" w:eastAsia="Arial" w:hAnsi="Arial"/>
          <w:sz w:val="17"/>
          <w:szCs w:val="17"/>
          <w:u w:val="single" w:color="auto"/>
          <w:color w:val="auto"/>
        </w:rPr>
        <w:t>Section 3</w:t>
      </w:r>
      <w:r>
        <w:rPr>
          <w:rFonts w:ascii="Arial" w:cs="Arial" w:eastAsia="Arial" w:hAnsi="Arial"/>
          <w:sz w:val="17"/>
          <w:szCs w:val="17"/>
          <w:color w:val="auto"/>
        </w:rPr>
        <w:t>, each Lender that has signed this Amendment (via a Lender Authorization and Consent)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Amendment Effective Date specifying its objection 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381635</wp:posOffset>
            </wp:positionV>
            <wp:extent cx="7257415" cy="209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4" w:name="page35"/>
    <w:bookmarkEnd w:id="34"/>
    <w:p>
      <w:pPr>
        <w:ind w:left="1320" w:hanging="697"/>
        <w:spacing w:after="0"/>
        <w:tabs>
          <w:tab w:leader="none" w:pos="1320"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Amendment is a “Loan Document”</w:t>
      </w:r>
      <w:r>
        <w:rPr>
          <w:rFonts w:ascii="Arial" w:cs="Arial" w:eastAsia="Arial" w:hAnsi="Arial"/>
          <w:sz w:val="17"/>
          <w:szCs w:val="17"/>
          <w:color w:val="auto"/>
        </w:rPr>
        <w:t>. This Amendment is a Loan Document.</w:t>
      </w:r>
    </w:p>
    <w:p>
      <w:pPr>
        <w:spacing w:after="0" w:line="243" w:lineRule="exact"/>
        <w:rPr>
          <w:rFonts w:ascii="Arial" w:cs="Arial" w:eastAsia="Arial" w:hAnsi="Arial"/>
          <w:sz w:val="17"/>
          <w:szCs w:val="17"/>
          <w:color w:val="auto"/>
        </w:rPr>
      </w:pPr>
    </w:p>
    <w:p>
      <w:pPr>
        <w:jc w:val="both"/>
        <w:ind w:firstLine="623"/>
        <w:spacing w:after="0" w:line="291" w:lineRule="auto"/>
        <w:tabs>
          <w:tab w:leader="none" w:pos="1398" w:val="left"/>
        </w:tabs>
        <w:numPr>
          <w:ilvl w:val="1"/>
          <w:numId w:val="25"/>
        </w:numPr>
        <w:rPr>
          <w:rFonts w:ascii="Arial" w:cs="Arial" w:eastAsia="Arial" w:hAnsi="Arial"/>
          <w:sz w:val="16"/>
          <w:szCs w:val="16"/>
          <w:color w:val="auto"/>
        </w:rPr>
      </w:pPr>
      <w:r>
        <w:rPr>
          <w:rFonts w:ascii="Arial" w:cs="Arial" w:eastAsia="Arial" w:hAnsi="Arial"/>
          <w:sz w:val="16"/>
          <w:szCs w:val="16"/>
          <w:u w:val="single" w:color="auto"/>
          <w:color w:val="auto"/>
        </w:rPr>
        <w:t>Reaffirmation of Representations and Warranties</w:t>
      </w:r>
      <w:r>
        <w:rPr>
          <w:rFonts w:ascii="Arial" w:cs="Arial" w:eastAsia="Arial" w:hAnsi="Arial"/>
          <w:sz w:val="16"/>
          <w:szCs w:val="16"/>
          <w:color w:val="auto"/>
        </w:rPr>
        <w:t>. Each Loan Party represents and warrants that the representations and warranties contained in each Loan Document (including this Amendment) are true and correct in all material respects on and as of the date hereof, other than any such representations or warranties that, by their express terms, refer to a specific date other than the date hereof, in which case as of such specific date.</w:t>
      </w:r>
    </w:p>
    <w:p>
      <w:pPr>
        <w:spacing w:after="0" w:line="182" w:lineRule="exact"/>
        <w:rPr>
          <w:rFonts w:ascii="Arial" w:cs="Arial" w:eastAsia="Arial" w:hAnsi="Arial"/>
          <w:sz w:val="16"/>
          <w:szCs w:val="16"/>
          <w:color w:val="auto"/>
        </w:rPr>
      </w:pPr>
    </w:p>
    <w:p>
      <w:pPr>
        <w:jc w:val="both"/>
        <w:ind w:firstLine="623"/>
        <w:spacing w:after="0" w:line="266" w:lineRule="auto"/>
        <w:tabs>
          <w:tab w:leader="none" w:pos="1372"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Reaffirmation of Guaranty</w:t>
      </w:r>
      <w:r>
        <w:rPr>
          <w:rFonts w:ascii="Arial" w:cs="Arial" w:eastAsia="Arial" w:hAnsi="Arial"/>
          <w:sz w:val="17"/>
          <w:szCs w:val="17"/>
          <w:color w:val="auto"/>
        </w:rPr>
        <w:t>. Each Guarantor (a) acknowledges and consents to all of the terms and conditions of this Amendment, (b) affirms all of its obligations under the Loan Documents and (c) agrees that this Amendment and all documents executed in connection herewith do not operate to reduce or discharge such Guarantor’s obligations under the Loan Documents.</w:t>
      </w:r>
    </w:p>
    <w:p>
      <w:pPr>
        <w:spacing w:after="0" w:line="201" w:lineRule="exact"/>
        <w:rPr>
          <w:rFonts w:ascii="Arial" w:cs="Arial" w:eastAsia="Arial" w:hAnsi="Arial"/>
          <w:sz w:val="17"/>
          <w:szCs w:val="17"/>
          <w:color w:val="auto"/>
        </w:rPr>
      </w:pPr>
    </w:p>
    <w:p>
      <w:pPr>
        <w:jc w:val="both"/>
        <w:ind w:firstLine="623"/>
        <w:spacing w:after="0" w:line="266" w:lineRule="auto"/>
        <w:tabs>
          <w:tab w:leader="none" w:pos="1308" w:val="left"/>
        </w:tabs>
        <w:numPr>
          <w:ilvl w:val="1"/>
          <w:numId w:val="25"/>
        </w:numPr>
        <w:rPr>
          <w:rFonts w:ascii="Arial" w:cs="Arial" w:eastAsia="Arial" w:hAnsi="Arial"/>
          <w:sz w:val="17"/>
          <w:szCs w:val="17"/>
          <w:color w:val="auto"/>
        </w:rPr>
      </w:pPr>
      <w:r>
        <w:rPr>
          <w:rFonts w:ascii="Arial" w:cs="Arial" w:eastAsia="Arial" w:hAnsi="Arial"/>
          <w:sz w:val="17"/>
          <w:szCs w:val="17"/>
          <w:u w:val="single" w:color="auto"/>
          <w:color w:val="auto"/>
        </w:rPr>
        <w:t>Reaffirmation of Security Interests</w:t>
      </w:r>
      <w:r>
        <w:rPr>
          <w:rFonts w:ascii="Arial" w:cs="Arial" w:eastAsia="Arial" w:hAnsi="Arial"/>
          <w:sz w:val="17"/>
          <w:szCs w:val="17"/>
          <w:color w:val="auto"/>
        </w:rPr>
        <w:t>. Each Loan Party (a) affirms that each of the Liens granted in or pursuant to the Loan Documents are valid and subsisting and (b) agrees that this Amendment shall in no manner impair or otherwise adversely affect any of the Liens granted in or pursuant to the Loan Documents.</w:t>
      </w:r>
    </w:p>
    <w:p>
      <w:pPr>
        <w:spacing w:after="0" w:line="201" w:lineRule="exact"/>
        <w:rPr>
          <w:rFonts w:ascii="Arial" w:cs="Arial" w:eastAsia="Arial" w:hAnsi="Arial"/>
          <w:sz w:val="17"/>
          <w:szCs w:val="17"/>
          <w:color w:val="auto"/>
        </w:rPr>
      </w:pPr>
    </w:p>
    <w:p>
      <w:pPr>
        <w:ind w:left="700" w:hanging="697"/>
        <w:spacing w:after="0"/>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No Other Changes</w:t>
      </w:r>
      <w:r>
        <w:rPr>
          <w:rFonts w:ascii="Arial" w:cs="Arial" w:eastAsia="Arial" w:hAnsi="Arial"/>
          <w:sz w:val="17"/>
          <w:szCs w:val="17"/>
          <w:color w:val="auto"/>
        </w:rPr>
        <w:t>. Except as modified hereby, all of the terms and provisions of the Loan Documents shall remain in full force and effect.</w:t>
      </w:r>
    </w:p>
    <w:p>
      <w:pPr>
        <w:spacing w:after="0" w:line="243" w:lineRule="exact"/>
        <w:rPr>
          <w:rFonts w:ascii="Arial" w:cs="Arial" w:eastAsia="Arial" w:hAnsi="Arial"/>
          <w:sz w:val="17"/>
          <w:szCs w:val="17"/>
          <w:color w:val="auto"/>
        </w:rPr>
      </w:pPr>
    </w:p>
    <w:p>
      <w:pPr>
        <w:jc w:val="both"/>
        <w:ind w:firstLine="3"/>
        <w:spacing w:after="0" w:line="318" w:lineRule="auto"/>
        <w:tabs>
          <w:tab w:leader="none" w:pos="817" w:val="left"/>
        </w:tabs>
        <w:numPr>
          <w:ilvl w:val="0"/>
          <w:numId w:val="26"/>
        </w:numPr>
        <w:rPr>
          <w:rFonts w:ascii="Arial" w:cs="Arial" w:eastAsia="Arial" w:hAnsi="Arial"/>
          <w:sz w:val="15"/>
          <w:szCs w:val="15"/>
          <w:color w:val="auto"/>
        </w:rPr>
      </w:pPr>
      <w:r>
        <w:rPr>
          <w:rFonts w:ascii="Arial" w:cs="Arial" w:eastAsia="Arial" w:hAnsi="Arial"/>
          <w:sz w:val="15"/>
          <w:szCs w:val="15"/>
          <w:u w:val="single" w:color="auto"/>
          <w:color w:val="auto"/>
        </w:rPr>
        <w:t>Counterparts</w:t>
      </w:r>
      <w:r>
        <w:rPr>
          <w:rFonts w:ascii="Arial" w:cs="Arial" w:eastAsia="Arial" w:hAnsi="Arial"/>
          <w:sz w:val="15"/>
          <w:szCs w:val="15"/>
          <w:color w:val="auto"/>
        </w:rPr>
        <w:t>. This Amendment may be executed in any number of counterparts and by different parties hereto in separate counterparts, each of which when so executed shall be deemed to be an original and all of which taken together shall constitute one and the same agreement. Delivery by telecopier or electronic mail of an executed counterpart of a signature page to this Amendment shall be effective as delivery of an original executed counterpart of this Amendment.</w:t>
      </w:r>
    </w:p>
    <w:p>
      <w:pPr>
        <w:spacing w:after="0" w:line="166" w:lineRule="exact"/>
        <w:rPr>
          <w:rFonts w:ascii="Arial" w:cs="Arial" w:eastAsia="Arial" w:hAnsi="Arial"/>
          <w:sz w:val="15"/>
          <w:szCs w:val="15"/>
          <w:color w:val="auto"/>
        </w:rPr>
      </w:pPr>
    </w:p>
    <w:p>
      <w:pPr>
        <w:ind w:left="700" w:hanging="697"/>
        <w:spacing w:after="0"/>
        <w:tabs>
          <w:tab w:leader="none" w:pos="700" w:val="left"/>
        </w:tabs>
        <w:numPr>
          <w:ilvl w:val="0"/>
          <w:numId w:val="26"/>
        </w:numPr>
        <w:rPr>
          <w:rFonts w:ascii="Arial" w:cs="Arial" w:eastAsia="Arial" w:hAnsi="Arial"/>
          <w:sz w:val="17"/>
          <w:szCs w:val="17"/>
          <w:color w:val="auto"/>
        </w:rPr>
      </w:pPr>
      <w:r>
        <w:rPr>
          <w:rFonts w:ascii="Arial" w:cs="Arial" w:eastAsia="Arial" w:hAnsi="Arial"/>
          <w:sz w:val="17"/>
          <w:szCs w:val="17"/>
          <w:u w:val="single" w:color="auto"/>
          <w:color w:val="auto"/>
        </w:rPr>
        <w:t>Governing Law</w:t>
      </w:r>
      <w:r>
        <w:rPr>
          <w:rFonts w:ascii="Arial" w:cs="Arial" w:eastAsia="Arial" w:hAnsi="Arial"/>
          <w:sz w:val="17"/>
          <w:szCs w:val="17"/>
          <w:color w:val="auto"/>
        </w:rPr>
        <w:t>. This Amendment shall be governed by, and construed in accordance with, the laws of the State of New York.</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[SIGNATURE PAGES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20"/>
          </w:cols>
          <w:pgMar w:left="240" w:top="501" w:right="239" w:bottom="1440" w:gutter="0" w:footer="0" w:header="0"/>
        </w:sectPr>
      </w:pPr>
    </w:p>
    <w:bookmarkStart w:id="35" w:name="page36"/>
    <w:bookmarkEnd w:id="35"/>
    <w:p>
      <w:pPr>
        <w:spacing w:after="0"/>
        <w:rPr>
          <w:sz w:val="20"/>
          <w:szCs w:val="20"/>
          <w:color w:val="auto"/>
        </w:rPr>
      </w:pPr>
      <w:r>
        <w:rPr>
          <w:rFonts w:ascii="Arial" w:cs="Arial" w:eastAsia="Arial" w:hAnsi="Arial"/>
          <w:sz w:val="15"/>
          <w:szCs w:val="15"/>
          <w:color w:val="auto"/>
        </w:rPr>
        <w:t>IN WITNESS WHEREOF, each of the parties hereto has caused a counterpart of this Amendment to be duly executed and delivered as of the date first above written.</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800" w:type="dxa"/>
            <w:vAlign w:val="bottom"/>
            <w:gridSpan w:val="2"/>
          </w:tcPr>
          <w:p>
            <w:pPr>
              <w:spacing w:after="0"/>
              <w:rPr>
                <w:sz w:val="20"/>
                <w:szCs w:val="20"/>
                <w:color w:val="auto"/>
              </w:rPr>
            </w:pPr>
            <w:r>
              <w:rPr>
                <w:rFonts w:ascii="Arial" w:cs="Arial" w:eastAsia="Arial" w:hAnsi="Arial"/>
                <w:sz w:val="17"/>
                <w:szCs w:val="17"/>
                <w:color w:val="auto"/>
              </w:rPr>
              <w:t>BORROWER:</w:t>
            </w:r>
          </w:p>
        </w:tc>
        <w:tc>
          <w:tcPr>
            <w:tcW w:w="6340" w:type="dxa"/>
            <w:vAlign w:val="bottom"/>
            <w:gridSpan w:val="2"/>
          </w:tcPr>
          <w:p>
            <w:pPr>
              <w:ind w:left="1780"/>
              <w:spacing w:after="0"/>
              <w:rPr>
                <w:sz w:val="20"/>
                <w:szCs w:val="20"/>
                <w:color w:val="auto"/>
              </w:rPr>
            </w:pPr>
            <w:r>
              <w:rPr>
                <w:rFonts w:ascii="Arial" w:cs="Arial" w:eastAsia="Arial" w:hAnsi="Arial"/>
                <w:sz w:val="17"/>
                <w:szCs w:val="17"/>
                <w:color w:val="auto"/>
              </w:rPr>
              <w:t>CRACKER BARREL OLD COUNTRY STORE, INC.</w:t>
            </w:r>
          </w:p>
        </w:tc>
      </w:tr>
      <w:tr>
        <w:trPr>
          <w:trHeight w:val="438"/>
        </w:trPr>
        <w:tc>
          <w:tcPr>
            <w:tcW w:w="1020" w:type="dxa"/>
            <w:vAlign w:val="bottom"/>
            <w:tcBorders>
              <w:top w:val="single" w:sz="8" w:color="auto"/>
            </w:tcBorders>
          </w:tcPr>
          <w:p>
            <w:pPr>
              <w:spacing w:after="0"/>
              <w:rPr>
                <w:sz w:val="24"/>
                <w:szCs w:val="24"/>
                <w:color w:val="auto"/>
              </w:rPr>
            </w:pPr>
          </w:p>
        </w:tc>
        <w:tc>
          <w:tcPr>
            <w:tcW w:w="1780" w:type="dxa"/>
            <w:vAlign w:val="bottom"/>
          </w:tcPr>
          <w:p>
            <w:pPr>
              <w:spacing w:after="0"/>
              <w:rPr>
                <w:sz w:val="24"/>
                <w:szCs w:val="24"/>
                <w:color w:val="auto"/>
              </w:rPr>
            </w:pPr>
          </w:p>
        </w:tc>
        <w:tc>
          <w:tcPr>
            <w:tcW w:w="2360" w:type="dxa"/>
            <w:vAlign w:val="bottom"/>
          </w:tcPr>
          <w:p>
            <w:pPr>
              <w:ind w:left="1780"/>
              <w:spacing w:after="0"/>
              <w:rPr>
                <w:sz w:val="20"/>
                <w:szCs w:val="20"/>
                <w:color w:val="auto"/>
              </w:rPr>
            </w:pPr>
            <w:r>
              <w:rPr>
                <w:rFonts w:ascii="Arial" w:cs="Arial" w:eastAsia="Arial" w:hAnsi="Arial"/>
                <w:sz w:val="17"/>
                <w:szCs w:val="17"/>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Lawrence E. Hyatt</w:t>
            </w:r>
          </w:p>
        </w:tc>
      </w:tr>
      <w:tr>
        <w:trPr>
          <w:trHeight w:val="194"/>
        </w:trPr>
        <w:tc>
          <w:tcPr>
            <w:tcW w:w="102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2360" w:type="dxa"/>
            <w:vAlign w:val="bottom"/>
          </w:tcPr>
          <w:p>
            <w:pPr>
              <w:ind w:left="1780"/>
              <w:spacing w:after="0" w:line="194" w:lineRule="exact"/>
              <w:rPr>
                <w:sz w:val="20"/>
                <w:szCs w:val="20"/>
                <w:color w:val="auto"/>
              </w:rPr>
            </w:pPr>
            <w:r>
              <w:rPr>
                <w:rFonts w:ascii="Arial" w:cs="Arial" w:eastAsia="Arial" w:hAnsi="Arial"/>
                <w:sz w:val="17"/>
                <w:szCs w:val="17"/>
                <w:color w:val="auto"/>
              </w:rPr>
              <w:t>Name:</w:t>
            </w:r>
          </w:p>
        </w:tc>
        <w:tc>
          <w:tcPr>
            <w:tcW w:w="3980" w:type="dxa"/>
            <w:vAlign w:val="bottom"/>
          </w:tcPr>
          <w:p>
            <w:pPr>
              <w:spacing w:after="0" w:line="194" w:lineRule="exact"/>
              <w:rPr>
                <w:sz w:val="20"/>
                <w:szCs w:val="20"/>
                <w:color w:val="auto"/>
              </w:rPr>
            </w:pPr>
            <w:r>
              <w:rPr>
                <w:rFonts w:ascii="Arial" w:cs="Arial" w:eastAsia="Arial" w:hAnsi="Arial"/>
                <w:sz w:val="17"/>
                <w:szCs w:val="17"/>
                <w:color w:val="auto"/>
              </w:rPr>
              <w:t>Lawrence E. Hyatt</w:t>
            </w:r>
          </w:p>
        </w:tc>
      </w:tr>
      <w:tr>
        <w:trPr>
          <w:trHeight w:val="217"/>
        </w:trPr>
        <w:tc>
          <w:tcPr>
            <w:tcW w:w="102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360" w:type="dxa"/>
            <w:vAlign w:val="bottom"/>
          </w:tcPr>
          <w:p>
            <w:pPr>
              <w:ind w:left="1780"/>
              <w:spacing w:after="0"/>
              <w:rPr>
                <w:sz w:val="20"/>
                <w:szCs w:val="20"/>
                <w:color w:val="auto"/>
              </w:rPr>
            </w:pPr>
            <w:r>
              <w:rPr>
                <w:rFonts w:ascii="Arial" w:cs="Arial" w:eastAsia="Arial" w:hAnsi="Arial"/>
                <w:sz w:val="17"/>
                <w:szCs w:val="17"/>
                <w:color w:val="auto"/>
              </w:rPr>
              <w:t>Title:</w:t>
            </w:r>
          </w:p>
        </w:tc>
        <w:tc>
          <w:tcPr>
            <w:tcW w:w="3980" w:type="dxa"/>
            <w:vAlign w:val="bottom"/>
          </w:tcPr>
          <w:p>
            <w:pPr>
              <w:spacing w:after="0"/>
              <w:rPr>
                <w:sz w:val="20"/>
                <w:szCs w:val="20"/>
                <w:color w:val="auto"/>
              </w:rPr>
            </w:pPr>
            <w:r>
              <w:rPr>
                <w:rFonts w:ascii="Arial" w:cs="Arial" w:eastAsia="Arial" w:hAnsi="Arial"/>
                <w:sz w:val="17"/>
                <w:szCs w:val="17"/>
                <w:color w:val="auto"/>
              </w:rPr>
              <w:t>Senior Vice President &amp; CFO</w:t>
            </w:r>
          </w:p>
        </w:tc>
      </w:tr>
    </w:tbl>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[SIGNATURE PAGES CONTINUE]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[Second Amendment – Cracker Barrel Old Country Store,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1400"/>
          </w:cols>
          <w:pgMar w:left="240" w:top="501" w:right="25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95"/>
        </w:trPr>
        <w:tc>
          <w:tcPr>
            <w:tcW w:w="2900" w:type="dxa"/>
            <w:vAlign w:val="bottom"/>
            <w:gridSpan w:val="2"/>
          </w:tcPr>
          <w:p>
            <w:pPr>
              <w:spacing w:after="0"/>
              <w:rPr>
                <w:sz w:val="20"/>
                <w:szCs w:val="20"/>
                <w:color w:val="auto"/>
              </w:rPr>
            </w:pPr>
            <w:r>
              <w:rPr>
                <w:rFonts w:ascii="Arial" w:cs="Arial" w:eastAsia="Arial" w:hAnsi="Arial"/>
                <w:sz w:val="17"/>
                <w:szCs w:val="17"/>
                <w:color w:val="auto"/>
              </w:rPr>
              <w:t>GUARANTORS:</w:t>
            </w:r>
          </w:p>
        </w:tc>
        <w:tc>
          <w:tcPr>
            <w:tcW w:w="6240" w:type="dxa"/>
            <w:vAlign w:val="bottom"/>
            <w:gridSpan w:val="2"/>
          </w:tcPr>
          <w:p>
            <w:pPr>
              <w:ind w:left="1680"/>
              <w:spacing w:after="0"/>
              <w:rPr>
                <w:sz w:val="20"/>
                <w:szCs w:val="20"/>
                <w:color w:val="auto"/>
              </w:rPr>
            </w:pPr>
            <w:r>
              <w:rPr>
                <w:rFonts w:ascii="Arial" w:cs="Arial" w:eastAsia="Arial" w:hAnsi="Arial"/>
                <w:sz w:val="17"/>
                <w:szCs w:val="17"/>
                <w:color w:val="auto"/>
              </w:rPr>
              <w:t>CB MUSIC, LLC</w:t>
            </w:r>
          </w:p>
        </w:tc>
        <w:tc>
          <w:tcPr>
            <w:tcW w:w="2280" w:type="dxa"/>
            <w:vAlign w:val="bottom"/>
          </w:tcPr>
          <w:p>
            <w:pPr>
              <w:spacing w:after="0"/>
              <w:rPr>
                <w:sz w:val="16"/>
                <w:szCs w:val="16"/>
                <w:color w:val="auto"/>
              </w:rPr>
            </w:pPr>
          </w:p>
        </w:tc>
      </w:tr>
      <w:tr>
        <w:trPr>
          <w:trHeight w:val="438"/>
        </w:trPr>
        <w:tc>
          <w:tcPr>
            <w:tcW w:w="122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2260" w:type="dxa"/>
            <w:vAlign w:val="bottom"/>
          </w:tcPr>
          <w:p>
            <w:pPr>
              <w:ind w:left="1680"/>
              <w:spacing w:after="0"/>
              <w:rPr>
                <w:sz w:val="20"/>
                <w:szCs w:val="20"/>
                <w:color w:val="auto"/>
              </w:rPr>
            </w:pPr>
            <w:r>
              <w:rPr>
                <w:rFonts w:ascii="Arial" w:cs="Arial" w:eastAsia="Arial" w:hAnsi="Arial"/>
                <w:sz w:val="17"/>
                <w:szCs w:val="17"/>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Michael J. Zylstra</w:t>
            </w:r>
          </w:p>
        </w:tc>
        <w:tc>
          <w:tcPr>
            <w:tcW w:w="2280" w:type="dxa"/>
            <w:vAlign w:val="bottom"/>
          </w:tcPr>
          <w:p>
            <w:pPr>
              <w:spacing w:after="0"/>
              <w:rPr>
                <w:sz w:val="24"/>
                <w:szCs w:val="24"/>
                <w:color w:val="auto"/>
              </w:rPr>
            </w:pPr>
          </w:p>
        </w:tc>
      </w:tr>
      <w:tr>
        <w:trPr>
          <w:trHeight w:val="194"/>
        </w:trPr>
        <w:tc>
          <w:tcPr>
            <w:tcW w:w="1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60" w:type="dxa"/>
            <w:vAlign w:val="bottom"/>
          </w:tcPr>
          <w:p>
            <w:pPr>
              <w:ind w:left="1680"/>
              <w:spacing w:after="0" w:line="194" w:lineRule="exact"/>
              <w:rPr>
                <w:sz w:val="20"/>
                <w:szCs w:val="20"/>
                <w:color w:val="auto"/>
              </w:rPr>
            </w:pPr>
            <w:r>
              <w:rPr>
                <w:rFonts w:ascii="Arial" w:cs="Arial" w:eastAsia="Arial" w:hAnsi="Arial"/>
                <w:sz w:val="17"/>
                <w:szCs w:val="17"/>
                <w:color w:val="auto"/>
              </w:rPr>
              <w:t>Name:</w:t>
            </w:r>
          </w:p>
        </w:tc>
        <w:tc>
          <w:tcPr>
            <w:tcW w:w="3980" w:type="dxa"/>
            <w:vAlign w:val="bottom"/>
          </w:tcPr>
          <w:p>
            <w:pPr>
              <w:spacing w:after="0" w:line="194" w:lineRule="exact"/>
              <w:rPr>
                <w:sz w:val="20"/>
                <w:szCs w:val="20"/>
                <w:color w:val="auto"/>
              </w:rPr>
            </w:pPr>
            <w:r>
              <w:rPr>
                <w:rFonts w:ascii="Arial" w:cs="Arial" w:eastAsia="Arial" w:hAnsi="Arial"/>
                <w:sz w:val="17"/>
                <w:szCs w:val="17"/>
                <w:color w:val="auto"/>
              </w:rPr>
              <w:t>Michael J. Zylstra</w:t>
            </w:r>
          </w:p>
        </w:tc>
        <w:tc>
          <w:tcPr>
            <w:tcW w:w="2280" w:type="dxa"/>
            <w:vAlign w:val="bottom"/>
          </w:tcPr>
          <w:p>
            <w:pPr>
              <w:spacing w:after="0"/>
              <w:rPr>
                <w:sz w:val="16"/>
                <w:szCs w:val="16"/>
                <w:color w:val="auto"/>
              </w:rPr>
            </w:pPr>
          </w:p>
        </w:tc>
      </w:tr>
      <w:tr>
        <w:trPr>
          <w:trHeight w:val="217"/>
        </w:trPr>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60" w:type="dxa"/>
            <w:vAlign w:val="bottom"/>
          </w:tcPr>
          <w:p>
            <w:pPr>
              <w:ind w:left="1680"/>
              <w:spacing w:after="0"/>
              <w:rPr>
                <w:sz w:val="20"/>
                <w:szCs w:val="20"/>
                <w:color w:val="auto"/>
              </w:rPr>
            </w:pPr>
            <w:r>
              <w:rPr>
                <w:rFonts w:ascii="Arial" w:cs="Arial" w:eastAsia="Arial" w:hAnsi="Arial"/>
                <w:sz w:val="17"/>
                <w:szCs w:val="17"/>
                <w:color w:val="auto"/>
              </w:rPr>
              <w:t>Title:</w:t>
            </w:r>
          </w:p>
        </w:tc>
        <w:tc>
          <w:tcPr>
            <w:tcW w:w="3980" w:type="dxa"/>
            <w:vAlign w:val="bottom"/>
          </w:tcPr>
          <w:p>
            <w:pPr>
              <w:spacing w:after="0"/>
              <w:rPr>
                <w:sz w:val="20"/>
                <w:szCs w:val="20"/>
                <w:color w:val="auto"/>
              </w:rPr>
            </w:pPr>
            <w:r>
              <w:rPr>
                <w:rFonts w:ascii="Arial" w:cs="Arial" w:eastAsia="Arial" w:hAnsi="Arial"/>
                <w:sz w:val="17"/>
                <w:szCs w:val="17"/>
                <w:color w:val="auto"/>
              </w:rPr>
              <w:t>Secretary</w:t>
            </w:r>
          </w:p>
        </w:tc>
        <w:tc>
          <w:tcPr>
            <w:tcW w:w="2280" w:type="dxa"/>
            <w:vAlign w:val="bottom"/>
          </w:tcPr>
          <w:p>
            <w:pPr>
              <w:spacing w:after="0"/>
              <w:rPr>
                <w:sz w:val="18"/>
                <w:szCs w:val="18"/>
                <w:color w:val="auto"/>
              </w:rPr>
            </w:pPr>
          </w:p>
        </w:tc>
      </w:tr>
      <w:tr>
        <w:trPr>
          <w:trHeight w:val="413"/>
        </w:trPr>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240" w:type="dxa"/>
            <w:vAlign w:val="bottom"/>
            <w:gridSpan w:val="2"/>
          </w:tcPr>
          <w:p>
            <w:pPr>
              <w:ind w:left="1680"/>
              <w:spacing w:after="0"/>
              <w:rPr>
                <w:sz w:val="20"/>
                <w:szCs w:val="20"/>
                <w:color w:val="auto"/>
              </w:rPr>
            </w:pPr>
            <w:r>
              <w:rPr>
                <w:rFonts w:ascii="Arial" w:cs="Arial" w:eastAsia="Arial" w:hAnsi="Arial"/>
                <w:sz w:val="17"/>
                <w:szCs w:val="17"/>
                <w:color w:val="auto"/>
              </w:rPr>
              <w:t>CBOCS DISTRIBUTION, INC.</w:t>
            </w:r>
          </w:p>
        </w:tc>
        <w:tc>
          <w:tcPr>
            <w:tcW w:w="2280" w:type="dxa"/>
            <w:vAlign w:val="bottom"/>
          </w:tcPr>
          <w:p>
            <w:pPr>
              <w:spacing w:after="0"/>
              <w:rPr>
                <w:sz w:val="24"/>
                <w:szCs w:val="24"/>
                <w:color w:val="auto"/>
              </w:rPr>
            </w:pPr>
          </w:p>
        </w:tc>
      </w:tr>
      <w:tr>
        <w:trPr>
          <w:trHeight w:val="420"/>
        </w:trPr>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60" w:type="dxa"/>
            <w:vAlign w:val="bottom"/>
          </w:tcPr>
          <w:p>
            <w:pPr>
              <w:ind w:left="1680"/>
              <w:spacing w:after="0"/>
              <w:rPr>
                <w:sz w:val="20"/>
                <w:szCs w:val="20"/>
                <w:color w:val="auto"/>
              </w:rPr>
            </w:pPr>
            <w:r>
              <w:rPr>
                <w:rFonts w:ascii="Arial" w:cs="Arial" w:eastAsia="Arial" w:hAnsi="Arial"/>
                <w:sz w:val="17"/>
                <w:szCs w:val="17"/>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Michael J. Zylstra</w:t>
            </w:r>
          </w:p>
        </w:tc>
        <w:tc>
          <w:tcPr>
            <w:tcW w:w="2280" w:type="dxa"/>
            <w:vAlign w:val="bottom"/>
          </w:tcPr>
          <w:p>
            <w:pPr>
              <w:spacing w:after="0"/>
              <w:rPr>
                <w:sz w:val="24"/>
                <w:szCs w:val="24"/>
                <w:color w:val="auto"/>
              </w:rPr>
            </w:pPr>
          </w:p>
        </w:tc>
      </w:tr>
      <w:tr>
        <w:trPr>
          <w:trHeight w:val="194"/>
        </w:trPr>
        <w:tc>
          <w:tcPr>
            <w:tcW w:w="1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60" w:type="dxa"/>
            <w:vAlign w:val="bottom"/>
          </w:tcPr>
          <w:p>
            <w:pPr>
              <w:ind w:left="1680"/>
              <w:spacing w:after="0" w:line="194" w:lineRule="exact"/>
              <w:rPr>
                <w:sz w:val="20"/>
                <w:szCs w:val="20"/>
                <w:color w:val="auto"/>
              </w:rPr>
            </w:pPr>
            <w:r>
              <w:rPr>
                <w:rFonts w:ascii="Arial" w:cs="Arial" w:eastAsia="Arial" w:hAnsi="Arial"/>
                <w:sz w:val="17"/>
                <w:szCs w:val="17"/>
                <w:color w:val="auto"/>
              </w:rPr>
              <w:t>Name:</w:t>
            </w:r>
          </w:p>
        </w:tc>
        <w:tc>
          <w:tcPr>
            <w:tcW w:w="3980" w:type="dxa"/>
            <w:vAlign w:val="bottom"/>
          </w:tcPr>
          <w:p>
            <w:pPr>
              <w:spacing w:after="0" w:line="194" w:lineRule="exact"/>
              <w:rPr>
                <w:sz w:val="20"/>
                <w:szCs w:val="20"/>
                <w:color w:val="auto"/>
              </w:rPr>
            </w:pPr>
            <w:r>
              <w:rPr>
                <w:rFonts w:ascii="Arial" w:cs="Arial" w:eastAsia="Arial" w:hAnsi="Arial"/>
                <w:sz w:val="17"/>
                <w:szCs w:val="17"/>
                <w:color w:val="auto"/>
              </w:rPr>
              <w:t>Michael J. Zylstra</w:t>
            </w:r>
          </w:p>
        </w:tc>
        <w:tc>
          <w:tcPr>
            <w:tcW w:w="2280" w:type="dxa"/>
            <w:vAlign w:val="bottom"/>
          </w:tcPr>
          <w:p>
            <w:pPr>
              <w:spacing w:after="0"/>
              <w:rPr>
                <w:sz w:val="16"/>
                <w:szCs w:val="16"/>
                <w:color w:val="auto"/>
              </w:rPr>
            </w:pPr>
          </w:p>
        </w:tc>
      </w:tr>
      <w:tr>
        <w:trPr>
          <w:trHeight w:val="217"/>
        </w:trPr>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60" w:type="dxa"/>
            <w:vAlign w:val="bottom"/>
          </w:tcPr>
          <w:p>
            <w:pPr>
              <w:ind w:left="1680"/>
              <w:spacing w:after="0"/>
              <w:rPr>
                <w:sz w:val="20"/>
                <w:szCs w:val="20"/>
                <w:color w:val="auto"/>
              </w:rPr>
            </w:pPr>
            <w:r>
              <w:rPr>
                <w:rFonts w:ascii="Arial" w:cs="Arial" w:eastAsia="Arial" w:hAnsi="Arial"/>
                <w:sz w:val="17"/>
                <w:szCs w:val="17"/>
                <w:color w:val="auto"/>
              </w:rPr>
              <w:t>Title:</w:t>
            </w:r>
          </w:p>
        </w:tc>
        <w:tc>
          <w:tcPr>
            <w:tcW w:w="3980" w:type="dxa"/>
            <w:vAlign w:val="bottom"/>
          </w:tcPr>
          <w:p>
            <w:pPr>
              <w:spacing w:after="0"/>
              <w:rPr>
                <w:sz w:val="20"/>
                <w:szCs w:val="20"/>
                <w:color w:val="auto"/>
              </w:rPr>
            </w:pPr>
            <w:r>
              <w:rPr>
                <w:rFonts w:ascii="Arial" w:cs="Arial" w:eastAsia="Arial" w:hAnsi="Arial"/>
                <w:sz w:val="17"/>
                <w:szCs w:val="17"/>
                <w:color w:val="auto"/>
              </w:rPr>
              <w:t>Secretary</w:t>
            </w:r>
          </w:p>
        </w:tc>
        <w:tc>
          <w:tcPr>
            <w:tcW w:w="2280" w:type="dxa"/>
            <w:vAlign w:val="bottom"/>
          </w:tcPr>
          <w:p>
            <w:pPr>
              <w:spacing w:after="0"/>
              <w:rPr>
                <w:sz w:val="18"/>
                <w:szCs w:val="18"/>
                <w:color w:val="auto"/>
              </w:rPr>
            </w:pPr>
          </w:p>
        </w:tc>
      </w:tr>
      <w:tr>
        <w:trPr>
          <w:trHeight w:val="413"/>
        </w:trPr>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240" w:type="dxa"/>
            <w:vAlign w:val="bottom"/>
            <w:gridSpan w:val="2"/>
          </w:tcPr>
          <w:p>
            <w:pPr>
              <w:ind w:left="1680"/>
              <w:spacing w:after="0"/>
              <w:rPr>
                <w:sz w:val="20"/>
                <w:szCs w:val="20"/>
                <w:color w:val="auto"/>
              </w:rPr>
            </w:pPr>
            <w:r>
              <w:rPr>
                <w:rFonts w:ascii="Arial" w:cs="Arial" w:eastAsia="Arial" w:hAnsi="Arial"/>
                <w:sz w:val="17"/>
                <w:szCs w:val="17"/>
                <w:color w:val="auto"/>
              </w:rPr>
              <w:t>CBOCS TEXAS, LLC</w:t>
            </w:r>
          </w:p>
        </w:tc>
        <w:tc>
          <w:tcPr>
            <w:tcW w:w="2280" w:type="dxa"/>
            <w:vAlign w:val="bottom"/>
          </w:tcPr>
          <w:p>
            <w:pPr>
              <w:spacing w:after="0"/>
              <w:rPr>
                <w:sz w:val="24"/>
                <w:szCs w:val="24"/>
                <w:color w:val="auto"/>
              </w:rPr>
            </w:pPr>
          </w:p>
        </w:tc>
      </w:tr>
      <w:tr>
        <w:trPr>
          <w:trHeight w:val="420"/>
        </w:trPr>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60" w:type="dxa"/>
            <w:vAlign w:val="bottom"/>
          </w:tcPr>
          <w:p>
            <w:pPr>
              <w:ind w:left="1680"/>
              <w:spacing w:after="0"/>
              <w:rPr>
                <w:sz w:val="20"/>
                <w:szCs w:val="20"/>
                <w:color w:val="auto"/>
              </w:rPr>
            </w:pPr>
            <w:r>
              <w:rPr>
                <w:rFonts w:ascii="Arial" w:cs="Arial" w:eastAsia="Arial" w:hAnsi="Arial"/>
                <w:sz w:val="17"/>
                <w:szCs w:val="17"/>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Doug Couvillion</w:t>
            </w:r>
          </w:p>
        </w:tc>
        <w:tc>
          <w:tcPr>
            <w:tcW w:w="2280" w:type="dxa"/>
            <w:vAlign w:val="bottom"/>
          </w:tcPr>
          <w:p>
            <w:pPr>
              <w:spacing w:after="0"/>
              <w:rPr>
                <w:sz w:val="24"/>
                <w:szCs w:val="24"/>
                <w:color w:val="auto"/>
              </w:rPr>
            </w:pPr>
          </w:p>
        </w:tc>
      </w:tr>
      <w:tr>
        <w:trPr>
          <w:trHeight w:val="194"/>
        </w:trPr>
        <w:tc>
          <w:tcPr>
            <w:tcW w:w="1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60" w:type="dxa"/>
            <w:vAlign w:val="bottom"/>
          </w:tcPr>
          <w:p>
            <w:pPr>
              <w:ind w:left="1680"/>
              <w:spacing w:after="0" w:line="194" w:lineRule="exact"/>
              <w:rPr>
                <w:sz w:val="20"/>
                <w:szCs w:val="20"/>
                <w:color w:val="auto"/>
              </w:rPr>
            </w:pPr>
            <w:r>
              <w:rPr>
                <w:rFonts w:ascii="Arial" w:cs="Arial" w:eastAsia="Arial" w:hAnsi="Arial"/>
                <w:sz w:val="17"/>
                <w:szCs w:val="17"/>
                <w:color w:val="auto"/>
              </w:rPr>
              <w:t>Name:</w:t>
            </w:r>
          </w:p>
        </w:tc>
        <w:tc>
          <w:tcPr>
            <w:tcW w:w="3980" w:type="dxa"/>
            <w:vAlign w:val="bottom"/>
          </w:tcPr>
          <w:p>
            <w:pPr>
              <w:spacing w:after="0" w:line="194" w:lineRule="exact"/>
              <w:rPr>
                <w:sz w:val="20"/>
                <w:szCs w:val="20"/>
                <w:color w:val="auto"/>
              </w:rPr>
            </w:pPr>
            <w:r>
              <w:rPr>
                <w:rFonts w:ascii="Arial" w:cs="Arial" w:eastAsia="Arial" w:hAnsi="Arial"/>
                <w:sz w:val="17"/>
                <w:szCs w:val="17"/>
                <w:color w:val="auto"/>
              </w:rPr>
              <w:t>Doug Couvillion</w:t>
            </w:r>
          </w:p>
        </w:tc>
        <w:tc>
          <w:tcPr>
            <w:tcW w:w="2280" w:type="dxa"/>
            <w:vAlign w:val="bottom"/>
          </w:tcPr>
          <w:p>
            <w:pPr>
              <w:spacing w:after="0"/>
              <w:rPr>
                <w:sz w:val="16"/>
                <w:szCs w:val="16"/>
                <w:color w:val="auto"/>
              </w:rPr>
            </w:pPr>
          </w:p>
        </w:tc>
      </w:tr>
      <w:tr>
        <w:trPr>
          <w:trHeight w:val="217"/>
        </w:trPr>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60" w:type="dxa"/>
            <w:vAlign w:val="bottom"/>
          </w:tcPr>
          <w:p>
            <w:pPr>
              <w:ind w:left="1680"/>
              <w:spacing w:after="0"/>
              <w:rPr>
                <w:sz w:val="20"/>
                <w:szCs w:val="20"/>
                <w:color w:val="auto"/>
              </w:rPr>
            </w:pPr>
            <w:r>
              <w:rPr>
                <w:rFonts w:ascii="Arial" w:cs="Arial" w:eastAsia="Arial" w:hAnsi="Arial"/>
                <w:sz w:val="17"/>
                <w:szCs w:val="17"/>
                <w:color w:val="auto"/>
              </w:rPr>
              <w:t>Title:</w:t>
            </w:r>
          </w:p>
        </w:tc>
        <w:tc>
          <w:tcPr>
            <w:tcW w:w="3980" w:type="dxa"/>
            <w:vAlign w:val="bottom"/>
          </w:tcPr>
          <w:p>
            <w:pPr>
              <w:spacing w:after="0"/>
              <w:rPr>
                <w:sz w:val="20"/>
                <w:szCs w:val="20"/>
                <w:color w:val="auto"/>
              </w:rPr>
            </w:pPr>
            <w:r>
              <w:rPr>
                <w:rFonts w:ascii="Arial" w:cs="Arial" w:eastAsia="Arial" w:hAnsi="Arial"/>
                <w:sz w:val="17"/>
                <w:szCs w:val="17"/>
                <w:color w:val="auto"/>
              </w:rPr>
              <w:t>President</w:t>
            </w:r>
          </w:p>
        </w:tc>
        <w:tc>
          <w:tcPr>
            <w:tcW w:w="2280" w:type="dxa"/>
            <w:vAlign w:val="bottom"/>
          </w:tcPr>
          <w:p>
            <w:pPr>
              <w:spacing w:after="0"/>
              <w:rPr>
                <w:sz w:val="18"/>
                <w:szCs w:val="18"/>
                <w:color w:val="auto"/>
              </w:rPr>
            </w:pPr>
          </w:p>
        </w:tc>
      </w:tr>
      <w:tr>
        <w:trPr>
          <w:trHeight w:val="413"/>
        </w:trPr>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6240" w:type="dxa"/>
            <w:vAlign w:val="bottom"/>
            <w:gridSpan w:val="2"/>
          </w:tcPr>
          <w:p>
            <w:pPr>
              <w:ind w:left="1680"/>
              <w:spacing w:after="0"/>
              <w:rPr>
                <w:sz w:val="20"/>
                <w:szCs w:val="20"/>
                <w:color w:val="auto"/>
              </w:rPr>
            </w:pPr>
            <w:r>
              <w:rPr>
                <w:rFonts w:ascii="Arial" w:cs="Arial" w:eastAsia="Arial" w:hAnsi="Arial"/>
                <w:sz w:val="17"/>
                <w:szCs w:val="17"/>
                <w:color w:val="auto"/>
              </w:rPr>
              <w:t>CBOCS PENNSYLVANIA, LLC</w:t>
            </w:r>
          </w:p>
        </w:tc>
        <w:tc>
          <w:tcPr>
            <w:tcW w:w="2280" w:type="dxa"/>
            <w:vAlign w:val="bottom"/>
          </w:tcPr>
          <w:p>
            <w:pPr>
              <w:spacing w:after="0"/>
              <w:rPr>
                <w:sz w:val="24"/>
                <w:szCs w:val="24"/>
                <w:color w:val="auto"/>
              </w:rPr>
            </w:pPr>
          </w:p>
        </w:tc>
      </w:tr>
      <w:tr>
        <w:trPr>
          <w:trHeight w:val="420"/>
        </w:trPr>
        <w:tc>
          <w:tcPr>
            <w:tcW w:w="12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260" w:type="dxa"/>
            <w:vAlign w:val="bottom"/>
          </w:tcPr>
          <w:p>
            <w:pPr>
              <w:ind w:left="1680"/>
              <w:spacing w:after="0"/>
              <w:rPr>
                <w:sz w:val="20"/>
                <w:szCs w:val="20"/>
                <w:color w:val="auto"/>
              </w:rPr>
            </w:pPr>
            <w:r>
              <w:rPr>
                <w:rFonts w:ascii="Arial" w:cs="Arial" w:eastAsia="Arial" w:hAnsi="Arial"/>
                <w:sz w:val="17"/>
                <w:szCs w:val="17"/>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Michael J. Zylstra</w:t>
            </w:r>
          </w:p>
        </w:tc>
        <w:tc>
          <w:tcPr>
            <w:tcW w:w="2280" w:type="dxa"/>
            <w:vAlign w:val="bottom"/>
          </w:tcPr>
          <w:p>
            <w:pPr>
              <w:spacing w:after="0"/>
              <w:rPr>
                <w:sz w:val="24"/>
                <w:szCs w:val="24"/>
                <w:color w:val="auto"/>
              </w:rPr>
            </w:pPr>
          </w:p>
        </w:tc>
      </w:tr>
      <w:tr>
        <w:trPr>
          <w:trHeight w:val="194"/>
        </w:trPr>
        <w:tc>
          <w:tcPr>
            <w:tcW w:w="122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260" w:type="dxa"/>
            <w:vAlign w:val="bottom"/>
          </w:tcPr>
          <w:p>
            <w:pPr>
              <w:ind w:left="1680"/>
              <w:spacing w:after="0" w:line="194" w:lineRule="exact"/>
              <w:rPr>
                <w:sz w:val="20"/>
                <w:szCs w:val="20"/>
                <w:color w:val="auto"/>
              </w:rPr>
            </w:pPr>
            <w:r>
              <w:rPr>
                <w:rFonts w:ascii="Arial" w:cs="Arial" w:eastAsia="Arial" w:hAnsi="Arial"/>
                <w:sz w:val="17"/>
                <w:szCs w:val="17"/>
                <w:color w:val="auto"/>
              </w:rPr>
              <w:t>Name:</w:t>
            </w:r>
          </w:p>
        </w:tc>
        <w:tc>
          <w:tcPr>
            <w:tcW w:w="3980" w:type="dxa"/>
            <w:vAlign w:val="bottom"/>
          </w:tcPr>
          <w:p>
            <w:pPr>
              <w:spacing w:after="0" w:line="194" w:lineRule="exact"/>
              <w:rPr>
                <w:sz w:val="20"/>
                <w:szCs w:val="20"/>
                <w:color w:val="auto"/>
              </w:rPr>
            </w:pPr>
            <w:r>
              <w:rPr>
                <w:rFonts w:ascii="Arial" w:cs="Arial" w:eastAsia="Arial" w:hAnsi="Arial"/>
                <w:sz w:val="17"/>
                <w:szCs w:val="17"/>
                <w:color w:val="auto"/>
              </w:rPr>
              <w:t>Michael J. Zylstra</w:t>
            </w:r>
          </w:p>
        </w:tc>
        <w:tc>
          <w:tcPr>
            <w:tcW w:w="2280" w:type="dxa"/>
            <w:vAlign w:val="bottom"/>
          </w:tcPr>
          <w:p>
            <w:pPr>
              <w:spacing w:after="0"/>
              <w:rPr>
                <w:sz w:val="16"/>
                <w:szCs w:val="16"/>
                <w:color w:val="auto"/>
              </w:rPr>
            </w:pPr>
          </w:p>
        </w:tc>
      </w:tr>
      <w:tr>
        <w:trPr>
          <w:trHeight w:val="217"/>
        </w:trPr>
        <w:tc>
          <w:tcPr>
            <w:tcW w:w="122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2260" w:type="dxa"/>
            <w:vAlign w:val="bottom"/>
          </w:tcPr>
          <w:p>
            <w:pPr>
              <w:ind w:left="1680"/>
              <w:spacing w:after="0"/>
              <w:rPr>
                <w:sz w:val="20"/>
                <w:szCs w:val="20"/>
                <w:color w:val="auto"/>
              </w:rPr>
            </w:pPr>
            <w:r>
              <w:rPr>
                <w:rFonts w:ascii="Arial" w:cs="Arial" w:eastAsia="Arial" w:hAnsi="Arial"/>
                <w:sz w:val="17"/>
                <w:szCs w:val="17"/>
                <w:color w:val="auto"/>
              </w:rPr>
              <w:t>Title:</w:t>
            </w:r>
          </w:p>
        </w:tc>
        <w:tc>
          <w:tcPr>
            <w:tcW w:w="3980" w:type="dxa"/>
            <w:vAlign w:val="bottom"/>
          </w:tcPr>
          <w:p>
            <w:pPr>
              <w:spacing w:after="0"/>
              <w:rPr>
                <w:sz w:val="20"/>
                <w:szCs w:val="20"/>
                <w:color w:val="auto"/>
              </w:rPr>
            </w:pPr>
            <w:r>
              <w:rPr>
                <w:rFonts w:ascii="Arial" w:cs="Arial" w:eastAsia="Arial" w:hAnsi="Arial"/>
                <w:sz w:val="17"/>
                <w:szCs w:val="17"/>
                <w:color w:val="auto"/>
              </w:rPr>
              <w:t>Secretary</w:t>
            </w:r>
          </w:p>
        </w:tc>
        <w:tc>
          <w:tcPr>
            <w:tcW w:w="2280" w:type="dxa"/>
            <w:vAlign w:val="bottom"/>
          </w:tcPr>
          <w:p>
            <w:pPr>
              <w:spacing w:after="0"/>
              <w:rPr>
                <w:sz w:val="18"/>
                <w:szCs w:val="18"/>
                <w:color w:val="auto"/>
              </w:rPr>
            </w:pPr>
          </w:p>
        </w:tc>
      </w:tr>
      <w:tr>
        <w:trPr>
          <w:trHeight w:val="630"/>
        </w:trPr>
        <w:tc>
          <w:tcPr>
            <w:tcW w:w="1220" w:type="dxa"/>
            <w:vAlign w:val="bottom"/>
            <w:tcBorders>
              <w:bottom w:val="single" w:sz="8" w:color="808080"/>
            </w:tcBorders>
          </w:tcPr>
          <w:p>
            <w:pPr>
              <w:spacing w:after="0"/>
              <w:rPr>
                <w:sz w:val="24"/>
                <w:szCs w:val="24"/>
                <w:color w:val="auto"/>
              </w:rPr>
            </w:pPr>
          </w:p>
        </w:tc>
        <w:tc>
          <w:tcPr>
            <w:tcW w:w="168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3980" w:type="dxa"/>
            <w:vAlign w:val="bottom"/>
            <w:tcBorders>
              <w:bottom w:val="single" w:sz="8" w:color="808080"/>
            </w:tcBorders>
          </w:tcPr>
          <w:p>
            <w:pPr>
              <w:spacing w:after="0"/>
              <w:rPr>
                <w:sz w:val="24"/>
                <w:szCs w:val="24"/>
                <w:color w:val="auto"/>
              </w:rPr>
            </w:pPr>
          </w:p>
        </w:tc>
        <w:tc>
          <w:tcPr>
            <w:tcW w:w="22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7244080</wp:posOffset>
            </wp:positionH>
            <wp:positionV relativeFrom="paragraph">
              <wp:posOffset>-13970</wp:posOffset>
            </wp:positionV>
            <wp:extent cx="127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20"/>
          </w:cols>
          <w:pgMar w:left="240" w:top="486" w:right="239" w:bottom="1440" w:gutter="0" w:footer="0" w:header="0"/>
        </w:sectPr>
      </w:pPr>
    </w:p>
    <w:bookmarkStart w:id="37" w:name="page38"/>
    <w:bookmarkEnd w:id="37"/>
    <w:p>
      <w:pPr>
        <w:ind w:left="4580"/>
        <w:spacing w:after="0"/>
        <w:rPr>
          <w:sz w:val="20"/>
          <w:szCs w:val="20"/>
          <w:color w:val="auto"/>
        </w:rPr>
      </w:pPr>
      <w:r>
        <w:rPr>
          <w:rFonts w:ascii="Arial" w:cs="Arial" w:eastAsia="Arial" w:hAnsi="Arial"/>
          <w:sz w:val="17"/>
          <w:szCs w:val="17"/>
          <w:color w:val="auto"/>
        </w:rPr>
        <w:t>CBOCS PROPERTIES, INC.</w:t>
      </w:r>
    </w:p>
    <w:p>
      <w:pPr>
        <w:spacing w:after="0" w:line="218" w:lineRule="exact"/>
        <w:rPr>
          <w:sz w:val="20"/>
          <w:szCs w:val="20"/>
          <w:color w:val="auto"/>
        </w:rPr>
      </w:pPr>
    </w:p>
    <w:tbl>
      <w:tblPr>
        <w:tblLayout w:type="fixed"/>
        <w:tblInd w:w="4580" w:type="dxa"/>
        <w:tblCellMar>
          <w:top w:w="0" w:type="dxa"/>
          <w:left w:w="0" w:type="dxa"/>
          <w:bottom w:w="0" w:type="dxa"/>
          <w:right w:w="0" w:type="dxa"/>
        </w:tblCellMar>
      </w:tblPr>
      <w:tr>
        <w:trPr>
          <w:trHeight w:val="225"/>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Christopher A. Ciavarra</w:t>
            </w:r>
          </w:p>
        </w:tc>
      </w:tr>
      <w:tr>
        <w:trPr>
          <w:trHeight w:val="194"/>
        </w:trPr>
        <w:tc>
          <w:tcPr>
            <w:tcW w:w="580" w:type="dxa"/>
            <w:vAlign w:val="bottom"/>
          </w:tcPr>
          <w:p>
            <w:pPr>
              <w:spacing w:after="0" w:line="194" w:lineRule="exact"/>
              <w:rPr>
                <w:sz w:val="20"/>
                <w:szCs w:val="20"/>
                <w:color w:val="auto"/>
              </w:rPr>
            </w:pPr>
            <w:r>
              <w:rPr>
                <w:rFonts w:ascii="Arial" w:cs="Arial" w:eastAsia="Arial" w:hAnsi="Arial"/>
                <w:sz w:val="17"/>
                <w:szCs w:val="17"/>
                <w:color w:val="auto"/>
              </w:rPr>
              <w:t>Name:</w:t>
            </w:r>
          </w:p>
        </w:tc>
        <w:tc>
          <w:tcPr>
            <w:tcW w:w="3980" w:type="dxa"/>
            <w:vAlign w:val="bottom"/>
          </w:tcPr>
          <w:p>
            <w:pPr>
              <w:spacing w:after="0" w:line="194" w:lineRule="exact"/>
              <w:rPr>
                <w:sz w:val="20"/>
                <w:szCs w:val="20"/>
                <w:color w:val="auto"/>
              </w:rPr>
            </w:pPr>
            <w:r>
              <w:rPr>
                <w:rFonts w:ascii="Arial" w:cs="Arial" w:eastAsia="Arial" w:hAnsi="Arial"/>
                <w:sz w:val="17"/>
                <w:szCs w:val="17"/>
                <w:color w:val="auto"/>
              </w:rPr>
              <w:t>Christopher A. Ciavarra</w:t>
            </w:r>
          </w:p>
        </w:tc>
      </w:tr>
      <w:tr>
        <w:trPr>
          <w:trHeight w:val="217"/>
        </w:trPr>
        <w:tc>
          <w:tcPr>
            <w:tcW w:w="580" w:type="dxa"/>
            <w:vAlign w:val="bottom"/>
          </w:tcPr>
          <w:p>
            <w:pPr>
              <w:spacing w:after="0"/>
              <w:rPr>
                <w:sz w:val="20"/>
                <w:szCs w:val="20"/>
                <w:color w:val="auto"/>
              </w:rPr>
            </w:pPr>
            <w:r>
              <w:rPr>
                <w:rFonts w:ascii="Arial" w:cs="Arial" w:eastAsia="Arial" w:hAnsi="Arial"/>
                <w:sz w:val="17"/>
                <w:szCs w:val="17"/>
                <w:color w:val="auto"/>
              </w:rPr>
              <w:t>Title:</w:t>
            </w:r>
          </w:p>
        </w:tc>
        <w:tc>
          <w:tcPr>
            <w:tcW w:w="3980" w:type="dxa"/>
            <w:vAlign w:val="bottom"/>
          </w:tcPr>
          <w:p>
            <w:pPr>
              <w:spacing w:after="0"/>
              <w:rPr>
                <w:sz w:val="20"/>
                <w:szCs w:val="20"/>
                <w:color w:val="auto"/>
              </w:rPr>
            </w:pPr>
            <w:r>
              <w:rPr>
                <w:rFonts w:ascii="Arial" w:cs="Arial" w:eastAsia="Arial" w:hAnsi="Arial"/>
                <w:sz w:val="17"/>
                <w:szCs w:val="17"/>
                <w:color w:val="auto"/>
              </w:rPr>
              <w:t>Vice President</w:t>
            </w:r>
          </w:p>
        </w:tc>
      </w:tr>
      <w:tr>
        <w:trPr>
          <w:trHeight w:val="413"/>
        </w:trPr>
        <w:tc>
          <w:tcPr>
            <w:tcW w:w="4560" w:type="dxa"/>
            <w:vAlign w:val="bottom"/>
            <w:gridSpan w:val="2"/>
          </w:tcPr>
          <w:p>
            <w:pPr>
              <w:spacing w:after="0"/>
              <w:rPr>
                <w:sz w:val="20"/>
                <w:szCs w:val="20"/>
                <w:color w:val="auto"/>
              </w:rPr>
            </w:pPr>
            <w:r>
              <w:rPr>
                <w:rFonts w:ascii="Arial" w:cs="Arial" w:eastAsia="Arial" w:hAnsi="Arial"/>
                <w:sz w:val="17"/>
                <w:szCs w:val="17"/>
                <w:color w:val="auto"/>
              </w:rPr>
              <w:t>CBOCS SUPPLY, INC.</w:t>
            </w:r>
          </w:p>
        </w:tc>
      </w:tr>
      <w:tr>
        <w:trPr>
          <w:trHeight w:val="420"/>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Michael J. Zylstra</w:t>
            </w:r>
          </w:p>
        </w:tc>
      </w:tr>
      <w:tr>
        <w:trPr>
          <w:trHeight w:val="194"/>
        </w:trPr>
        <w:tc>
          <w:tcPr>
            <w:tcW w:w="580" w:type="dxa"/>
            <w:vAlign w:val="bottom"/>
          </w:tcPr>
          <w:p>
            <w:pPr>
              <w:spacing w:after="0" w:line="194" w:lineRule="exact"/>
              <w:rPr>
                <w:sz w:val="20"/>
                <w:szCs w:val="20"/>
                <w:color w:val="auto"/>
              </w:rPr>
            </w:pPr>
            <w:r>
              <w:rPr>
                <w:rFonts w:ascii="Arial" w:cs="Arial" w:eastAsia="Arial" w:hAnsi="Arial"/>
                <w:sz w:val="17"/>
                <w:szCs w:val="17"/>
                <w:color w:val="auto"/>
              </w:rPr>
              <w:t>Name:</w:t>
            </w:r>
          </w:p>
        </w:tc>
        <w:tc>
          <w:tcPr>
            <w:tcW w:w="3980" w:type="dxa"/>
            <w:vAlign w:val="bottom"/>
          </w:tcPr>
          <w:p>
            <w:pPr>
              <w:spacing w:after="0" w:line="194" w:lineRule="exact"/>
              <w:rPr>
                <w:sz w:val="20"/>
                <w:szCs w:val="20"/>
                <w:color w:val="auto"/>
              </w:rPr>
            </w:pPr>
            <w:r>
              <w:rPr>
                <w:rFonts w:ascii="Arial" w:cs="Arial" w:eastAsia="Arial" w:hAnsi="Arial"/>
                <w:sz w:val="17"/>
                <w:szCs w:val="17"/>
                <w:color w:val="auto"/>
              </w:rPr>
              <w:t>Michael J. Zylstra</w:t>
            </w:r>
          </w:p>
        </w:tc>
      </w:tr>
      <w:tr>
        <w:trPr>
          <w:trHeight w:val="217"/>
        </w:trPr>
        <w:tc>
          <w:tcPr>
            <w:tcW w:w="580" w:type="dxa"/>
            <w:vAlign w:val="bottom"/>
          </w:tcPr>
          <w:p>
            <w:pPr>
              <w:spacing w:after="0"/>
              <w:rPr>
                <w:sz w:val="20"/>
                <w:szCs w:val="20"/>
                <w:color w:val="auto"/>
              </w:rPr>
            </w:pPr>
            <w:r>
              <w:rPr>
                <w:rFonts w:ascii="Arial" w:cs="Arial" w:eastAsia="Arial" w:hAnsi="Arial"/>
                <w:sz w:val="17"/>
                <w:szCs w:val="17"/>
                <w:color w:val="auto"/>
              </w:rPr>
              <w:t>Title:</w:t>
            </w:r>
          </w:p>
        </w:tc>
        <w:tc>
          <w:tcPr>
            <w:tcW w:w="3980" w:type="dxa"/>
            <w:vAlign w:val="bottom"/>
          </w:tcPr>
          <w:p>
            <w:pPr>
              <w:spacing w:after="0"/>
              <w:rPr>
                <w:sz w:val="20"/>
                <w:szCs w:val="20"/>
                <w:color w:val="auto"/>
              </w:rPr>
            </w:pPr>
            <w:r>
              <w:rPr>
                <w:rFonts w:ascii="Arial" w:cs="Arial" w:eastAsia="Arial" w:hAnsi="Arial"/>
                <w:sz w:val="17"/>
                <w:szCs w:val="17"/>
                <w:color w:val="auto"/>
              </w:rPr>
              <w:t>Secretary</w:t>
            </w:r>
          </w:p>
        </w:tc>
      </w:tr>
    </w:tbl>
    <w:p>
      <w:pPr>
        <w:spacing w:after="0" w:line="222"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[SIGNATURE PAGES CONTINUE]</w:t>
      </w:r>
    </w:p>
    <w:p>
      <w:pPr>
        <w:spacing w:after="0" w:line="218" w:lineRule="exact"/>
        <w:rPr>
          <w:sz w:val="20"/>
          <w:szCs w:val="20"/>
          <w:color w:val="auto"/>
        </w:rPr>
      </w:pPr>
    </w:p>
    <w:p>
      <w:pPr>
        <w:spacing w:after="0"/>
        <w:rPr>
          <w:sz w:val="20"/>
          <w:szCs w:val="20"/>
          <w:color w:val="auto"/>
        </w:rPr>
      </w:pPr>
      <w:r>
        <w:rPr>
          <w:rFonts w:ascii="Arial" w:cs="Arial" w:eastAsia="Arial" w:hAnsi="Arial"/>
          <w:sz w:val="17"/>
          <w:szCs w:val="17"/>
          <w:color w:val="auto"/>
        </w:rPr>
        <w:t>[Second Amendment – Cracker Barrel Old Country Store,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9"/>
          </w:cols>
          <w:pgMar w:left="240" w:top="501" w:right="1440" w:bottom="1440" w:gutter="0" w:footer="0" w:header="0"/>
        </w:sectPr>
      </w:pPr>
    </w:p>
    <w:bookmarkStart w:id="38" w:name="page39"/>
    <w:bookmarkEnd w:id="38"/>
    <w:p>
      <w:pPr>
        <w:jc w:val="center"/>
        <w:ind w:right="-440"/>
        <w:spacing w:after="0"/>
        <w:rPr>
          <w:sz w:val="20"/>
          <w:szCs w:val="20"/>
          <w:color w:val="auto"/>
        </w:rPr>
      </w:pPr>
      <w:r>
        <w:rPr>
          <w:rFonts w:ascii="Arial" w:cs="Arial" w:eastAsia="Arial" w:hAnsi="Arial"/>
          <w:sz w:val="17"/>
          <w:szCs w:val="17"/>
          <w:color w:val="auto"/>
        </w:rPr>
        <w:t>CBOCS WEST, INC.</w:t>
      </w:r>
    </w:p>
    <w:p>
      <w:pPr>
        <w:spacing w:after="0" w:line="218" w:lineRule="exact"/>
        <w:rPr>
          <w:sz w:val="20"/>
          <w:szCs w:val="20"/>
          <w:color w:val="auto"/>
        </w:rPr>
      </w:pPr>
    </w:p>
    <w:tbl>
      <w:tblPr>
        <w:tblLayout w:type="fixed"/>
        <w:tblInd w:w="4580" w:type="dxa"/>
        <w:tblCellMar>
          <w:top w:w="0" w:type="dxa"/>
          <w:left w:w="0" w:type="dxa"/>
          <w:bottom w:w="0" w:type="dxa"/>
          <w:right w:w="0" w:type="dxa"/>
        </w:tblCellMar>
      </w:tblPr>
      <w:tr>
        <w:trPr>
          <w:trHeight w:val="225"/>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Michael J. Zylstra</w:t>
            </w:r>
          </w:p>
        </w:tc>
      </w:tr>
      <w:tr>
        <w:trPr>
          <w:trHeight w:val="194"/>
        </w:trPr>
        <w:tc>
          <w:tcPr>
            <w:tcW w:w="580" w:type="dxa"/>
            <w:vAlign w:val="bottom"/>
          </w:tcPr>
          <w:p>
            <w:pPr>
              <w:spacing w:after="0" w:line="194" w:lineRule="exact"/>
              <w:rPr>
                <w:sz w:val="20"/>
                <w:szCs w:val="20"/>
                <w:color w:val="auto"/>
              </w:rPr>
            </w:pPr>
            <w:r>
              <w:rPr>
                <w:rFonts w:ascii="Arial" w:cs="Arial" w:eastAsia="Arial" w:hAnsi="Arial"/>
                <w:sz w:val="17"/>
                <w:szCs w:val="17"/>
                <w:color w:val="auto"/>
              </w:rPr>
              <w:t>Name:</w:t>
            </w:r>
          </w:p>
        </w:tc>
        <w:tc>
          <w:tcPr>
            <w:tcW w:w="3980" w:type="dxa"/>
            <w:vAlign w:val="bottom"/>
          </w:tcPr>
          <w:p>
            <w:pPr>
              <w:spacing w:after="0" w:line="194" w:lineRule="exact"/>
              <w:rPr>
                <w:sz w:val="20"/>
                <w:szCs w:val="20"/>
                <w:color w:val="auto"/>
              </w:rPr>
            </w:pPr>
            <w:r>
              <w:rPr>
                <w:rFonts w:ascii="Arial" w:cs="Arial" w:eastAsia="Arial" w:hAnsi="Arial"/>
                <w:sz w:val="17"/>
                <w:szCs w:val="17"/>
                <w:color w:val="auto"/>
              </w:rPr>
              <w:t>Michael J. Zylstra</w:t>
            </w:r>
          </w:p>
        </w:tc>
      </w:tr>
      <w:tr>
        <w:trPr>
          <w:trHeight w:val="217"/>
        </w:trPr>
        <w:tc>
          <w:tcPr>
            <w:tcW w:w="580" w:type="dxa"/>
            <w:vAlign w:val="bottom"/>
          </w:tcPr>
          <w:p>
            <w:pPr>
              <w:spacing w:after="0"/>
              <w:rPr>
                <w:sz w:val="20"/>
                <w:szCs w:val="20"/>
                <w:color w:val="auto"/>
              </w:rPr>
            </w:pPr>
            <w:r>
              <w:rPr>
                <w:rFonts w:ascii="Arial" w:cs="Arial" w:eastAsia="Arial" w:hAnsi="Arial"/>
                <w:sz w:val="17"/>
                <w:szCs w:val="17"/>
                <w:color w:val="auto"/>
              </w:rPr>
              <w:t>Title:</w:t>
            </w:r>
          </w:p>
        </w:tc>
        <w:tc>
          <w:tcPr>
            <w:tcW w:w="3980" w:type="dxa"/>
            <w:vAlign w:val="bottom"/>
          </w:tcPr>
          <w:p>
            <w:pPr>
              <w:spacing w:after="0"/>
              <w:rPr>
                <w:sz w:val="20"/>
                <w:szCs w:val="20"/>
                <w:color w:val="auto"/>
              </w:rPr>
            </w:pPr>
            <w:r>
              <w:rPr>
                <w:rFonts w:ascii="Arial" w:cs="Arial" w:eastAsia="Arial" w:hAnsi="Arial"/>
                <w:sz w:val="17"/>
                <w:szCs w:val="17"/>
                <w:color w:val="auto"/>
              </w:rPr>
              <w:t>Secretary</w:t>
            </w:r>
          </w:p>
        </w:tc>
      </w:tr>
      <w:tr>
        <w:trPr>
          <w:trHeight w:val="413"/>
        </w:trPr>
        <w:tc>
          <w:tcPr>
            <w:tcW w:w="4560" w:type="dxa"/>
            <w:vAlign w:val="bottom"/>
            <w:gridSpan w:val="2"/>
          </w:tcPr>
          <w:p>
            <w:pPr>
              <w:spacing w:after="0"/>
              <w:rPr>
                <w:sz w:val="20"/>
                <w:szCs w:val="20"/>
                <w:color w:val="auto"/>
              </w:rPr>
            </w:pPr>
            <w:r>
              <w:rPr>
                <w:rFonts w:ascii="Arial" w:cs="Arial" w:eastAsia="Arial" w:hAnsi="Arial"/>
                <w:sz w:val="17"/>
                <w:szCs w:val="17"/>
                <w:color w:val="auto"/>
              </w:rPr>
              <w:t>ROCKING CHAIR, INC.</w:t>
            </w:r>
          </w:p>
        </w:tc>
      </w:tr>
      <w:tr>
        <w:trPr>
          <w:trHeight w:val="420"/>
        </w:trPr>
        <w:tc>
          <w:tcPr>
            <w:tcW w:w="580" w:type="dxa"/>
            <w:vAlign w:val="bottom"/>
          </w:tcPr>
          <w:p>
            <w:pPr>
              <w:spacing w:after="0"/>
              <w:rPr>
                <w:sz w:val="20"/>
                <w:szCs w:val="20"/>
                <w:color w:val="auto"/>
              </w:rPr>
            </w:pPr>
            <w:r>
              <w:rPr>
                <w:rFonts w:ascii="Arial" w:cs="Arial" w:eastAsia="Arial" w:hAnsi="Arial"/>
                <w:sz w:val="17"/>
                <w:szCs w:val="17"/>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Elizabeth Wilson</w:t>
            </w:r>
          </w:p>
        </w:tc>
      </w:tr>
      <w:tr>
        <w:trPr>
          <w:trHeight w:val="194"/>
        </w:trPr>
        <w:tc>
          <w:tcPr>
            <w:tcW w:w="580" w:type="dxa"/>
            <w:vAlign w:val="bottom"/>
          </w:tcPr>
          <w:p>
            <w:pPr>
              <w:spacing w:after="0" w:line="194" w:lineRule="exact"/>
              <w:rPr>
                <w:sz w:val="20"/>
                <w:szCs w:val="20"/>
                <w:color w:val="auto"/>
              </w:rPr>
            </w:pPr>
            <w:r>
              <w:rPr>
                <w:rFonts w:ascii="Arial" w:cs="Arial" w:eastAsia="Arial" w:hAnsi="Arial"/>
                <w:sz w:val="17"/>
                <w:szCs w:val="17"/>
                <w:color w:val="auto"/>
              </w:rPr>
              <w:t>Name:</w:t>
            </w:r>
          </w:p>
        </w:tc>
        <w:tc>
          <w:tcPr>
            <w:tcW w:w="3980" w:type="dxa"/>
            <w:vAlign w:val="bottom"/>
          </w:tcPr>
          <w:p>
            <w:pPr>
              <w:spacing w:after="0" w:line="194" w:lineRule="exact"/>
              <w:rPr>
                <w:sz w:val="20"/>
                <w:szCs w:val="20"/>
                <w:color w:val="auto"/>
              </w:rPr>
            </w:pPr>
            <w:r>
              <w:rPr>
                <w:rFonts w:ascii="Arial" w:cs="Arial" w:eastAsia="Arial" w:hAnsi="Arial"/>
                <w:sz w:val="17"/>
                <w:szCs w:val="17"/>
                <w:color w:val="auto"/>
              </w:rPr>
              <w:t>Elizabeth Wilson</w:t>
            </w:r>
          </w:p>
        </w:tc>
      </w:tr>
      <w:tr>
        <w:trPr>
          <w:trHeight w:val="217"/>
        </w:trPr>
        <w:tc>
          <w:tcPr>
            <w:tcW w:w="580" w:type="dxa"/>
            <w:vAlign w:val="bottom"/>
          </w:tcPr>
          <w:p>
            <w:pPr>
              <w:spacing w:after="0"/>
              <w:rPr>
                <w:sz w:val="20"/>
                <w:szCs w:val="20"/>
                <w:color w:val="auto"/>
              </w:rPr>
            </w:pPr>
            <w:r>
              <w:rPr>
                <w:rFonts w:ascii="Arial" w:cs="Arial" w:eastAsia="Arial" w:hAnsi="Arial"/>
                <w:sz w:val="17"/>
                <w:szCs w:val="17"/>
                <w:color w:val="auto"/>
              </w:rPr>
              <w:t>Title:</w:t>
            </w:r>
          </w:p>
        </w:tc>
        <w:tc>
          <w:tcPr>
            <w:tcW w:w="3980" w:type="dxa"/>
            <w:vAlign w:val="bottom"/>
          </w:tcPr>
          <w:p>
            <w:pPr>
              <w:spacing w:after="0"/>
              <w:rPr>
                <w:sz w:val="20"/>
                <w:szCs w:val="20"/>
                <w:color w:val="auto"/>
              </w:rPr>
            </w:pPr>
            <w:r>
              <w:rPr>
                <w:rFonts w:ascii="Arial" w:cs="Arial" w:eastAsia="Arial" w:hAnsi="Arial"/>
                <w:sz w:val="17"/>
                <w:szCs w:val="17"/>
                <w:color w:val="auto"/>
              </w:rPr>
              <w:t>Assistant Secretary</w:t>
            </w:r>
          </w:p>
        </w:tc>
      </w:tr>
    </w:tbl>
    <w:p>
      <w:pPr>
        <w:spacing w:after="0" w:line="222" w:lineRule="exact"/>
        <w:rPr>
          <w:sz w:val="20"/>
          <w:szCs w:val="20"/>
          <w:color w:val="auto"/>
        </w:rPr>
      </w:pPr>
    </w:p>
    <w:p>
      <w:pPr>
        <w:ind w:left="4440"/>
        <w:spacing w:after="0"/>
        <w:rPr>
          <w:sz w:val="20"/>
          <w:szCs w:val="20"/>
          <w:color w:val="auto"/>
        </w:rPr>
      </w:pPr>
      <w:r>
        <w:rPr>
          <w:rFonts w:ascii="Arial" w:cs="Arial" w:eastAsia="Arial" w:hAnsi="Arial"/>
          <w:sz w:val="17"/>
          <w:szCs w:val="17"/>
          <w:color w:val="auto"/>
        </w:rPr>
        <w:t>[SIGNATURE PAGES CONTINUE]</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[Second Amendment – Cracker Barrel Old Country Store,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9"/>
          </w:cols>
          <w:pgMar w:left="240" w:top="501" w:right="1440" w:bottom="1440" w:gutter="0" w:footer="0" w:header="0"/>
        </w:sectPr>
      </w:pPr>
    </w:p>
    <w:bookmarkStart w:id="39" w:name="page40"/>
    <w:bookmarkEnd w:id="39"/>
    <w:p>
      <w:pPr>
        <w:spacing w:after="0"/>
        <w:tabs>
          <w:tab w:leader="none" w:pos="4520" w:val="left"/>
        </w:tabs>
        <w:rPr>
          <w:sz w:val="20"/>
          <w:szCs w:val="20"/>
          <w:color w:val="auto"/>
        </w:rPr>
      </w:pPr>
      <w:r>
        <w:rPr>
          <w:rFonts w:ascii="Arial" w:cs="Arial" w:eastAsia="Arial" w:hAnsi="Arial"/>
          <w:sz w:val="17"/>
          <w:szCs w:val="17"/>
          <w:u w:val="single" w:color="auto"/>
          <w:color w:val="auto"/>
        </w:rPr>
        <w:t>ADMINISTRATIVE AGENT:</w:t>
      </w:r>
      <w:r>
        <w:rPr>
          <w:sz w:val="20"/>
          <w:szCs w:val="20"/>
          <w:color w:val="auto"/>
        </w:rPr>
        <w:tab/>
      </w:r>
      <w:r>
        <w:rPr>
          <w:rFonts w:ascii="Arial" w:cs="Arial" w:eastAsia="Arial" w:hAnsi="Arial"/>
          <w:sz w:val="16"/>
          <w:szCs w:val="16"/>
          <w:color w:val="auto"/>
        </w:rPr>
        <w:t>WELLS FARGO BANK, NATIONAL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121285</wp:posOffset>
            </wp:positionV>
            <wp:extent cx="2730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7305" cy="8255"/>
                    </a:xfrm>
                    <a:prstGeom prst="rect">
                      <a:avLst/>
                    </a:prstGeom>
                    <a:noFill/>
                  </pic:spPr>
                </pic:pic>
              </a:graphicData>
            </a:graphic>
          </wp:anchor>
        </w:drawing>
      </w:r>
    </w:p>
    <w:p>
      <w:pPr>
        <w:spacing w:after="0" w:line="198" w:lineRule="exact"/>
        <w:rPr>
          <w:sz w:val="20"/>
          <w:szCs w:val="20"/>
          <w:color w:val="auto"/>
        </w:rPr>
      </w:pPr>
    </w:p>
    <w:p>
      <w:pPr>
        <w:ind w:left="4540"/>
        <w:spacing w:after="0"/>
        <w:rPr>
          <w:sz w:val="20"/>
          <w:szCs w:val="20"/>
          <w:color w:val="auto"/>
        </w:rPr>
      </w:pPr>
      <w:r>
        <w:rPr>
          <w:rFonts w:ascii="Arial" w:cs="Arial" w:eastAsia="Arial" w:hAnsi="Arial"/>
          <w:sz w:val="15"/>
          <w:szCs w:val="15"/>
          <w:color w:val="auto"/>
        </w:rPr>
        <w:t>as Administrative Agent on behalf of itself and the Required Lenders,</w:t>
      </w:r>
    </w:p>
    <w:p>
      <w:pPr>
        <w:spacing w:after="0" w:line="240" w:lineRule="exact"/>
        <w:rPr>
          <w:sz w:val="20"/>
          <w:szCs w:val="20"/>
          <w:color w:val="auto"/>
        </w:rPr>
      </w:pPr>
    </w:p>
    <w:p>
      <w:pPr>
        <w:ind w:left="4540"/>
        <w:spacing w:after="0"/>
        <w:tabs>
          <w:tab w:leader="none" w:pos="5060" w:val="left"/>
        </w:tabs>
        <w:rPr>
          <w:sz w:val="20"/>
          <w:szCs w:val="20"/>
          <w:color w:val="auto"/>
        </w:rPr>
      </w:pPr>
      <w:r>
        <w:rPr>
          <w:rFonts w:ascii="Arial" w:cs="Arial" w:eastAsia="Arial" w:hAnsi="Arial"/>
          <w:sz w:val="17"/>
          <w:szCs w:val="17"/>
          <w:color w:val="auto"/>
        </w:rPr>
        <w:t>By:</w:t>
      </w:r>
      <w:r>
        <w:rPr>
          <w:sz w:val="20"/>
          <w:szCs w:val="20"/>
          <w:color w:val="auto"/>
        </w:rPr>
        <w:tab/>
      </w:r>
      <w:r>
        <w:rPr>
          <w:rFonts w:ascii="Arial" w:cs="Arial" w:eastAsia="Arial" w:hAnsi="Arial"/>
          <w:sz w:val="17"/>
          <w:szCs w:val="17"/>
          <w:color w:val="auto"/>
        </w:rPr>
        <w:t>/s/ Stephen A. Leon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3222625</wp:posOffset>
            </wp:positionH>
            <wp:positionV relativeFrom="paragraph">
              <wp:posOffset>14605</wp:posOffset>
            </wp:positionV>
            <wp:extent cx="2589530" cy="1651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589530" cy="16510"/>
                    </a:xfrm>
                    <a:prstGeom prst="rect">
                      <a:avLst/>
                    </a:prstGeom>
                    <a:noFill/>
                  </pic:spPr>
                </pic:pic>
              </a:graphicData>
            </a:graphic>
          </wp:anchor>
        </w:drawing>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17"/>
          <w:szCs w:val="17"/>
          <w:color w:val="auto"/>
        </w:rPr>
        <w:t>Name: Stephen A. Leon</w:t>
      </w:r>
    </w:p>
    <w:p>
      <w:pPr>
        <w:spacing w:after="0" w:line="22" w:lineRule="exact"/>
        <w:rPr>
          <w:sz w:val="20"/>
          <w:szCs w:val="20"/>
          <w:color w:val="auto"/>
        </w:rPr>
      </w:pPr>
    </w:p>
    <w:p>
      <w:pPr>
        <w:ind w:left="4540"/>
        <w:spacing w:after="0"/>
        <w:tabs>
          <w:tab w:leader="none" w:pos="5060" w:val="left"/>
        </w:tabs>
        <w:rPr>
          <w:sz w:val="20"/>
          <w:szCs w:val="20"/>
          <w:color w:val="auto"/>
        </w:rPr>
      </w:pPr>
      <w:r>
        <w:rPr>
          <w:rFonts w:ascii="Arial" w:cs="Arial" w:eastAsia="Arial" w:hAnsi="Arial"/>
          <w:sz w:val="17"/>
          <w:szCs w:val="17"/>
          <w:color w:val="auto"/>
        </w:rPr>
        <w:t>Title:</w:t>
      </w:r>
      <w:r>
        <w:rPr>
          <w:sz w:val="20"/>
          <w:szCs w:val="20"/>
          <w:color w:val="auto"/>
        </w:rPr>
        <w:tab/>
      </w:r>
      <w:r>
        <w:rPr>
          <w:rFonts w:ascii="Arial" w:cs="Arial" w:eastAsia="Arial" w:hAnsi="Arial"/>
          <w:sz w:val="15"/>
          <w:szCs w:val="15"/>
          <w:color w:val="auto"/>
        </w:rPr>
        <w:t>Managing Director</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color w:val="auto"/>
        </w:rPr>
        <w:t>[Second Amendment – Cracker Barrel Old Country Store,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405765</wp:posOffset>
            </wp:positionV>
            <wp:extent cx="725741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10219"/>
          </w:cols>
          <w:pgMar w:left="240" w:top="501" w:right="1440" w:bottom="1440" w:gutter="0" w:footer="0" w:header="0"/>
        </w:sectPr>
      </w:pPr>
    </w:p>
    <w:bookmarkStart w:id="40" w:name="page41"/>
    <w:bookmarkEnd w:id="40"/>
    <w:p>
      <w:pPr>
        <w:jc w:val="center"/>
        <w:spacing w:after="0"/>
        <w:rPr>
          <w:sz w:val="20"/>
          <w:szCs w:val="20"/>
          <w:color w:val="auto"/>
        </w:rPr>
      </w:pPr>
      <w:r>
        <w:rPr>
          <w:rFonts w:ascii="Arial" w:cs="Arial" w:eastAsia="Arial" w:hAnsi="Arial"/>
          <w:sz w:val="17"/>
          <w:szCs w:val="17"/>
          <w:b w:val="1"/>
          <w:bCs w:val="1"/>
          <w:color w:val="auto"/>
        </w:rPr>
        <w:t>Exhibit A</w:t>
      </w:r>
    </w:p>
    <w:p>
      <w:pPr>
        <w:spacing w:after="0" w:line="28" w:lineRule="exact"/>
        <w:rPr>
          <w:sz w:val="20"/>
          <w:szCs w:val="20"/>
          <w:color w:val="auto"/>
        </w:rPr>
      </w:pPr>
    </w:p>
    <w:p>
      <w:pPr>
        <w:jc w:val="center"/>
        <w:spacing w:after="0"/>
        <w:rPr>
          <w:sz w:val="20"/>
          <w:szCs w:val="20"/>
          <w:color w:val="auto"/>
        </w:rPr>
      </w:pPr>
      <w:r>
        <w:rPr>
          <w:rFonts w:ascii="Arial" w:cs="Arial" w:eastAsia="Arial" w:hAnsi="Arial"/>
          <w:sz w:val="15"/>
          <w:szCs w:val="15"/>
          <w:b w:val="1"/>
          <w:bCs w:val="1"/>
          <w:u w:val="single" w:color="auto"/>
          <w:color w:val="auto"/>
        </w:rPr>
        <w:t>(to Second Amendment to Credit Agreement)</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-761365</wp:posOffset>
            </wp:positionH>
            <wp:positionV relativeFrom="paragraph">
              <wp:posOffset>405765</wp:posOffset>
            </wp:positionV>
            <wp:extent cx="725741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7415" cy="20955"/>
                    </a:xfrm>
                    <a:prstGeom prst="rect">
                      <a:avLst/>
                    </a:prstGeom>
                    <a:noFill/>
                  </pic:spPr>
                </pic:pic>
              </a:graphicData>
            </a:graphic>
          </wp:anchor>
        </w:drawing>
      </w:r>
    </w:p>
    <w:p>
      <w:pPr>
        <w:sectPr>
          <w:pgSz w:w="11900" w:h="16838" w:orient="portrait"/>
          <w:cols w:equalWidth="0" w:num="1">
            <w:col w:w="9019"/>
          </w:cols>
          <w:pgMar w:left="1440" w:top="470" w:right="1440" w:bottom="1440" w:gutter="0" w:footer="0" w:header="0"/>
        </w:sectPr>
      </w:pPr>
    </w:p>
    <w:bookmarkStart w:id="41" w:name="page42"/>
    <w:bookmarkEnd w:id="41"/>
    <w:p>
      <w:pPr>
        <w:jc w:val="center"/>
        <w:spacing w:after="0"/>
        <w:rPr>
          <w:sz w:val="20"/>
          <w:szCs w:val="20"/>
          <w:color w:val="auto"/>
        </w:rPr>
      </w:pPr>
      <w:r>
        <w:rPr>
          <w:rFonts w:ascii="Arial" w:cs="Arial" w:eastAsia="Arial" w:hAnsi="Arial"/>
          <w:sz w:val="17"/>
          <w:szCs w:val="17"/>
          <w:b w:val="1"/>
          <w:bCs w:val="1"/>
          <w:u w:val="single" w:color="auto"/>
          <w:color w:val="auto"/>
        </w:rPr>
        <w:t>LENDER AUTHORIZATION AND CONSENT</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Cracker Barrel Old Country Store, Inc.</w:t>
      </w:r>
    </w:p>
    <w:p>
      <w:pPr>
        <w:spacing w:after="0" w:line="249" w:lineRule="exact"/>
        <w:rPr>
          <w:sz w:val="20"/>
          <w:szCs w:val="20"/>
          <w:color w:val="auto"/>
        </w:rPr>
      </w:pPr>
    </w:p>
    <w:p>
      <w:pPr>
        <w:ind w:left="5140"/>
        <w:spacing w:after="0"/>
        <w:rPr>
          <w:sz w:val="20"/>
          <w:szCs w:val="20"/>
          <w:color w:val="auto"/>
        </w:rPr>
      </w:pPr>
      <w:r>
        <w:rPr>
          <w:rFonts w:ascii="Arial" w:cs="Arial" w:eastAsia="Arial" w:hAnsi="Arial"/>
          <w:sz w:val="17"/>
          <w:szCs w:val="17"/>
          <w:color w:val="auto"/>
        </w:rPr>
        <w:t>May ____, 2013</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Wells Fargo Bank, National Association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NC0680</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1525 West W.T. Harris Blvd.</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Charlotte, North Carolina 28262</w:t>
      </w:r>
    </w:p>
    <w:p>
      <w:pPr>
        <w:spacing w:after="0" w:line="11" w:lineRule="exact"/>
        <w:rPr>
          <w:sz w:val="20"/>
          <w:szCs w:val="20"/>
          <w:color w:val="auto"/>
        </w:rPr>
      </w:pPr>
    </w:p>
    <w:p>
      <w:pPr>
        <w:spacing w:after="0"/>
        <w:rPr>
          <w:sz w:val="20"/>
          <w:szCs w:val="20"/>
          <w:color w:val="auto"/>
        </w:rPr>
      </w:pPr>
      <w:r>
        <w:rPr>
          <w:rFonts w:ascii="Arial" w:cs="Arial" w:eastAsia="Arial" w:hAnsi="Arial"/>
          <w:sz w:val="17"/>
          <w:szCs w:val="17"/>
          <w:color w:val="auto"/>
        </w:rPr>
        <w:t>Attention: Syndication Agency Services</w:t>
      </w:r>
    </w:p>
    <w:p>
      <w:pPr>
        <w:spacing w:after="0" w:line="217" w:lineRule="exact"/>
        <w:rPr>
          <w:sz w:val="20"/>
          <w:szCs w:val="20"/>
          <w:color w:val="auto"/>
        </w:rPr>
      </w:pPr>
    </w:p>
    <w:tbl>
      <w:tblPr>
        <w:tblLayout w:type="fixed"/>
        <w:tblInd w:w="620" w:type="dxa"/>
        <w:tblCellMar>
          <w:top w:w="0" w:type="dxa"/>
          <w:left w:w="0" w:type="dxa"/>
          <w:bottom w:w="0" w:type="dxa"/>
          <w:right w:w="0" w:type="dxa"/>
        </w:tblCellMar>
      </w:tblPr>
      <w:tr>
        <w:trPr>
          <w:trHeight w:val="195"/>
        </w:trPr>
        <w:tc>
          <w:tcPr>
            <w:tcW w:w="440" w:type="dxa"/>
            <w:vAlign w:val="bottom"/>
          </w:tcPr>
          <w:p>
            <w:pPr>
              <w:spacing w:after="0"/>
              <w:rPr>
                <w:sz w:val="20"/>
                <w:szCs w:val="20"/>
                <w:color w:val="auto"/>
              </w:rPr>
            </w:pPr>
            <w:r>
              <w:rPr>
                <w:rFonts w:ascii="Arial" w:cs="Arial" w:eastAsia="Arial" w:hAnsi="Arial"/>
                <w:sz w:val="17"/>
                <w:szCs w:val="17"/>
                <w:color w:val="auto"/>
              </w:rPr>
              <w:t>Re:</w:t>
            </w:r>
          </w:p>
        </w:tc>
        <w:tc>
          <w:tcPr>
            <w:tcW w:w="10360" w:type="dxa"/>
            <w:vAlign w:val="bottom"/>
            <w:gridSpan w:val="11"/>
          </w:tcPr>
          <w:p>
            <w:pPr>
              <w:ind w:left="180"/>
              <w:spacing w:after="0"/>
              <w:rPr>
                <w:sz w:val="20"/>
                <w:szCs w:val="20"/>
                <w:color w:val="auto"/>
              </w:rPr>
            </w:pPr>
            <w:r>
              <w:rPr>
                <w:rFonts w:ascii="Arial" w:cs="Arial" w:eastAsia="Arial" w:hAnsi="Arial"/>
                <w:sz w:val="17"/>
                <w:szCs w:val="17"/>
                <w:color w:val="auto"/>
                <w:w w:val="93"/>
              </w:rPr>
              <w:t>Second Amendment to Credit Agreement dated as of May __, 2013 (the “Second Amendment”) to that certain Credit Agreement dated as of July</w:t>
            </w:r>
          </w:p>
        </w:tc>
      </w:tr>
      <w:tr>
        <w:trPr>
          <w:trHeight w:val="20"/>
        </w:trPr>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86"/>
        </w:trPr>
        <w:tc>
          <w:tcPr>
            <w:tcW w:w="440" w:type="dxa"/>
            <w:vAlign w:val="bottom"/>
          </w:tcPr>
          <w:p>
            <w:pPr>
              <w:spacing w:after="0"/>
              <w:rPr>
                <w:sz w:val="16"/>
                <w:szCs w:val="16"/>
                <w:color w:val="auto"/>
              </w:rPr>
            </w:pPr>
          </w:p>
        </w:tc>
        <w:tc>
          <w:tcPr>
            <w:tcW w:w="10360" w:type="dxa"/>
            <w:vAlign w:val="bottom"/>
            <w:gridSpan w:val="11"/>
          </w:tcPr>
          <w:p>
            <w:pPr>
              <w:ind w:left="180"/>
              <w:spacing w:after="0" w:line="186" w:lineRule="exact"/>
              <w:rPr>
                <w:sz w:val="20"/>
                <w:szCs w:val="20"/>
                <w:color w:val="auto"/>
              </w:rPr>
            </w:pPr>
            <w:r>
              <w:rPr>
                <w:rFonts w:ascii="Arial" w:cs="Arial" w:eastAsia="Arial" w:hAnsi="Arial"/>
                <w:sz w:val="17"/>
                <w:szCs w:val="17"/>
                <w:color w:val="auto"/>
                <w:w w:val="94"/>
              </w:rPr>
              <w:t>8, 2011 (as amended, the “Credit Agreement”) among Cracker Barrel Old Country Store, Inc. (the “Borrower”), the lenders identified therein (the</w:t>
            </w:r>
          </w:p>
        </w:tc>
      </w:tr>
      <w:tr>
        <w:trPr>
          <w:trHeight w:val="20"/>
        </w:trPr>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80" w:type="dxa"/>
            <w:vAlign w:val="bottom"/>
            <w:gridSpan w:val="2"/>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r>
        <w:trPr>
          <w:trHeight w:val="186"/>
        </w:trPr>
        <w:tc>
          <w:tcPr>
            <w:tcW w:w="440" w:type="dxa"/>
            <w:vAlign w:val="bottom"/>
          </w:tcPr>
          <w:p>
            <w:pPr>
              <w:spacing w:after="0"/>
              <w:rPr>
                <w:sz w:val="16"/>
                <w:szCs w:val="16"/>
                <w:color w:val="auto"/>
              </w:rPr>
            </w:pPr>
          </w:p>
        </w:tc>
        <w:tc>
          <w:tcPr>
            <w:tcW w:w="10360" w:type="dxa"/>
            <w:vAlign w:val="bottom"/>
            <w:gridSpan w:val="11"/>
          </w:tcPr>
          <w:p>
            <w:pPr>
              <w:ind w:left="180"/>
              <w:spacing w:after="0" w:line="186" w:lineRule="exact"/>
              <w:rPr>
                <w:sz w:val="20"/>
                <w:szCs w:val="20"/>
                <w:color w:val="auto"/>
              </w:rPr>
            </w:pPr>
            <w:r>
              <w:rPr>
                <w:rFonts w:ascii="Arial" w:cs="Arial" w:eastAsia="Arial" w:hAnsi="Arial"/>
                <w:sz w:val="17"/>
                <w:szCs w:val="17"/>
                <w:color w:val="auto"/>
              </w:rPr>
              <w:t>“Lenders”) and Wells Fargo Bank, National Association, as administrative agent (the “Administrative Agent”) for the Lenders.</w:t>
            </w:r>
          </w:p>
        </w:tc>
      </w:tr>
      <w:tr>
        <w:trPr>
          <w:trHeight w:val="20"/>
        </w:trPr>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This Lender Authorization and Consent acknowledges our receipt and review of the execution copy of the Second Amendment in the form posted on SyndTrak Online or otherwise distributed to us by the Administrative Agent. By executing this Lender Authorization and Consent, we hereby irrevocably approve the Second Amendment and authorize the Administrative Agent to execute and deliver the Second Amendment on our behalf.</w:t>
      </w:r>
    </w:p>
    <w:p>
      <w:pPr>
        <w:spacing w:after="0" w:line="20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Each financial institution executing this Lender Authorization and Consent agrees or reaffirms that it shall be a party to the Second Amendment and the other Loan Documents (as defined in the Credit Agreement), and agrees to be bound by the terms and provisions applicable to a “Lender” under each such agreement. In furtherance of the foregoing, each financial institution executing this Lender Authorization and Consent agrees to execute any additional documents reasonably requested by the Administrative Agent to evidence such financial institution’s rights and obligations under the Credit Agreement.</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7"/>
          <w:szCs w:val="17"/>
          <w:color w:val="auto"/>
        </w:rPr>
        <w:t xml:space="preserve">Please complete the below signature block and deliver one copy via pdf or facsimile to: Laura Jervis at Winston &amp; Strawn, 100 North Tryon Street, Charlotte, NC 28202, Phone: (704) 350-7765, Fax: (704) 350-7800, E-mail: </w:t>
      </w:r>
      <w:r>
        <w:rPr>
          <w:rFonts w:ascii="Arial" w:cs="Arial" w:eastAsia="Arial" w:hAnsi="Arial"/>
          <w:sz w:val="17"/>
          <w:szCs w:val="17"/>
          <w:u w:val="single" w:color="auto"/>
          <w:color w:val="auto"/>
        </w:rPr>
        <w:t>ljervis@winston.com</w:t>
      </w:r>
      <w:r>
        <w:rPr>
          <w:rFonts w:ascii="Arial" w:cs="Arial" w:eastAsia="Arial" w:hAnsi="Arial"/>
          <w:sz w:val="17"/>
          <w:szCs w:val="17"/>
          <w:color w:val="auto"/>
        </w:rPr>
        <w:t>. A facsimile, telecopy, pdf or other reproduction of this Lender Authorization and Consent may be executed by one or more parties hereto, and an executed copy of this Lender Authorization and Consent may be delivered by one or more parties hereto by facsimile or similar instantaneous electronic transmission device pursuant to which the signature of or on behalf of such party can be seen, and such execution and delivery shall be considered valid, binding and effective for all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3190240</wp:posOffset>
            </wp:positionH>
            <wp:positionV relativeFrom="paragraph">
              <wp:posOffset>269875</wp:posOffset>
            </wp:positionV>
            <wp:extent cx="3261360" cy="1651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261360" cy="165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Insert name of applicable financial institution</w:t>
      </w:r>
      <w:r>
        <w:rPr>
          <w:rFonts w:ascii="Arial" w:cs="Arial" w:eastAsia="Arial" w:hAnsi="Arial"/>
          <w:sz w:val="17"/>
          <w:szCs w:val="17"/>
          <w:color w:val="auto"/>
        </w:rPr>
        <w:t>]</w:t>
      </w:r>
    </w:p>
    <w:p>
      <w:pPr>
        <w:spacing w:after="0" w:line="218"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14605</wp:posOffset>
            </wp:positionV>
            <wp:extent cx="2950210" cy="1651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50210" cy="16510"/>
                    </a:xfrm>
                    <a:prstGeom prst="rect">
                      <a:avLst/>
                    </a:prstGeom>
                    <a:noFill/>
                  </pic:spPr>
                </pic:pic>
              </a:graphicData>
            </a:graphic>
          </wp:anchor>
        </w:drawing>
      </w:r>
    </w:p>
    <w:p>
      <w:pPr>
        <w:spacing w:after="0" w:line="17"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14605</wp:posOffset>
            </wp:positionV>
            <wp:extent cx="2950210" cy="165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2950210" cy="16510"/>
                    </a:xfrm>
                    <a:prstGeom prst="rect">
                      <a:avLst/>
                    </a:prstGeom>
                    <a:noFill/>
                  </pic:spPr>
                </pic:pic>
              </a:graphicData>
            </a:graphic>
          </wp:anchor>
        </w:drawing>
      </w:r>
    </w:p>
    <w:p>
      <w:pPr>
        <w:spacing w:after="0" w:line="17" w:lineRule="exact"/>
        <w:rPr>
          <w:sz w:val="20"/>
          <w:szCs w:val="20"/>
          <w:color w:val="auto"/>
        </w:rPr>
      </w:pPr>
    </w:p>
    <w:p>
      <w:pPr>
        <w:ind w:left="502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3501390</wp:posOffset>
            </wp:positionH>
            <wp:positionV relativeFrom="paragraph">
              <wp:posOffset>14605</wp:posOffset>
            </wp:positionV>
            <wp:extent cx="2950210" cy="1651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950210" cy="1651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373380</wp:posOffset>
            </wp:positionV>
            <wp:extent cx="7273290" cy="209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495" w:right="239" w:bottom="1440" w:gutter="0" w:footer="0" w:header="0"/>
        </w:sectPr>
      </w:pPr>
    </w:p>
    <w:bookmarkStart w:id="42" w:name="page43"/>
    <w:bookmarkEnd w:id="42"/>
    <w:p>
      <w:pPr>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3492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3290" cy="34925"/>
                    </a:xfrm>
                    <a:prstGeom prst="rect">
                      <a:avLst/>
                    </a:prstGeom>
                    <a:noFill/>
                  </pic:spPr>
                </pic:pic>
              </a:graphicData>
            </a:graphic>
          </wp:anchor>
        </w:drawing>
        <w:t>EXHIBIT 31.1</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I, Sandra B. Cochran, certify that:</w:t>
      </w:r>
    </w:p>
    <w:p>
      <w:pPr>
        <w:spacing w:after="0" w:line="243" w:lineRule="exact"/>
        <w:rPr>
          <w:sz w:val="20"/>
          <w:szCs w:val="20"/>
          <w:color w:val="auto"/>
        </w:rPr>
      </w:pPr>
    </w:p>
    <w:p>
      <w:pPr>
        <w:ind w:left="540" w:hanging="304"/>
        <w:spacing w:after="0"/>
        <w:tabs>
          <w:tab w:leader="none" w:pos="5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Cracker Barrel Old Country Store, Inc.;</w:t>
      </w:r>
    </w:p>
    <w:p>
      <w:pPr>
        <w:spacing w:after="0" w:line="243" w:lineRule="exact"/>
        <w:rPr>
          <w:rFonts w:ascii="Arial" w:cs="Arial" w:eastAsia="Arial" w:hAnsi="Arial"/>
          <w:sz w:val="17"/>
          <w:szCs w:val="17"/>
          <w:color w:val="auto"/>
        </w:rPr>
      </w:pPr>
    </w:p>
    <w:p>
      <w:pPr>
        <w:ind w:left="540" w:hanging="304"/>
        <w:spacing w:after="0" w:line="312" w:lineRule="auto"/>
        <w:tabs>
          <w:tab w:leader="none" w:pos="540" w:val="left"/>
        </w:tabs>
        <w:numPr>
          <w:ilvl w:val="1"/>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540" w:hanging="304"/>
        <w:spacing w:after="0" w:line="280" w:lineRule="auto"/>
        <w:tabs>
          <w:tab w:leader="none" w:pos="5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7"/>
          <w:szCs w:val="17"/>
          <w:color w:val="auto"/>
        </w:rPr>
      </w:pPr>
    </w:p>
    <w:p>
      <w:pPr>
        <w:jc w:val="both"/>
        <w:ind w:left="540" w:hanging="304"/>
        <w:spacing w:after="0" w:line="266" w:lineRule="auto"/>
        <w:tabs>
          <w:tab w:leader="none" w:pos="540" w:val="left"/>
        </w:tabs>
        <w:numPr>
          <w:ilvl w:val="1"/>
          <w:numId w:val="27"/>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7"/>
          <w:szCs w:val="17"/>
          <w:color w:val="auto"/>
        </w:rPr>
      </w:pPr>
    </w:p>
    <w:p>
      <w:pPr>
        <w:jc w:val="both"/>
        <w:ind w:left="1000" w:hanging="455"/>
        <w:spacing w:after="0" w:line="266" w:lineRule="auto"/>
        <w:tabs>
          <w:tab w:leader="none" w:pos="1000" w:val="left"/>
        </w:tabs>
        <w:numPr>
          <w:ilvl w:val="2"/>
          <w:numId w:val="27"/>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left="1000" w:hanging="455"/>
        <w:spacing w:after="0" w:line="266" w:lineRule="auto"/>
        <w:tabs>
          <w:tab w:leader="none" w:pos="1000" w:val="left"/>
        </w:tabs>
        <w:numPr>
          <w:ilvl w:val="2"/>
          <w:numId w:val="27"/>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1000" w:hanging="455"/>
        <w:spacing w:after="0" w:line="280" w:lineRule="auto"/>
        <w:tabs>
          <w:tab w:leader="none" w:pos="1000" w:val="left"/>
        </w:tabs>
        <w:numPr>
          <w:ilvl w:val="2"/>
          <w:numId w:val="27"/>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jc w:val="both"/>
        <w:ind w:left="1000" w:hanging="455"/>
        <w:spacing w:after="0" w:line="266" w:lineRule="auto"/>
        <w:tabs>
          <w:tab w:leader="none" w:pos="1000" w:val="left"/>
        </w:tabs>
        <w:numPr>
          <w:ilvl w:val="2"/>
          <w:numId w:val="27"/>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left="540" w:hanging="317"/>
        <w:spacing w:after="0" w:line="280" w:lineRule="auto"/>
        <w:tabs>
          <w:tab w:leader="none" w:pos="5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7"/>
          <w:szCs w:val="17"/>
          <w:color w:val="auto"/>
        </w:rPr>
      </w:pPr>
    </w:p>
    <w:p>
      <w:pPr>
        <w:ind w:left="1000" w:hanging="455"/>
        <w:spacing w:after="0" w:line="280" w:lineRule="auto"/>
        <w:tabs>
          <w:tab w:leader="none" w:pos="1000" w:val="left"/>
        </w:tabs>
        <w:numPr>
          <w:ilvl w:val="2"/>
          <w:numId w:val="28"/>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7"/>
          <w:szCs w:val="17"/>
          <w:color w:val="auto"/>
        </w:rPr>
      </w:pPr>
    </w:p>
    <w:p>
      <w:pPr>
        <w:ind w:left="1000" w:hanging="455"/>
        <w:spacing w:after="0" w:line="280" w:lineRule="auto"/>
        <w:tabs>
          <w:tab w:leader="none" w:pos="1000" w:val="left"/>
        </w:tabs>
        <w:numPr>
          <w:ilvl w:val="2"/>
          <w:numId w:val="28"/>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June 3, 2013</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/s/Sandra B. Cochran</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Sandra B. Cochran, President and</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349885</wp:posOffset>
            </wp:positionV>
            <wp:extent cx="7273290"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282" w:right="239" w:bottom="1440" w:gutter="0" w:footer="0" w:header="0"/>
        </w:sectPr>
      </w:pPr>
    </w:p>
    <w:bookmarkStart w:id="43" w:name="page44"/>
    <w:bookmarkEnd w:id="43"/>
    <w:p>
      <w:pPr>
        <w:spacing w:after="0"/>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3492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73290" cy="34925"/>
                    </a:xfrm>
                    <a:prstGeom prst="rect">
                      <a:avLst/>
                    </a:prstGeom>
                    <a:noFill/>
                  </pic:spPr>
                </pic:pic>
              </a:graphicData>
            </a:graphic>
          </wp:anchor>
        </w:drawing>
        <w:t>EXHIBIT 31.2</w:t>
      </w: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CERTIFICATION</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color w:val="auto"/>
        </w:rPr>
        <w:t>I, Lawrence E. Hyatt, certify that:</w:t>
      </w:r>
    </w:p>
    <w:p>
      <w:pPr>
        <w:spacing w:after="0" w:line="243" w:lineRule="exact"/>
        <w:rPr>
          <w:sz w:val="20"/>
          <w:szCs w:val="20"/>
          <w:color w:val="auto"/>
        </w:rPr>
      </w:pPr>
    </w:p>
    <w:p>
      <w:pPr>
        <w:ind w:left="540" w:hanging="304"/>
        <w:spacing w:after="0"/>
        <w:tabs>
          <w:tab w:leader="none" w:pos="540" w:val="left"/>
        </w:tabs>
        <w:numPr>
          <w:ilvl w:val="1"/>
          <w:numId w:val="29"/>
        </w:numPr>
        <w:rPr>
          <w:rFonts w:ascii="Arial" w:cs="Arial" w:eastAsia="Arial" w:hAnsi="Arial"/>
          <w:sz w:val="17"/>
          <w:szCs w:val="17"/>
          <w:color w:val="auto"/>
        </w:rPr>
      </w:pPr>
      <w:r>
        <w:rPr>
          <w:rFonts w:ascii="Arial" w:cs="Arial" w:eastAsia="Arial" w:hAnsi="Arial"/>
          <w:sz w:val="17"/>
          <w:szCs w:val="17"/>
          <w:color w:val="auto"/>
        </w:rPr>
        <w:t>I have reviewed this Quarterly Report on Form 10-Q of Cracker Barrel Old Country Store, Inc.;</w:t>
      </w:r>
    </w:p>
    <w:p>
      <w:pPr>
        <w:spacing w:after="0" w:line="243" w:lineRule="exact"/>
        <w:rPr>
          <w:rFonts w:ascii="Arial" w:cs="Arial" w:eastAsia="Arial" w:hAnsi="Arial"/>
          <w:sz w:val="17"/>
          <w:szCs w:val="17"/>
          <w:color w:val="auto"/>
        </w:rPr>
      </w:pPr>
    </w:p>
    <w:p>
      <w:pPr>
        <w:ind w:left="540" w:hanging="304"/>
        <w:spacing w:after="0" w:line="312" w:lineRule="auto"/>
        <w:tabs>
          <w:tab w:leader="none" w:pos="540" w:val="left"/>
        </w:tabs>
        <w:numPr>
          <w:ilvl w:val="1"/>
          <w:numId w:val="29"/>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6" w:lineRule="exact"/>
        <w:rPr>
          <w:rFonts w:ascii="Arial" w:cs="Arial" w:eastAsia="Arial" w:hAnsi="Arial"/>
          <w:sz w:val="16"/>
          <w:szCs w:val="16"/>
          <w:color w:val="auto"/>
        </w:rPr>
      </w:pPr>
    </w:p>
    <w:p>
      <w:pPr>
        <w:ind w:left="540" w:hanging="304"/>
        <w:spacing w:after="0" w:line="280" w:lineRule="auto"/>
        <w:tabs>
          <w:tab w:leader="none" w:pos="540" w:val="left"/>
        </w:tabs>
        <w:numPr>
          <w:ilvl w:val="1"/>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7"/>
          <w:szCs w:val="17"/>
          <w:color w:val="auto"/>
        </w:rPr>
      </w:pPr>
    </w:p>
    <w:p>
      <w:pPr>
        <w:jc w:val="both"/>
        <w:ind w:left="540" w:hanging="304"/>
        <w:spacing w:after="0" w:line="266" w:lineRule="auto"/>
        <w:tabs>
          <w:tab w:leader="none" w:pos="540" w:val="left"/>
        </w:tabs>
        <w:numPr>
          <w:ilvl w:val="1"/>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1" w:lineRule="exact"/>
        <w:rPr>
          <w:rFonts w:ascii="Arial" w:cs="Arial" w:eastAsia="Arial" w:hAnsi="Arial"/>
          <w:sz w:val="17"/>
          <w:szCs w:val="17"/>
          <w:color w:val="auto"/>
        </w:rPr>
      </w:pPr>
    </w:p>
    <w:p>
      <w:pPr>
        <w:jc w:val="both"/>
        <w:ind w:left="1000" w:hanging="455"/>
        <w:spacing w:after="0" w:line="266" w:lineRule="auto"/>
        <w:tabs>
          <w:tab w:leader="none" w:pos="1000" w:val="left"/>
        </w:tabs>
        <w:numPr>
          <w:ilvl w:val="2"/>
          <w:numId w:val="29"/>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1" w:lineRule="exact"/>
        <w:rPr>
          <w:rFonts w:ascii="Arial" w:cs="Arial" w:eastAsia="Arial" w:hAnsi="Arial"/>
          <w:sz w:val="17"/>
          <w:szCs w:val="17"/>
          <w:color w:val="auto"/>
        </w:rPr>
      </w:pPr>
    </w:p>
    <w:p>
      <w:pPr>
        <w:jc w:val="both"/>
        <w:ind w:left="1000" w:hanging="455"/>
        <w:spacing w:after="0" w:line="266" w:lineRule="auto"/>
        <w:tabs>
          <w:tab w:leader="none" w:pos="1000" w:val="left"/>
        </w:tabs>
        <w:numPr>
          <w:ilvl w:val="2"/>
          <w:numId w:val="2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1" w:lineRule="exact"/>
        <w:rPr>
          <w:rFonts w:ascii="Arial" w:cs="Arial" w:eastAsia="Arial" w:hAnsi="Arial"/>
          <w:sz w:val="17"/>
          <w:szCs w:val="17"/>
          <w:color w:val="auto"/>
        </w:rPr>
      </w:pPr>
    </w:p>
    <w:p>
      <w:pPr>
        <w:ind w:left="1000" w:hanging="455"/>
        <w:spacing w:after="0" w:line="280" w:lineRule="auto"/>
        <w:tabs>
          <w:tab w:leader="none" w:pos="1000" w:val="left"/>
        </w:tabs>
        <w:numPr>
          <w:ilvl w:val="2"/>
          <w:numId w:val="29"/>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7"/>
          <w:szCs w:val="17"/>
          <w:color w:val="auto"/>
        </w:rPr>
      </w:pPr>
    </w:p>
    <w:p>
      <w:pPr>
        <w:jc w:val="both"/>
        <w:ind w:left="1000" w:hanging="455"/>
        <w:spacing w:after="0" w:line="266" w:lineRule="auto"/>
        <w:tabs>
          <w:tab w:leader="none" w:pos="1000" w:val="left"/>
        </w:tabs>
        <w:numPr>
          <w:ilvl w:val="2"/>
          <w:numId w:val="29"/>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1" w:lineRule="exact"/>
        <w:rPr>
          <w:rFonts w:ascii="Arial" w:cs="Arial" w:eastAsia="Arial" w:hAnsi="Arial"/>
          <w:sz w:val="17"/>
          <w:szCs w:val="17"/>
          <w:color w:val="auto"/>
        </w:rPr>
      </w:pPr>
    </w:p>
    <w:p>
      <w:pPr>
        <w:ind w:left="680" w:hanging="457"/>
        <w:spacing w:after="0" w:line="280" w:lineRule="auto"/>
        <w:tabs>
          <w:tab w:leader="none" w:pos="680"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7"/>
          <w:szCs w:val="17"/>
          <w:color w:val="auto"/>
        </w:rPr>
      </w:pPr>
    </w:p>
    <w:p>
      <w:pPr>
        <w:ind w:left="1000" w:hanging="455"/>
        <w:spacing w:after="0" w:line="280" w:lineRule="auto"/>
        <w:tabs>
          <w:tab w:leader="none" w:pos="1000" w:val="left"/>
        </w:tabs>
        <w:numPr>
          <w:ilvl w:val="2"/>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7"/>
          <w:szCs w:val="17"/>
          <w:color w:val="auto"/>
        </w:rPr>
      </w:pPr>
    </w:p>
    <w:p>
      <w:pPr>
        <w:ind w:left="1000" w:hanging="455"/>
        <w:spacing w:after="0" w:line="280" w:lineRule="auto"/>
        <w:tabs>
          <w:tab w:leader="none" w:pos="1000" w:val="left"/>
        </w:tabs>
        <w:numPr>
          <w:ilvl w:val="2"/>
          <w:numId w:val="30"/>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Date: </w:t>
      </w:r>
      <w:r>
        <w:rPr>
          <w:rFonts w:ascii="Arial" w:cs="Arial" w:eastAsia="Arial" w:hAnsi="Arial"/>
          <w:sz w:val="17"/>
          <w:szCs w:val="17"/>
          <w:u w:val="single" w:color="auto"/>
          <w:color w:val="auto"/>
        </w:rPr>
        <w:t>June 3, 2013</w:t>
      </w:r>
    </w:p>
    <w:p>
      <w:pPr>
        <w:spacing w:after="0" w:line="243" w:lineRule="exact"/>
        <w:rPr>
          <w:sz w:val="20"/>
          <w:szCs w:val="20"/>
          <w:color w:val="auto"/>
        </w:rPr>
      </w:pPr>
    </w:p>
    <w:p>
      <w:pPr>
        <w:spacing w:after="0"/>
        <w:rPr>
          <w:sz w:val="20"/>
          <w:szCs w:val="20"/>
          <w:color w:val="auto"/>
        </w:rPr>
      </w:pPr>
      <w:r>
        <w:rPr>
          <w:rFonts w:ascii="Arial" w:cs="Arial" w:eastAsia="Arial" w:hAnsi="Arial"/>
          <w:sz w:val="17"/>
          <w:szCs w:val="17"/>
          <w:u w:val="single" w:color="auto"/>
          <w:color w:val="auto"/>
        </w:rPr>
        <w:t>/s/Lawrence E. Hyatt</w:t>
      </w:r>
    </w:p>
    <w:p>
      <w:pPr>
        <w:spacing w:after="0" w:line="22" w:lineRule="exact"/>
        <w:rPr>
          <w:sz w:val="20"/>
          <w:szCs w:val="20"/>
          <w:color w:val="auto"/>
        </w:rPr>
      </w:pPr>
    </w:p>
    <w:p>
      <w:pPr>
        <w:spacing w:after="0"/>
        <w:rPr>
          <w:sz w:val="20"/>
          <w:szCs w:val="20"/>
          <w:color w:val="auto"/>
        </w:rPr>
      </w:pPr>
      <w:r>
        <w:rPr>
          <w:rFonts w:ascii="Arial" w:cs="Arial" w:eastAsia="Arial" w:hAnsi="Arial"/>
          <w:sz w:val="17"/>
          <w:szCs w:val="17"/>
          <w:color w:val="auto"/>
        </w:rPr>
        <w:t>Lawrence E. Hyatt, Senior Vice President</w:t>
      </w:r>
    </w:p>
    <w:p>
      <w:pPr>
        <w:spacing w:after="0" w:line="11" w:lineRule="exact"/>
        <w:rPr>
          <w:sz w:val="20"/>
          <w:szCs w:val="20"/>
          <w:color w:val="auto"/>
        </w:rPr>
      </w:pPr>
    </w:p>
    <w:p>
      <w:pPr>
        <w:ind w:left="40"/>
        <w:spacing w:after="0"/>
        <w:rPr>
          <w:sz w:val="20"/>
          <w:szCs w:val="20"/>
          <w:color w:val="auto"/>
        </w:rPr>
      </w:pPr>
      <w:r>
        <w:rPr>
          <w:rFonts w:ascii="Arial" w:cs="Arial" w:eastAsia="Arial" w:hAnsi="Arial"/>
          <w:sz w:val="17"/>
          <w:szCs w:val="17"/>
          <w:color w:val="auto"/>
        </w:rPr>
        <w:t>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333375</wp:posOffset>
            </wp:positionV>
            <wp:extent cx="7273290" cy="209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73290" cy="20955"/>
                    </a:xfrm>
                    <a:prstGeom prst="rect">
                      <a:avLst/>
                    </a:prstGeom>
                    <a:noFill/>
                  </pic:spPr>
                </pic:pic>
              </a:graphicData>
            </a:graphic>
          </wp:anchor>
        </w:drawing>
      </w:r>
    </w:p>
    <w:p>
      <w:pPr>
        <w:sectPr>
          <w:pgSz w:w="11900" w:h="16838" w:orient="portrait"/>
          <w:cols w:equalWidth="0" w:num="1">
            <w:col w:w="11420"/>
          </w:cols>
          <w:pgMar w:left="240" w:top="282" w:right="239" w:bottom="1440" w:gutter="0" w:footer="0" w:header="0"/>
        </w:sectPr>
      </w:pPr>
    </w:p>
    <w:bookmarkStart w:id="44" w:name="page45"/>
    <w:bookmarkEnd w:id="44"/>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3492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73290" cy="34925"/>
                    </a:xfrm>
                    <a:prstGeom prst="rect">
                      <a:avLst/>
                    </a:prstGeom>
                    <a:noFill/>
                  </pic:spPr>
                </pic:pic>
              </a:graphicData>
            </a:graphic>
          </wp:anchor>
        </w:drawing>
        <w:t>Exhibit 32.1</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CERTIFICATION OF CHIEF EXECUTIVE OFFICER</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PURSUANT TO 18 U.S.C. SECTION 1350, AS ADOPTED</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PURSUANT TO SECTION 906 OF THE SARBANES-OXLEY ACT OF 2002</w:t>
      </w:r>
    </w:p>
    <w:p>
      <w:pPr>
        <w:spacing w:after="0" w:line="233"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In connection with the Quarterly Report of Cracker Barrel Old Country Store, Inc. (the “Issuer”) on Form 10-Q for the fiscal quarter ended May 3, 2013, as filed with the Securities and Exchange Commission on the date hereof (the “Report”), I, Sandra B. Cochran, President and Chief Executive Officer of the Issuer, certify, pursuant to 18 U.S.C. Section 1350, as adopted pursuant to Section 906 of the Sarbanes-Oxley Act of 2002, that:</w:t>
      </w:r>
    </w:p>
    <w:p>
      <w:pPr>
        <w:spacing w:after="0" w:line="202" w:lineRule="exact"/>
        <w:rPr>
          <w:sz w:val="20"/>
          <w:szCs w:val="20"/>
          <w:color w:val="auto"/>
        </w:rPr>
      </w:pPr>
    </w:p>
    <w:p>
      <w:pPr>
        <w:ind w:left="320" w:hanging="317"/>
        <w:spacing w:after="0"/>
        <w:tabs>
          <w:tab w:leader="none" w:pos="3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3" w:lineRule="exact"/>
        <w:rPr>
          <w:rFonts w:ascii="Arial" w:cs="Arial" w:eastAsia="Arial" w:hAnsi="Arial"/>
          <w:sz w:val="17"/>
          <w:szCs w:val="17"/>
          <w:color w:val="auto"/>
        </w:rPr>
      </w:pPr>
    </w:p>
    <w:p>
      <w:pPr>
        <w:ind w:left="320" w:hanging="317"/>
        <w:spacing w:after="0"/>
        <w:tabs>
          <w:tab w:leader="none" w:pos="3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3500" w:type="dxa"/>
            <w:vAlign w:val="bottom"/>
            <w:gridSpan w:val="3"/>
          </w:tcPr>
          <w:p>
            <w:pPr>
              <w:spacing w:after="0"/>
              <w:rPr>
                <w:sz w:val="20"/>
                <w:szCs w:val="20"/>
                <w:color w:val="auto"/>
              </w:rPr>
            </w:pPr>
            <w:r>
              <w:rPr>
                <w:rFonts w:ascii="Arial" w:cs="Arial" w:eastAsia="Arial" w:hAnsi="Arial"/>
                <w:sz w:val="17"/>
                <w:szCs w:val="17"/>
                <w:color w:val="auto"/>
              </w:rPr>
              <w:t>Date: June 3, 2013</w:t>
            </w:r>
          </w:p>
        </w:tc>
        <w:tc>
          <w:tcPr>
            <w:tcW w:w="7960" w:type="dxa"/>
            <w:vAlign w:val="bottom"/>
            <w:gridSpan w:val="3"/>
          </w:tcPr>
          <w:p>
            <w:pPr>
              <w:ind w:left="2200"/>
              <w:spacing w:after="0"/>
              <w:rPr>
                <w:sz w:val="20"/>
                <w:szCs w:val="20"/>
                <w:color w:val="auto"/>
              </w:rPr>
            </w:pPr>
            <w:r>
              <w:rPr>
                <w:rFonts w:ascii="Arial" w:cs="Arial" w:eastAsia="Arial" w:hAnsi="Arial"/>
                <w:sz w:val="17"/>
                <w:szCs w:val="17"/>
                <w:color w:val="auto"/>
              </w:rPr>
              <w:t>By: /s/Sandra B. Cochran</w:t>
            </w:r>
          </w:p>
        </w:tc>
      </w:tr>
      <w:tr>
        <w:trPr>
          <w:trHeight w:val="213"/>
        </w:trPr>
        <w:tc>
          <w:tcPr>
            <w:tcW w:w="4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22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4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w w:val="98"/>
              </w:rPr>
              <w:t>Sandra B. Cochran</w:t>
            </w:r>
          </w:p>
        </w:tc>
        <w:tc>
          <w:tcPr>
            <w:tcW w:w="400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5460" w:type="dxa"/>
            <w:vAlign w:val="bottom"/>
            <w:gridSpan w:val="2"/>
          </w:tcPr>
          <w:p>
            <w:pPr>
              <w:ind w:left="20"/>
              <w:spacing w:after="0"/>
              <w:rPr>
                <w:sz w:val="20"/>
                <w:szCs w:val="20"/>
                <w:color w:val="auto"/>
              </w:rPr>
            </w:pPr>
            <w:r>
              <w:rPr>
                <w:rFonts w:ascii="Arial" w:cs="Arial" w:eastAsia="Arial" w:hAnsi="Arial"/>
                <w:sz w:val="17"/>
                <w:szCs w:val="17"/>
                <w:color w:val="auto"/>
              </w:rPr>
              <w:t>President and Chief Executive Officer</w:t>
            </w:r>
          </w:p>
        </w:tc>
      </w:tr>
      <w:tr>
        <w:trPr>
          <w:trHeight w:val="553"/>
        </w:trPr>
        <w:tc>
          <w:tcPr>
            <w:tcW w:w="4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40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282" w:right="199" w:bottom="1440" w:gutter="0" w:footer="0" w:header="0"/>
        </w:sectPr>
      </w:pPr>
    </w:p>
    <w:bookmarkStart w:id="45" w:name="page46"/>
    <w:bookmarkEnd w:id="45"/>
    <w:p>
      <w:pPr>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152400</wp:posOffset>
            </wp:positionH>
            <wp:positionV relativeFrom="page">
              <wp:posOffset>88900</wp:posOffset>
            </wp:positionV>
            <wp:extent cx="7273290" cy="3492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73290" cy="34925"/>
                    </a:xfrm>
                    <a:prstGeom prst="rect">
                      <a:avLst/>
                    </a:prstGeom>
                    <a:noFill/>
                  </pic:spPr>
                </pic:pic>
              </a:graphicData>
            </a:graphic>
          </wp:anchor>
        </w:drawing>
        <w:t>Exhibit 32.2</w:t>
      </w:r>
    </w:p>
    <w:p>
      <w:pPr>
        <w:spacing w:after="0" w:line="218"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CERTIFICATION OF CHIEF FINANCIAL OFFICER</w:t>
      </w:r>
    </w:p>
    <w:p>
      <w:pPr>
        <w:spacing w:after="0" w:line="22"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PURSUANT TO 18 U.S.C. SECTION 1350, AS ADOPTED</w:t>
      </w:r>
    </w:p>
    <w:p>
      <w:pPr>
        <w:spacing w:after="0" w:line="11"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PURSUANT TO SECTION 906 OF THE SARBANES-OXLEY ACT OF 2002</w:t>
      </w:r>
    </w:p>
    <w:p>
      <w:pPr>
        <w:spacing w:after="0" w:line="233" w:lineRule="exact"/>
        <w:rPr>
          <w:sz w:val="20"/>
          <w:szCs w:val="20"/>
          <w:color w:val="auto"/>
        </w:rPr>
      </w:pPr>
    </w:p>
    <w:p>
      <w:pPr>
        <w:ind w:right="40"/>
        <w:spacing w:after="0" w:line="266" w:lineRule="auto"/>
        <w:rPr>
          <w:sz w:val="20"/>
          <w:szCs w:val="20"/>
          <w:color w:val="auto"/>
        </w:rPr>
      </w:pPr>
      <w:r>
        <w:rPr>
          <w:rFonts w:ascii="Arial" w:cs="Arial" w:eastAsia="Arial" w:hAnsi="Arial"/>
          <w:sz w:val="17"/>
          <w:szCs w:val="17"/>
          <w:color w:val="auto"/>
        </w:rPr>
        <w:t>In connection with the Quarterly Report of Cracker Barrel Old Country Store, Inc. (the “Issuer”) on Form 10-Q for the fiscal quarter ended May 3, 2013, as filed with the Securities and Exchange Commission on the date hereof (the “Report”), I, Lawrence E. Hyatt, Senior Vice President and Chief Financial Officer of the Issuer, certify, pursuant to 18 U.S.C. Section 1350, as adopted pursuant to Section 906 of the Sarbanes-Oxley Act of 2002, that:</w:t>
      </w:r>
    </w:p>
    <w:p>
      <w:pPr>
        <w:spacing w:after="0" w:line="202" w:lineRule="exact"/>
        <w:rPr>
          <w:sz w:val="20"/>
          <w:szCs w:val="20"/>
          <w:color w:val="auto"/>
        </w:rPr>
      </w:pPr>
    </w:p>
    <w:p>
      <w:pPr>
        <w:ind w:left="320" w:hanging="317"/>
        <w:spacing w:after="0"/>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43" w:lineRule="exact"/>
        <w:rPr>
          <w:rFonts w:ascii="Arial" w:cs="Arial" w:eastAsia="Arial" w:hAnsi="Arial"/>
          <w:sz w:val="17"/>
          <w:szCs w:val="17"/>
          <w:color w:val="auto"/>
        </w:rPr>
      </w:pPr>
    </w:p>
    <w:p>
      <w:pPr>
        <w:ind w:left="320" w:hanging="317"/>
        <w:spacing w:after="0"/>
        <w:tabs>
          <w:tab w:leader="none" w:pos="320" w:val="left"/>
        </w:tabs>
        <w:numPr>
          <w:ilvl w:val="0"/>
          <w:numId w:val="32"/>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Issuer.</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940" w:type="dxa"/>
            <w:vAlign w:val="bottom"/>
            <w:gridSpan w:val="3"/>
          </w:tcPr>
          <w:p>
            <w:pPr>
              <w:spacing w:after="0"/>
              <w:rPr>
                <w:sz w:val="20"/>
                <w:szCs w:val="20"/>
                <w:color w:val="auto"/>
              </w:rPr>
            </w:pPr>
            <w:r>
              <w:rPr>
                <w:rFonts w:ascii="Arial" w:cs="Arial" w:eastAsia="Arial" w:hAnsi="Arial"/>
                <w:sz w:val="17"/>
                <w:szCs w:val="17"/>
                <w:color w:val="auto"/>
              </w:rPr>
              <w:t>Date: June 3, 2013</w:t>
            </w:r>
          </w:p>
        </w:tc>
        <w:tc>
          <w:tcPr>
            <w:tcW w:w="8520" w:type="dxa"/>
            <w:vAlign w:val="bottom"/>
            <w:gridSpan w:val="3"/>
          </w:tcPr>
          <w:p>
            <w:pPr>
              <w:ind w:left="1640"/>
              <w:spacing w:after="0"/>
              <w:rPr>
                <w:sz w:val="20"/>
                <w:szCs w:val="20"/>
                <w:color w:val="auto"/>
              </w:rPr>
            </w:pPr>
            <w:r>
              <w:rPr>
                <w:rFonts w:ascii="Arial" w:cs="Arial" w:eastAsia="Arial" w:hAnsi="Arial"/>
                <w:sz w:val="17"/>
                <w:szCs w:val="17"/>
                <w:color w:val="auto"/>
              </w:rPr>
              <w:t>By: /s/Lawrence E. Hyatt</w:t>
            </w:r>
          </w:p>
        </w:tc>
      </w:tr>
      <w:tr>
        <w:trPr>
          <w:trHeight w:val="213"/>
        </w:trPr>
        <w:tc>
          <w:tcPr>
            <w:tcW w:w="420" w:type="dxa"/>
            <w:vAlign w:val="bottom"/>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1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460" w:type="dxa"/>
            <w:vAlign w:val="bottom"/>
            <w:tcBorders>
              <w:top w:val="single" w:sz="8" w:color="auto"/>
            </w:tcBorders>
          </w:tcPr>
          <w:p>
            <w:pPr>
              <w:ind w:left="20"/>
              <w:spacing w:after="0"/>
              <w:rPr>
                <w:sz w:val="20"/>
                <w:szCs w:val="20"/>
                <w:color w:val="auto"/>
              </w:rPr>
            </w:pPr>
            <w:r>
              <w:rPr>
                <w:rFonts w:ascii="Arial" w:cs="Arial" w:eastAsia="Arial" w:hAnsi="Arial"/>
                <w:sz w:val="17"/>
                <w:szCs w:val="17"/>
                <w:color w:val="auto"/>
                <w:w w:val="98"/>
              </w:rPr>
              <w:t>Lawrence E. Hyatt,</w:t>
            </w:r>
          </w:p>
        </w:tc>
        <w:tc>
          <w:tcPr>
            <w:tcW w:w="5140" w:type="dxa"/>
            <w:vAlign w:val="bottom"/>
          </w:tcPr>
          <w:p>
            <w:pPr>
              <w:spacing w:after="0"/>
              <w:rPr>
                <w:sz w:val="18"/>
                <w:szCs w:val="18"/>
                <w:color w:val="auto"/>
              </w:rPr>
            </w:pPr>
          </w:p>
        </w:tc>
      </w:tr>
      <w:tr>
        <w:trPr>
          <w:trHeight w:val="217"/>
        </w:trPr>
        <w:tc>
          <w:tcPr>
            <w:tcW w:w="4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6600" w:type="dxa"/>
            <w:vAlign w:val="bottom"/>
            <w:gridSpan w:val="2"/>
          </w:tcPr>
          <w:p>
            <w:pPr>
              <w:ind w:left="20"/>
              <w:spacing w:after="0"/>
              <w:rPr>
                <w:sz w:val="20"/>
                <w:szCs w:val="20"/>
                <w:color w:val="auto"/>
              </w:rPr>
            </w:pPr>
            <w:r>
              <w:rPr>
                <w:rFonts w:ascii="Arial" w:cs="Arial" w:eastAsia="Arial" w:hAnsi="Arial"/>
                <w:sz w:val="17"/>
                <w:szCs w:val="17"/>
                <w:color w:val="auto"/>
              </w:rPr>
              <w:t>Senior Vice President and Chief Financial Officer</w:t>
            </w:r>
          </w:p>
        </w:tc>
      </w:tr>
      <w:tr>
        <w:trPr>
          <w:trHeight w:val="553"/>
        </w:trPr>
        <w:tc>
          <w:tcPr>
            <w:tcW w:w="420" w:type="dxa"/>
            <w:vAlign w:val="bottom"/>
            <w:tcBorders>
              <w:bottom w:val="single" w:sz="8" w:color="808080"/>
            </w:tcBorders>
          </w:tcPr>
          <w:p>
            <w:pPr>
              <w:spacing w:after="0"/>
              <w:rPr>
                <w:sz w:val="24"/>
                <w:szCs w:val="24"/>
                <w:color w:val="auto"/>
              </w:rPr>
            </w:pPr>
          </w:p>
        </w:tc>
        <w:tc>
          <w:tcPr>
            <w:tcW w:w="880" w:type="dxa"/>
            <w:vAlign w:val="bottom"/>
            <w:tcBorders>
              <w:bottom w:val="single" w:sz="8" w:color="808080"/>
            </w:tcBorders>
          </w:tcPr>
          <w:p>
            <w:pPr>
              <w:spacing w:after="0"/>
              <w:rPr>
                <w:sz w:val="24"/>
                <w:szCs w:val="24"/>
                <w:color w:val="auto"/>
              </w:rPr>
            </w:pPr>
          </w:p>
        </w:tc>
        <w:tc>
          <w:tcPr>
            <w:tcW w:w="164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1460" w:type="dxa"/>
            <w:vAlign w:val="bottom"/>
            <w:tcBorders>
              <w:bottom w:val="single" w:sz="8" w:color="808080"/>
            </w:tcBorders>
          </w:tcPr>
          <w:p>
            <w:pPr>
              <w:spacing w:after="0"/>
              <w:rPr>
                <w:sz w:val="24"/>
                <w:szCs w:val="24"/>
                <w:color w:val="auto"/>
              </w:rPr>
            </w:pPr>
          </w:p>
        </w:tc>
        <w:tc>
          <w:tcPr>
            <w:tcW w:w="51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7260590</wp:posOffset>
            </wp:positionH>
            <wp:positionV relativeFrom="paragraph">
              <wp:posOffset>-13970</wp:posOffset>
            </wp:positionV>
            <wp:extent cx="12700"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-13970</wp:posOffset>
            </wp:positionV>
            <wp:extent cx="12700"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sectPr>
      <w:pgSz w:w="11900" w:h="16838" w:orient="portrait"/>
      <w:cols w:equalWidth="0" w:num="1">
        <w:col w:w="11460"/>
      </w:cols>
      <w:pgMar w:left="240" w:top="282"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6AFB66"/>
    <w:multiLevelType w:val="hybridMultilevel"/>
    <w:lvl w:ilvl="0">
      <w:lvlJc w:val="left"/>
      <w:lvlText w:val="x"/>
      <w:numFmt w:val="bullet"/>
      <w:start w:val="1"/>
    </w:lvl>
  </w:abstractNum>
  <w:abstractNum w:abstractNumId="1">
    <w:nsid w:val="25E45D32"/>
    <w:multiLevelType w:val="hybridMultilevel"/>
    <w:lvl w:ilvl="0">
      <w:lvlJc w:val="left"/>
      <w:lvlText w:val="o"/>
      <w:numFmt w:val="bullet"/>
      <w:start w:val="1"/>
    </w:lvl>
  </w:abstractNum>
  <w:abstractNum w:abstractNumId="2">
    <w:nsid w:val="519B500D"/>
    <w:multiLevelType w:val="hybridMultilevel"/>
    <w:lvl w:ilvl="0">
      <w:lvlJc w:val="left"/>
      <w:lvlText w:val="*"/>
      <w:numFmt w:val="bullet"/>
      <w:start w:val="1"/>
    </w:lvl>
  </w:abstractNum>
  <w:abstractNum w:abstractNumId="3">
    <w:nsid w:val="431BD7B7"/>
    <w:multiLevelType w:val="hybridMultilevel"/>
    <w:lvl w:ilvl="0">
      <w:lvlJc w:val="left"/>
      <w:lvlText w:val="%1."/>
      <w:numFmt w:val="decimal"/>
      <w:start w:val="1"/>
    </w:lvl>
  </w:abstractNum>
  <w:abstractNum w:abstractNumId="4">
    <w:nsid w:val="3F2DBA31"/>
    <w:multiLevelType w:val="hybridMultilevel"/>
    <w:lvl w:ilvl="0">
      <w:lvlJc w:val="left"/>
      <w:lvlText w:val="%1."/>
      <w:numFmt w:val="decimal"/>
      <w:start w:val="2"/>
    </w:lvl>
  </w:abstractNum>
  <w:abstractNum w:abstractNumId="5">
    <w:nsid w:val="7C83E458"/>
    <w:multiLevelType w:val="hybridMultilevel"/>
    <w:lvl w:ilvl="0">
      <w:lvlJc w:val="left"/>
      <w:lvlText w:val="%1."/>
      <w:numFmt w:val="decimal"/>
      <w:start w:val="3"/>
    </w:lvl>
  </w:abstractNum>
  <w:abstractNum w:abstractNumId="6">
    <w:nsid w:val="257130A3"/>
    <w:multiLevelType w:val="hybridMultilevel"/>
    <w:lvl w:ilvl="0">
      <w:lvlJc w:val="left"/>
      <w:lvlText w:val="%1."/>
      <w:numFmt w:val="decimal"/>
      <w:start w:val="5"/>
    </w:lvl>
  </w:abstractNum>
  <w:abstractNum w:abstractNumId="7">
    <w:nsid w:val="62BBD95A"/>
    <w:multiLevelType w:val="hybridMultilevel"/>
    <w:lvl w:ilvl="0">
      <w:lvlJc w:val="left"/>
      <w:lvlText w:val="%1."/>
      <w:numFmt w:val="decimal"/>
      <w:start w:val="6"/>
    </w:lvl>
  </w:abstractNum>
  <w:abstractNum w:abstractNumId="8">
    <w:nsid w:val="436C6125"/>
    <w:multiLevelType w:val="hybridMultilevel"/>
    <w:lvl w:ilvl="0">
      <w:lvlJc w:val="left"/>
      <w:lvlText w:val="%1."/>
      <w:numFmt w:val="decimal"/>
      <w:start w:val="7"/>
    </w:lvl>
  </w:abstractNum>
  <w:abstractNum w:abstractNumId="9">
    <w:nsid w:val="628C895D"/>
    <w:multiLevelType w:val="hybridMultilevel"/>
    <w:lvl w:ilvl="0">
      <w:lvlJc w:val="left"/>
      <w:lvlText w:val="%1."/>
      <w:numFmt w:val="decimal"/>
      <w:start w:val="8"/>
    </w:lvl>
  </w:abstractNum>
  <w:abstractNum w:abstractNumId="10">
    <w:nsid w:val="333AB105"/>
    <w:multiLevelType w:val="hybridMultilevel"/>
    <w:lvl w:ilvl="0">
      <w:lvlJc w:val="left"/>
      <w:lvlText w:val="%1."/>
      <w:numFmt w:val="decimal"/>
      <w:start w:val="9"/>
    </w:lvl>
  </w:abstractNum>
  <w:abstractNum w:abstractNumId="11">
    <w:nsid w:val="721DA317"/>
    <w:multiLevelType w:val="hybridMultilevel"/>
    <w:lvl w:ilvl="0">
      <w:lvlJc w:val="left"/>
      <w:lvlText w:val="%1."/>
      <w:numFmt w:val="decimal"/>
      <w:start w:val="10"/>
    </w:lvl>
  </w:abstractNum>
  <w:abstractNum w:abstractNumId="12">
    <w:nsid w:val="2443A858"/>
    <w:multiLevelType w:val="hybridMultilevel"/>
    <w:lvl w:ilvl="0">
      <w:lvlJc w:val="left"/>
      <w:lvlText w:val="%1."/>
      <w:numFmt w:val="decimal"/>
      <w:start w:val="11"/>
    </w:lvl>
  </w:abstractNum>
  <w:abstractNum w:abstractNumId="13">
    <w:nsid w:val="2D1D5AE9"/>
    <w:multiLevelType w:val="hybridMultilevel"/>
    <w:lvl w:ilvl="0">
      <w:lvlJc w:val="left"/>
      <w:lvlText w:val="·"/>
      <w:numFmt w:val="bullet"/>
      <w:start w:val="1"/>
    </w:lvl>
  </w:abstractNum>
  <w:abstractNum w:abstractNumId="14">
    <w:nsid w:val="6763845E"/>
    <w:multiLevelType w:val="hybridMultilevel"/>
    <w:lvl w:ilvl="0">
      <w:lvlJc w:val="left"/>
      <w:lvlText w:val="·"/>
      <w:numFmt w:val="bullet"/>
      <w:start w:val="1"/>
    </w:lvl>
  </w:abstractNum>
  <w:abstractNum w:abstractNumId="15">
    <w:nsid w:val="75A2A8D4"/>
    <w:multiLevelType w:val="hybridMultilevel"/>
    <w:lvl w:ilvl="0">
      <w:lvlJc w:val="left"/>
      <w:lvlText w:val="·"/>
      <w:numFmt w:val="bullet"/>
      <w:start w:val="1"/>
    </w:lvl>
  </w:abstractNum>
  <w:abstractNum w:abstractNumId="16">
    <w:nsid w:val="8EDBDAB"/>
    <w:multiLevelType w:val="hybridMultilevel"/>
    <w:lvl w:ilvl="0">
      <w:lvlJc w:val="left"/>
      <w:lvlText w:val="·"/>
      <w:numFmt w:val="bullet"/>
      <w:start w:val="1"/>
    </w:lvl>
  </w:abstractNum>
  <w:abstractNum w:abstractNumId="17">
    <w:nsid w:val="79838CB2"/>
    <w:multiLevelType w:val="hybridMultilevel"/>
    <w:lvl w:ilvl="0">
      <w:lvlJc w:val="left"/>
      <w:lvlText w:val="(%1)"/>
      <w:numFmt w:val="decimal"/>
      <w:start w:val="1"/>
    </w:lvl>
  </w:abstractNum>
  <w:abstractNum w:abstractNumId="18">
    <w:nsid w:val="4353D0CD"/>
    <w:multiLevelType w:val="hybridMultilevel"/>
    <w:lvl w:ilvl="0">
      <w:lvlJc w:val="left"/>
      <w:lvlText w:val="%1."/>
      <w:numFmt w:val="decimal"/>
      <w:start w:val="1"/>
    </w:lvl>
  </w:abstractNum>
  <w:abstractNum w:abstractNumId="19">
    <w:nsid w:val="B03E0C6"/>
    <w:multiLevelType w:val="hybridMultilevel"/>
    <w:lvl w:ilvl="0">
      <w:lvlJc w:val="left"/>
      <w:lvlText w:val="%1."/>
      <w:numFmt w:val="decimal"/>
      <w:start w:val="2"/>
    </w:lvl>
  </w:abstractNum>
  <w:abstractNum w:abstractNumId="20">
    <w:nsid w:val="189A769B"/>
    <w:multiLevelType w:val="hybridMultilevel"/>
    <w:lvl w:ilvl="0">
      <w:lvlJc w:val="left"/>
      <w:lvlText w:val="(%1)"/>
      <w:numFmt w:val="lowerLetter"/>
      <w:start w:val="1"/>
    </w:lvl>
  </w:abstractNum>
  <w:abstractNum w:abstractNumId="21">
    <w:nsid w:val="54E49EB4"/>
    <w:multiLevelType w:val="hybridMultilevel"/>
    <w:lvl w:ilvl="0">
      <w:lvlJc w:val="left"/>
      <w:lvlText w:val="(%1)"/>
      <w:numFmt w:val="lowerLetter"/>
      <w:start w:val="2"/>
    </w:lvl>
  </w:abstractNum>
  <w:abstractNum w:abstractNumId="22">
    <w:nsid w:val="71F32454"/>
    <w:multiLevelType w:val="hybridMultilevel"/>
    <w:lvl w:ilvl="0">
      <w:lvlJc w:val="left"/>
      <w:lvlText w:val="(%1)"/>
      <w:numFmt w:val="lowerLetter"/>
      <w:start w:val="3"/>
    </w:lvl>
  </w:abstractNum>
  <w:abstractNum w:abstractNumId="23">
    <w:nsid w:val="2CA88611"/>
    <w:multiLevelType w:val="hybridMultilevel"/>
    <w:lvl w:ilvl="0">
      <w:lvlJc w:val="left"/>
      <w:lvlText w:val="%1."/>
      <w:numFmt w:val="decimal"/>
      <w:start w:val="3"/>
    </w:lvl>
    <w:lvl w:ilvl="1">
      <w:lvlJc w:val="left"/>
      <w:lvlText w:val="(%2)"/>
      <w:numFmt w:val="lowerLetter"/>
      <w:start w:val="1"/>
    </w:lvl>
  </w:abstractNum>
  <w:abstractNum w:abstractNumId="24">
    <w:nsid w:val="836C40E"/>
    <w:multiLevelType w:val="hybridMultilevel"/>
    <w:lvl w:ilvl="0">
      <w:lvlJc w:val="left"/>
      <w:lvlText w:val="%1"/>
      <w:numFmt w:val="decimal"/>
      <w:start w:val="1"/>
    </w:lvl>
    <w:lvl w:ilvl="1">
      <w:lvlJc w:val="left"/>
      <w:lvlText w:val="%2."/>
      <w:numFmt w:val="decimal"/>
      <w:start w:val="4"/>
    </w:lvl>
  </w:abstractNum>
  <w:abstractNum w:abstractNumId="25">
    <w:nsid w:val="2901D82"/>
    <w:multiLevelType w:val="hybridMultilevel"/>
    <w:lvl w:ilvl="0">
      <w:lvlJc w:val="left"/>
      <w:lvlText w:val="%1."/>
      <w:numFmt w:val="decimal"/>
      <w:start w:val="8"/>
    </w:lvl>
    <w:lvl w:ilvl="1">
      <w:lvlJc w:val="left"/>
      <w:lvlText w:val="%2"/>
      <w:numFmt w:val="decimal"/>
      <w:start w:val="1"/>
    </w:lvl>
  </w:abstractNum>
  <w:abstractNum w:abstractNumId="26">
    <w:nsid w:val="3A95F874"/>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7">
    <w:nsid w:val="8138641"/>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28">
    <w:nsid w:val="1E7FF52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29">
    <w:nsid w:val="7C3DBD3D"/>
    <w:multiLevelType w:val="hybridMultilevel"/>
    <w:lvl w:ilvl="0">
      <w:lvlJc w:val="left"/>
      <w:lvlText w:val="%1."/>
      <w:numFmt w:val="decimal"/>
      <w:start w:val="5"/>
    </w:lvl>
    <w:lvl w:ilvl="1">
      <w:lvlJc w:val="left"/>
      <w:lvlText w:val="%2"/>
      <w:numFmt w:val="decimal"/>
      <w:start w:val="1"/>
    </w:lvl>
    <w:lvl w:ilvl="2">
      <w:lvlJc w:val="left"/>
      <w:lvlText w:val="(%3)"/>
      <w:numFmt w:val="lowerLetter"/>
      <w:start w:val="1"/>
    </w:lvl>
  </w:abstractNum>
  <w:abstractNum w:abstractNumId="30">
    <w:nsid w:val="737B8DDC"/>
    <w:multiLevelType w:val="hybridMultilevel"/>
    <w:lvl w:ilvl="0">
      <w:lvlJc w:val="left"/>
      <w:lvlText w:val="%1."/>
      <w:numFmt w:val="decimal"/>
      <w:start w:val="1"/>
    </w:lvl>
  </w:abstractNum>
  <w:abstractNum w:abstractNumId="31">
    <w:nsid w:val="6CEAF08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2019-12-06T21:15:57Z</dcterms:created>
  <dcterms:modified xsi:type="dcterms:W3CDTF">2019-12-06T21:15:57Z</dcterms:modified>
</cp:coreProperties>
</file>