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57" w:lineRule="exact"/>
        <w:rPr>
          <w:sz w:val="24"/>
          <w:szCs w:val="24"/>
          <w:color w:val="auto"/>
        </w:rPr>
      </w:pPr>
    </w:p>
    <w:p>
      <w:pPr>
        <w:jc w:val="center"/>
        <w:ind w:right="-19"/>
        <w:spacing w:after="0" w:line="368" w:lineRule="exact"/>
        <w:rPr>
          <w:sz w:val="20"/>
          <w:szCs w:val="20"/>
          <w:color w:val="auto"/>
        </w:rPr>
      </w:pPr>
      <w:r>
        <w:rPr>
          <w:rFonts w:ascii="Times New Roman" w:cs="Times New Roman" w:eastAsia="Times New Roman" w:hAnsi="Times New Roman"/>
          <w:sz w:val="32"/>
          <w:szCs w:val="32"/>
          <w:color w:val="auto"/>
        </w:rPr>
        <w:t>FORM 10</w:t>
      </w:r>
      <w:r>
        <w:rPr>
          <w:rFonts w:ascii="MS PGothic" w:cs="MS PGothic" w:eastAsia="MS PGothic" w:hAnsi="MS PGothic"/>
          <w:sz w:val="32"/>
          <w:szCs w:val="32"/>
          <w:color w:val="auto"/>
        </w:rPr>
        <w:t>‑</w:t>
      </w:r>
      <w:r>
        <w:rPr>
          <w:rFonts w:ascii="Times New Roman" w:cs="Times New Roman" w:eastAsia="Times New Roman" w:hAnsi="Times New Roman"/>
          <w:sz w:val="32"/>
          <w:szCs w:val="32"/>
          <w:color w:val="auto"/>
        </w:rPr>
        <w:t>Q</w:t>
      </w:r>
    </w:p>
    <w:p>
      <w:pPr>
        <w:spacing w:after="0" w:line="9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980" w:right="4040" w:hanging="324"/>
        <w:spacing w:after="0" w:line="266" w:lineRule="auto"/>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May 1, 2015</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tbl>
      <w:tblPr>
        <w:tblLayout w:type="fixed"/>
        <w:tblInd w:w="980" w:type="dxa"/>
        <w:tblCellMar>
          <w:top w:w="0" w:type="dxa"/>
          <w:left w:w="0" w:type="dxa"/>
          <w:bottom w:w="0" w:type="dxa"/>
          <w:right w:w="0" w:type="dxa"/>
        </w:tblCellMar>
      </w:tblPr>
      <w:tr>
        <w:trPr>
          <w:trHeight w:val="203"/>
        </w:trPr>
        <w:tc>
          <w:tcPr>
            <w:tcW w:w="21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9"/>
              </w:rPr>
              <w:t>For the transition period from</w:t>
            </w:r>
          </w:p>
        </w:tc>
        <w:tc>
          <w:tcPr>
            <w:tcW w:w="540" w:type="dxa"/>
            <w:vAlign w:val="bottom"/>
          </w:tcPr>
          <w:p>
            <w:pPr>
              <w:spacing w:after="0"/>
              <w:rPr>
                <w:sz w:val="17"/>
                <w:szCs w:val="17"/>
                <w:color w:val="auto"/>
              </w:rPr>
            </w:pPr>
          </w:p>
        </w:tc>
        <w:tc>
          <w:tcPr>
            <w:tcW w:w="3400" w:type="dxa"/>
            <w:vAlign w:val="bottom"/>
            <w:gridSpan w:val="4"/>
          </w:tcPr>
          <w:p>
            <w:pPr>
              <w:ind w:left="540"/>
              <w:spacing w:after="0" w:line="203" w:lineRule="exact"/>
              <w:rPr>
                <w:sz w:val="20"/>
                <w:szCs w:val="20"/>
                <w:color w:val="auto"/>
              </w:rPr>
            </w:pPr>
            <w:r>
              <w:rPr>
                <w:rFonts w:ascii="Times New Roman" w:cs="Times New Roman" w:eastAsia="Times New Roman" w:hAnsi="Times New Roman"/>
                <w:sz w:val="18"/>
                <w:szCs w:val="18"/>
                <w:color w:val="auto"/>
              </w:rPr>
              <w:t>to</w:t>
            </w:r>
          </w:p>
        </w:tc>
      </w:tr>
      <w:tr>
        <w:trPr>
          <w:trHeight w:val="20"/>
        </w:trPr>
        <w:tc>
          <w:tcPr>
            <w:tcW w:w="2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73"/>
        </w:trPr>
        <w:tc>
          <w:tcPr>
            <w:tcW w:w="2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w w:val="99"/>
              </w:rPr>
              <w:t>Commission file number: 001</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25225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182245</wp:posOffset>
            </wp:positionV>
            <wp:extent cx="1470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43"/>
          <w:szCs w:val="43"/>
          <w:color w:val="auto"/>
        </w:rPr>
        <w:t>Cracker Barrel Old Country Store,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tbl>
      <w:tblPr>
        <w:tblLayout w:type="fixed"/>
        <w:tblInd w:w="660" w:type="dxa"/>
        <w:tblCellMar>
          <w:top w:w="0" w:type="dxa"/>
          <w:left w:w="0" w:type="dxa"/>
          <w:bottom w:w="0" w:type="dxa"/>
          <w:right w:w="0" w:type="dxa"/>
        </w:tblCellMar>
      </w:tblPr>
      <w:tr>
        <w:trPr>
          <w:trHeight w:val="245"/>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Tennessee</w:t>
            </w:r>
          </w:p>
        </w:tc>
        <w:tc>
          <w:tcPr>
            <w:tcW w:w="4040" w:type="dxa"/>
            <w:vAlign w:val="bottom"/>
          </w:tcPr>
          <w:p>
            <w:pPr>
              <w:jc w:val="center"/>
              <w:ind w:left="990"/>
              <w:spacing w:after="0" w:line="207" w:lineRule="exact"/>
              <w:rPr>
                <w:sz w:val="20"/>
                <w:szCs w:val="20"/>
                <w:color w:val="auto"/>
              </w:rPr>
            </w:pPr>
            <w:r>
              <w:rPr>
                <w:rFonts w:ascii="Times New Roman" w:cs="Times New Roman" w:eastAsia="Times New Roman" w:hAnsi="Times New Roman"/>
                <w:sz w:val="18"/>
                <w:szCs w:val="18"/>
                <w:color w:val="auto"/>
              </w:rPr>
              <w:t>62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0812904</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41"/>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305 Hartmann Drive</w:t>
            </w:r>
          </w:p>
        </w:tc>
        <w:tc>
          <w:tcPr>
            <w:tcW w:w="4040" w:type="dxa"/>
            <w:vAlign w:val="bottom"/>
          </w:tcPr>
          <w:p>
            <w:pPr>
              <w:spacing w:after="0"/>
              <w:rPr>
                <w:sz w:val="24"/>
                <w:szCs w:val="24"/>
                <w:color w:val="auto"/>
              </w:rPr>
            </w:pPr>
          </w:p>
        </w:tc>
      </w:tr>
      <w:tr>
        <w:trPr>
          <w:trHeight w:val="21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Lebanon, Tennessee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37087-4779</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(615) 444-5533</w:t>
      </w:r>
    </w:p>
    <w:p>
      <w:pPr>
        <w:spacing w:after="0" w:line="25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35" w:right="239" w:bottom="1440" w:gutter="0" w:footer="0" w:header="0"/>
        </w:sectPr>
      </w:pPr>
    </w:p>
    <w:p>
      <w:pPr>
        <w:spacing w:after="0" w:line="160" w:lineRule="exact"/>
        <w:rPr>
          <w:sz w:val="24"/>
          <w:szCs w:val="24"/>
          <w:color w:val="auto"/>
        </w:rPr>
      </w:pPr>
    </w:p>
    <w:p>
      <w:pPr>
        <w:ind w:left="19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5100" w:space="720"/>
            <w:col w:w="1220" w:space="80"/>
            <w:col w:w="4300"/>
          </w:cols>
          <w:pgMar w:left="240" w:top="535" w:right="239" w:bottom="1440" w:gutter="0" w:footer="0" w:header="0"/>
          <w:type w:val="continuous"/>
        </w:sectPr>
      </w:pPr>
    </w:p>
    <w:p>
      <w:pPr>
        <w:spacing w:after="0" w:line="28"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4">
            <w:col w:w="3400" w:space="180"/>
            <w:col w:w="1520" w:space="720"/>
            <w:col w:w="1980" w:space="80"/>
            <w:col w:w="3540"/>
          </w:cols>
          <w:pgMar w:left="240" w:top="535"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23,957,780 Shares of Common Stock</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Outstanding as of May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40" w:type="dxa"/>
            <w:vAlign w:val="bottom"/>
            <w:gridSpan w:val="8"/>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80" w:type="dxa"/>
            <w:vAlign w:val="bottom"/>
            <w:gridSpan w:val="6"/>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40" w:type="dxa"/>
            <w:vAlign w:val="bottom"/>
            <w:gridSpan w:val="8"/>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For the Quarter Ended May 1, 2015</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80" w:type="dxa"/>
            <w:vAlign w:val="bottom"/>
            <w:gridSpan w:val="6"/>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ITEM 1. Condensed Consolidated Financial Statements (Unaudited)</w:t>
            </w:r>
          </w:p>
        </w:tc>
        <w:tc>
          <w:tcPr>
            <w:tcW w:w="3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 Condensed Consolidated Balance Sheets as of May 1, 2015 and August 1, 2014</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 Condensed Consolidated Statements of Income for the Quarters and Nine Months Ended May 1, 2015 and May 2, 2014</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 Condensed Consolidated Statements of Comprehensive Income for the Quarters and Nine Months Ended May 1, 2015 and May 2, 2014</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d) Condensed Consolidated Statements of Cash Flows for the Nine Months Ended May 1, 2015 and May 2, 2014</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3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e) Notes to Condensed Consolidated Financial Statements</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3. Quantitative and Qualitative Disclosures About Market Risk</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4. Controls and Procedures</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1. Legal Proceedings</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1A. Risk Factors</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6. Exhibits</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60" w:type="dxa"/>
            <w:vAlign w:val="bottom"/>
            <w:gridSpan w:val="15"/>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SIGNATURES</w:t>
              </w:r>
            </w:hyperlink>
          </w:p>
        </w:tc>
        <w:tc>
          <w:tcPr>
            <w:tcW w:w="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100" w:type="dxa"/>
            <w:vAlign w:val="bottom"/>
            <w:tcBorders>
              <w:top w:val="single" w:sz="8" w:color="CCEEFF"/>
            </w:tcBorders>
            <w:gridSpan w:val="7"/>
          </w:tcPr>
          <w:p>
            <w:pPr>
              <w:jc w:val="center"/>
              <w:ind w:left="3928"/>
              <w:spacing w:after="0"/>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6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jc w:val="center"/>
              <w:ind w:left="2350"/>
              <w:spacing w:after="0"/>
              <w:rPr>
                <w:sz w:val="20"/>
                <w:szCs w:val="20"/>
                <w:color w:val="auto"/>
              </w:rPr>
            </w:pPr>
            <w:r>
              <w:rPr>
                <w:rFonts w:ascii="Times New Roman" w:cs="Times New Roman" w:eastAsia="Times New Roman" w:hAnsi="Times New Roman"/>
                <w:sz w:val="18"/>
                <w:szCs w:val="18"/>
                <w:color w:val="auto"/>
                <w:w w:val="99"/>
              </w:rPr>
              <w:t>(In thousands, except share data)</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6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May 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August 1,</w:t>
            </w:r>
          </w:p>
        </w:tc>
        <w:tc>
          <w:tcPr>
            <w:tcW w:w="0" w:type="dxa"/>
            <w:vAlign w:val="bottom"/>
          </w:tcPr>
          <w:p>
            <w:pPr>
              <w:spacing w:after="0"/>
              <w:rPr>
                <w:sz w:val="1"/>
                <w:szCs w:val="1"/>
                <w:color w:val="auto"/>
              </w:rPr>
            </w:pPr>
          </w:p>
        </w:tc>
      </w:tr>
      <w:tr>
        <w:trPr>
          <w:trHeight w:val="241"/>
        </w:trPr>
        <w:tc>
          <w:tcPr>
            <w:tcW w:w="868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202,054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1,867,121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amortization of capital leases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1,501,067</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1,432,248</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89,327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interest rate swap liability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315,929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of $.01 par value authorized; 300,000 shares designated as Series A Junior</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Participating Preferred Stock; no shares issued</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 400,000,000 shares of $.01 par value authorized; 23,949,084 shares issued and outstanding at May 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2015, and 23,821,227 shares issued and outstanding at August 1, 2014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528,641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1,501,067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1,432,248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82" w:lineRule="auto"/>
        <w:tabs>
          <w:tab w:leader="none" w:pos="1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Condensed Consolidated Balance Sheet has been derived from the audited Consolidated Balance Sheet as of August 1, 2014, as filed with the Securities and Exchange Commission in the Company’s Annual Report on Form 10-K for the fiscal year ended August 1, 2014.</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683,705</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643,298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2,123,099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201,507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700,592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242,977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740,806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390,609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32,541</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55,477</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45,213</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116,504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92,943</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23,937,844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23,820,309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23,904,945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23,816,841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24,066,061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23,978,474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24,033,296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23,958,058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per share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CRACKER BARREL OLD COUNTRY STORE, INC. CONDENSED CONSOLIDATED STATEMENTS OF COMPREHENSIVE INCOME </w:t>
      </w:r>
      <w:r>
        <w:rPr>
          <w:rFonts w:ascii="Times New Roman" w:cs="Times New Roman" w:eastAsia="Times New Roman" w:hAnsi="Times New Roman"/>
          <w:sz w:val="18"/>
          <w:szCs w:val="18"/>
          <w:color w:val="auto"/>
        </w:rPr>
        <w:t>(Unaudited and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35,317</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116,504</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income tax expense: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(Unaudited and in thousands)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116,504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assets and liabilities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insurance recoveries of property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(58,492)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withheld) and proceeds from issuance of share-based compensation awards,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under long-term debt and other long-term obligations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(406,250)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on common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(71,750)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(75,495)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88,239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 expenditures accrued in accounts payable</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deferred tax asset for interest rate swaps</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(In thousands, except percentages, share and per share data) (Unaudited)</w:t>
      </w:r>
    </w:p>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sheets at May 1, 2015 and August 1, 2014 and the related condensed consolidated statements of income, comprehensive income and cash flows for the quarters and nine months ended May 1, 2015 and May 2, 2014, respectively,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thereto contained in the Company's Annual Report on Form 10-K for the year ended August 1, 2014 (the “2014 Form 10-K”). The accounting policies used in preparing these condensed consolidated financial statements are the same as described in the 2014 Form 10-K. References to a year in these Notes to Condensed Consolidated Financial Statements are to the Company’s fiscal year unless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Adopted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Reporting Discontinued Operations and Disclosures of Disposals of Components of an Entity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2014, the Financial Accounting Standards Board (“FASB”) issued accounting guidance which changes the criteria for disposals to qualify as discontinued operations and requires new disclosures about disposals of both discontinued operations and certain other disposals that do not meet the new definition. This accounting guidance is effective for fiscal years beginning on or after December 15, 2014 and interim periods within those years on a prospective basis. The Company is currently evaluating the impact of adopting this accounting guidance, but it is not expected to have a significant impact on the Company’s consolidated financial position or results of operations upon adoption in the first quarter of 2016.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2016 and interim periods within those years. Early application is not permitted. A company may apply this accounting guidance either retrospectively or using the cumulative effect transition method. The Company is currently evaluating the impact of adopting this accounting guidance in the first quarter of 2018.</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and liabilities measured at fair value on a recurring basis at May 1, 2015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154,919</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158,065</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August 1, 2014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88,630</w:t>
            </w:r>
          </w:p>
        </w:tc>
        <w:tc>
          <w:tcPr>
            <w:tcW w:w="0" w:type="dxa"/>
            <w:vAlign w:val="bottom"/>
          </w:tcPr>
          <w:p>
            <w:pPr>
              <w:spacing w:after="0"/>
              <w:rPr>
                <w:sz w:val="1"/>
                <w:szCs w:val="1"/>
                <w:color w:val="auto"/>
              </w:rPr>
            </w:pPr>
          </w:p>
        </w:tc>
      </w:tr>
      <w:tr>
        <w:trPr>
          <w:trHeight w:val="21"/>
        </w:trPr>
        <w:tc>
          <w:tcPr>
            <w:tcW w:w="60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money market fund investments.</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**Represents plan assets invested in mutual funds established under a rabbi trust for the Company’s non-qualified savings plan and is included in the Consolidated Balance Sheets as other assets.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May 1, 2015 and August 1, 2014.</w:t>
      </w:r>
    </w:p>
    <w:p>
      <w:pPr>
        <w:spacing w:after="0" w:line="17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were comprised of the following at:</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May 1, 2015</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August 1, 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Restaurant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136,405</w:t>
            </w:r>
          </w:p>
        </w:tc>
        <w:tc>
          <w:tcPr>
            <w:tcW w:w="5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165,426</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45"/>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May 1, 2015</w:t>
            </w:r>
          </w:p>
        </w:tc>
        <w:tc>
          <w:tcPr>
            <w:tcW w:w="22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August 1, 2014</w:t>
            </w:r>
          </w:p>
        </w:tc>
        <w:tc>
          <w:tcPr>
            <w:tcW w:w="1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expiring on January 8,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Revolving credit facility expiring on July 8, 2016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2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payable on or before July 8, 2016</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8, 2015, the Company entered into a five-year $750,000 revolving credit facility (the “2015 Revolving Credit Facility”). The 2015 Revolving Credit Facility replaced a term loan totaling $181,250 and a $218,750 revolving credit facility (“Prior Credit Facility”). In the second quarter of 2015, loan acquisition costs associated with the 2015 Revolving Credit Facility were capitalized in the amount of $3,537 and will be amortized over the five-year term of the 2015 Revolving Credit Facility. Loan acquisition costs of $412 associated with the Prior Credit Facility were written off in the second quarter of 2015 and are recorded in interest expense in the Condensed Consolidated Statement of Income.</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May 1, 2015, the Company had $400,000 of outstanding borrowings under the 2015 Revolving Credit Facility and $11,530 of standby letters of credit, which reduce the Company’s borrowing availability under the 2015 Revolving Credit Facility (see Note 12 for more information on the Company’s standby letters of credit). At May 1, 2015, the Company had $338,470 in borrowing availability under the 2015 Revolving Credit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2015 Revolving Credit Facility, outstanding borrowings bear interest, at the Company’s election, either at LIBOR or prime plus a percentage point spread based on certain specified financial ratios under the 2015 Revolving Credit Facility. As of May 1, 2015, the Company’s outstanding borrowings were swapped at a weighted average interest rate of 3.48% (see Note 5 for information on the Company’s interest rate swaps).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2015 Revolving Credit Facility contains customary financial covenants, which include maintenance of a maximum consolidated total leverage ratio and a minimum consolidated interest coverage ratio. At May 1, 2015, the Company was in compliance with all debt covenants.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2015 Revolving Credit Facility also imposes restrictions on the amount of dividends the Company is permitted to pay and the amount of shares the Company is permitted to repurchase. Under the 2015 Revolving Credit Facility, provided there is no default existing and the total of the Company’s availability under the 2015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8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 efficient manner, the Company uses derivative instruments, specifically interest rate swaps.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May 1, 2015 was 1.25%. All of the Company’s interest rate swaps are accounted for as cash flow hedges.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interest rate swaps at May 1, 2015 is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Term</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Fixed</w:t>
            </w:r>
          </w:p>
        </w:tc>
      </w:tr>
      <w:tr>
        <w:trPr>
          <w:trHeight w:val="241"/>
        </w:trPr>
        <w:tc>
          <w:tcPr>
            <w:tcW w:w="20" w:type="dxa"/>
            <w:vAlign w:val="bottom"/>
          </w:tcPr>
          <w:p>
            <w:pPr>
              <w:spacing w:after="0"/>
              <w:rPr>
                <w:sz w:val="20"/>
                <w:szCs w:val="20"/>
                <w:color w:val="auto"/>
              </w:rPr>
            </w:pPr>
          </w:p>
        </w:tc>
        <w:tc>
          <w:tcPr>
            <w:tcW w:w="28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Trade Date</w:t>
            </w:r>
          </w:p>
        </w:tc>
        <w:tc>
          <w:tcPr>
            <w:tcW w:w="180" w:type="dxa"/>
            <w:vAlign w:val="bottom"/>
          </w:tcPr>
          <w:p>
            <w:pPr>
              <w:spacing w:after="0"/>
              <w:rPr>
                <w:sz w:val="20"/>
                <w:szCs w:val="20"/>
                <w:color w:val="auto"/>
              </w:rPr>
            </w:pPr>
          </w:p>
        </w:tc>
        <w:tc>
          <w:tcPr>
            <w:tcW w:w="29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Effective Date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(in Years)</w:t>
            </w: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Notional Amount</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10, 2010</w:t>
            </w:r>
          </w:p>
        </w:tc>
        <w:tc>
          <w:tcPr>
            <w:tcW w:w="1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July 25, 2011</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2011</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September 19, 2011</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19, 2011</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December 7, 2011</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18, 2013</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April 8, 2013</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15, 2013</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April 22, 2013</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2013</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June 18, 2014</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24, 2014</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5, 2015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3, 2019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 2019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4, 2021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 3, 2019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4, 2021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8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of the Company’s derivative instruments as of May 1, 2015 and August 1, 2014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120" w:type="dxa"/>
            <w:vAlign w:val="bottom"/>
          </w:tcPr>
          <w:p>
            <w:pPr>
              <w:spacing w:after="0"/>
              <w:rPr>
                <w:sz w:val="20"/>
                <w:szCs w:val="20"/>
                <w:color w:val="auto"/>
              </w:rPr>
            </w:pPr>
          </w:p>
        </w:tc>
        <w:tc>
          <w:tcPr>
            <w:tcW w:w="42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Balance Sheet Location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2015</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2014</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43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43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interest rate swap liability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assets in the Condensed Consolidated Balance Sheets at May 1, 2015 and August 1,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Net Asset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Gross Asset Amounts</w:t>
            </w:r>
          </w:p>
        </w:tc>
        <w:tc>
          <w:tcPr>
            <w:tcW w:w="200" w:type="dxa"/>
            <w:vAlign w:val="bottom"/>
          </w:tcPr>
          <w:p>
            <w:pPr>
              <w:spacing w:after="0"/>
              <w:rPr>
                <w:sz w:val="20"/>
                <w:szCs w:val="20"/>
                <w:color w:val="auto"/>
              </w:rPr>
            </w:pP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Liability Amount Offset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w w:val="97"/>
              </w:rPr>
              <w:t>May 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left="92"/>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7"/>
              </w:rPr>
              <w:t>May 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20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10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liabilities in the Condensed Consolidated Balance Sheets at May 1, 2015 and August 1,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Net Liability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Gross Liability Amounts</w:t>
            </w:r>
          </w:p>
        </w:tc>
        <w:tc>
          <w:tcPr>
            <w:tcW w:w="200" w:type="dxa"/>
            <w:vAlign w:val="bottom"/>
          </w:tcPr>
          <w:p>
            <w:pPr>
              <w:spacing w:after="0"/>
              <w:rPr>
                <w:sz w:val="20"/>
                <w:szCs w:val="20"/>
                <w:color w:val="auto"/>
              </w:rPr>
            </w:pPr>
          </w:p>
        </w:tc>
        <w:tc>
          <w:tcPr>
            <w:tcW w:w="25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Asset Amount Offset</w:t>
            </w: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495"/>
              <w:spacing w:after="0" w:line="198" w:lineRule="exact"/>
              <w:rPr>
                <w:sz w:val="20"/>
                <w:szCs w:val="20"/>
                <w:color w:val="auto"/>
              </w:rPr>
            </w:pPr>
            <w:r>
              <w:rPr>
                <w:rFonts w:ascii="Times New Roman" w:cs="Times New Roman" w:eastAsia="Times New Roman" w:hAnsi="Times New Roman"/>
                <w:sz w:val="18"/>
                <w:szCs w:val="18"/>
                <w:color w:val="auto"/>
                <w:w w:val="97"/>
              </w:rPr>
              <w:t>May 1,</w:t>
            </w:r>
          </w:p>
        </w:tc>
        <w:tc>
          <w:tcPr>
            <w:tcW w:w="98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7"/>
              </w:rPr>
              <w:t>May 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1,</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200" w:type="dxa"/>
            <w:vAlign w:val="bottom"/>
          </w:tcPr>
          <w:p>
            <w:pPr>
              <w:spacing w:after="0"/>
              <w:rPr>
                <w:sz w:val="20"/>
                <w:szCs w:val="2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estimated fair value of the Company’s interest rate swap assets and liabilities incorporates the Company’s non-performance risk (see Note 2). The adjustment related to the Company’s non-performance risk at May 1, 2015 and August 1, 2014 resulted in reductions of $209 and $62, respectively, in the fair value of the interest rate swap assets and liabilities. The offset to the interest rate swap assets and liabilities is recorded in accumulated other comprehensive loss (“AOCL”), net of the deferred tax asset, and will be reclassified into earnings over the term of the underlying debt. As of May 1, 2015, the estimated pre-tax portion of AOCL that is expected to be reclassified into earnings over the next twelve months is $4,089. Cash flows related to the interest rate swap are included in interest expense and in operating activities.</w:t>
      </w:r>
    </w:p>
    <w:p>
      <w:pPr>
        <w:spacing w:after="0" w:line="21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AOCL for the nine months ended May 1, 2015 and the year ended August 1,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Amount of Income Recognized in AOCL on</w:t>
            </w:r>
          </w:p>
        </w:tc>
      </w:tr>
      <w:tr>
        <w:trPr>
          <w:trHeight w:val="241"/>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Derivatives (Effective Portion)</w:t>
            </w:r>
          </w:p>
        </w:tc>
      </w:tr>
      <w:tr>
        <w:trPr>
          <w:trHeight w:val="198"/>
        </w:trPr>
        <w:tc>
          <w:tcPr>
            <w:tcW w:w="8120" w:type="dxa"/>
            <w:vAlign w:val="bottom"/>
          </w:tcPr>
          <w:p>
            <w:pPr>
              <w:spacing w:after="0"/>
              <w:rPr>
                <w:sz w:val="17"/>
                <w:szCs w:val="17"/>
                <w:color w:val="auto"/>
              </w:rPr>
            </w:pPr>
          </w:p>
        </w:tc>
        <w:tc>
          <w:tcPr>
            <w:tcW w:w="1620" w:type="dxa"/>
            <w:vAlign w:val="bottom"/>
            <w:tcBorders>
              <w:top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Year Ended</w:t>
            </w:r>
          </w:p>
        </w:tc>
        <w:tc>
          <w:tcPr>
            <w:tcW w:w="100" w:type="dxa"/>
            <w:vAlign w:val="bottom"/>
          </w:tcPr>
          <w:p>
            <w:pPr>
              <w:spacing w:after="0"/>
              <w:rPr>
                <w:sz w:val="17"/>
                <w:szCs w:val="17"/>
                <w:color w:val="auto"/>
              </w:rPr>
            </w:pPr>
          </w:p>
        </w:tc>
      </w:tr>
      <w:tr>
        <w:trPr>
          <w:trHeight w:val="241"/>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 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1, 2014</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income for the quarters and nine-month periods ended May 1, 2015 and May 2,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Reclassified from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gridSpan w:val="13"/>
          </w:tcPr>
          <w:p>
            <w:pPr>
              <w:jc w:val="center"/>
              <w:ind w:right="320"/>
              <w:spacing w:after="0"/>
              <w:rPr>
                <w:sz w:val="20"/>
                <w:szCs w:val="20"/>
                <w:color w:val="auto"/>
              </w:rPr>
            </w:pPr>
            <w:r>
              <w:rPr>
                <w:rFonts w:ascii="Times New Roman" w:cs="Times New Roman" w:eastAsia="Times New Roman" w:hAnsi="Times New Roman"/>
                <w:sz w:val="18"/>
                <w:szCs w:val="18"/>
                <w:color w:val="auto"/>
              </w:rPr>
              <w:t>Amount of Loss Reclassified from AOCL into Income</w:t>
            </w:r>
          </w:p>
        </w:tc>
      </w:tr>
      <w:tr>
        <w:trPr>
          <w:trHeight w:val="241"/>
        </w:trPr>
        <w:tc>
          <w:tcPr>
            <w:tcW w:w="29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(Effective Portion)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8"/>
              </w:rPr>
              <w:t>(Effective Portion)</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19"/>
                <w:szCs w:val="19"/>
                <w:color w:val="auto"/>
              </w:rPr>
            </w:pPr>
          </w:p>
        </w:tc>
        <w:tc>
          <w:tcPr>
            <w:tcW w:w="230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9"/>
                <w:szCs w:val="19"/>
                <w:color w:val="auto"/>
              </w:rPr>
            </w:pPr>
          </w:p>
        </w:tc>
      </w:tr>
      <w:tr>
        <w:trPr>
          <w:trHeight w:val="198"/>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7"/>
              </w:rPr>
              <w:t>May 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7"/>
              </w:rPr>
              <w:t>May 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00" w:type="dxa"/>
            <w:vAlign w:val="bottom"/>
          </w:tcPr>
          <w:p>
            <w:pPr>
              <w:spacing w:after="0"/>
              <w:rPr>
                <w:sz w:val="17"/>
                <w:szCs w:val="17"/>
                <w:color w:val="auto"/>
              </w:rPr>
            </w:pPr>
          </w:p>
        </w:tc>
      </w:tr>
      <w:tr>
        <w:trPr>
          <w:trHeight w:val="241"/>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2,040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6,033</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portion of the fair value of the swaps determined to be ineffective will be recognized currently in earnings. No ineffectiveness has been recorded in the nine-month periods ended May 1, 2015 and May 2, 2014.</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May 1, 2015, the Company issued 127,857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$3,432.</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May 1, 2015, total share-based compensation expense was $10,795. The excess tax benefit realized upon exercise of share-based compensation awards was $3,224.</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May 1, 2015, the Company paid dividends of $3.00 per share of its common stock and declared a regular dividend of $1.00 per share of its common stock that was paid on May 5, 2015 to shareholders of record on April 17, 2015. On June 2, 2015, the Company declared a regular dividend of $1.10 per share and a special dividend of $3.00 per share, both payable on August 5, 2015 to shareholders of record on July 17, 2015.</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AOCL, net of tax, related to the Company’s interest rate swaps for the nine-month period ended May 1, 2015 (see Notes 2 and 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AOCL</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balance at August 1, 2014</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(3,720)</w:t>
            </w:r>
          </w:p>
        </w:tc>
      </w:tr>
      <w:tr>
        <w:trPr>
          <w:trHeight w:val="223"/>
        </w:trPr>
        <w:tc>
          <w:tcPr>
            <w:tcW w:w="20" w:type="dxa"/>
            <w:vAlign w:val="bottom"/>
          </w:tcPr>
          <w:p>
            <w:pPr>
              <w:spacing w:after="0"/>
              <w:rPr>
                <w:sz w:val="19"/>
                <w:szCs w:val="19"/>
                <w:color w:val="auto"/>
              </w:rPr>
            </w:pPr>
          </w:p>
        </w:tc>
        <w:tc>
          <w:tcPr>
            <w:tcW w:w="994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balance at May 1, 2015</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reclassified out of AOCL related to the Company’s interest rate swaps for the quarter and nine-month period ended May 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Amount Reclassified from AOCL</w:t>
            </w:r>
          </w:p>
        </w:tc>
        <w:tc>
          <w:tcPr>
            <w:tcW w:w="4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Affected Line Item in the</w:t>
            </w:r>
          </w:p>
        </w:tc>
      </w:tr>
      <w:tr>
        <w:trPr>
          <w:trHeight w:val="198"/>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Quarter Ended</w:t>
            </w:r>
          </w:p>
        </w:tc>
        <w:tc>
          <w:tcPr>
            <w:tcW w:w="1540" w:type="dxa"/>
            <w:vAlign w:val="bottom"/>
            <w:tcBorders>
              <w:top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Nine Months Ended</w:t>
            </w:r>
          </w:p>
        </w:tc>
        <w:tc>
          <w:tcPr>
            <w:tcW w:w="200" w:type="dxa"/>
            <w:vAlign w:val="bottom"/>
          </w:tcPr>
          <w:p>
            <w:pPr>
              <w:spacing w:after="0"/>
              <w:rPr>
                <w:sz w:val="17"/>
                <w:szCs w:val="17"/>
                <w:color w:val="auto"/>
              </w:rPr>
            </w:pPr>
          </w:p>
        </w:tc>
        <w:tc>
          <w:tcPr>
            <w:tcW w:w="414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Condensed Consolidated</w:t>
            </w:r>
          </w:p>
        </w:tc>
      </w:t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May 1,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May 1, 2015</w:t>
            </w:r>
          </w:p>
        </w:tc>
        <w:tc>
          <w:tcPr>
            <w:tcW w:w="4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Statements of Income</w:t>
            </w:r>
          </w:p>
        </w:tc>
      </w:tr>
      <w:tr>
        <w:trPr>
          <w:trHeight w:val="216"/>
        </w:trPr>
        <w:tc>
          <w:tcPr>
            <w:tcW w:w="20" w:type="dxa"/>
            <w:vAlign w:val="bottom"/>
          </w:tcPr>
          <w:p>
            <w:pPr>
              <w:spacing w:after="0"/>
              <w:rPr>
                <w:sz w:val="18"/>
                <w:szCs w:val="18"/>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on cash flow hedges: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(6,055)</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2,335</w:t>
            </w: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57"/>
        </w:trPr>
        <w:tc>
          <w:tcPr>
            <w:tcW w:w="2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0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tax</w:t>
            </w:r>
          </w:p>
        </w:tc>
      </w:tr>
    </w:tbl>
    <w:p>
      <w:pPr>
        <w:spacing w:after="0" w:line="22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21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3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00" w:type="dxa"/>
            <w:vAlign w:val="bottom"/>
          </w:tcPr>
          <w:p>
            <w:pPr>
              <w:spacing w:after="0"/>
              <w:rPr>
                <w:sz w:val="17"/>
                <w:szCs w:val="17"/>
                <w:color w:val="auto"/>
              </w:rPr>
            </w:pPr>
          </w:p>
        </w:tc>
      </w:tr>
      <w:tr>
        <w:trPr>
          <w:trHeight w:val="241"/>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8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557,098</w:t>
            </w:r>
          </w:p>
        </w:tc>
        <w:tc>
          <w:tcPr>
            <w:tcW w:w="4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523,557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1,681,363</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1,573,895</w:t>
            </w: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119,741</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441,736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417,035</w:t>
            </w:r>
          </w:p>
        </w:tc>
      </w:tr>
      <w:tr>
        <w:trPr>
          <w:trHeight w:val="257"/>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683,705</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643,298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3400" w:type="dxa"/>
            <w:vAlign w:val="bottom"/>
          </w:tcPr>
          <w:p>
            <w:pPr>
              <w:spacing w:after="0"/>
              <w:rPr>
                <w:sz w:val="24"/>
                <w:szCs w:val="24"/>
                <w:color w:val="auto"/>
              </w:rPr>
            </w:pPr>
          </w:p>
        </w:tc>
        <w:tc>
          <w:tcPr>
            <w:tcW w:w="268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40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is recorded in general and administrative expenses in the accompanying Condensed Consolidated Statements of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was comprised of the following for the specified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market stock units (“MSU Grants”)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2,143</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Shareholder Rights Plans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9, 2015, the Company’s Board of Directors declared a dividend of one preferred share purchase right (a “Right”) for each outstanding share of common stock, par value $0.01 per share, and adopted a shareholder rights plan, as set forth in the Rights Agreement dated as of April 9, 2015 (the “Rights Agreement”), by and between the Company and American Stock Transfer &amp; Trust Company, LLC, as rights agent. The dividend was payable on April 20, 2015 to the shareholders of record on April 20, 2015. The Rights Agreement replaced the Company’s previous shareholder rights plan adopted in 2012 (the “2012 Plan”), and it became effective immediately following the expiration of the 2012 Plan at the close of business on April 9, 2015. The 2012 Plan and the preferred share purchase rights issued thereunder expired by their own terms and shareholders of the Company were not entitled to any payment as a result of the expiration of the 2012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Rights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initially trade with, and are inseparable from, the Company’s common stock. The Rights are evidenced only by the balances indicated in the book-entry account system of the transfer agent for the Company’s common stock or, in the case of certified shares, the certificates that represent shares of the Company’s common stock. New Rights will accompany any new shares of common stock the Company issues after April 20, 2015 until the earlier of the Distribution Date, redemption of the Rights by the Board of Directors or the final expiration date of the Rights Agreement, each as described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Exercise Price</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Right will allow its holder to purchase from the Company one one-hundredth of a share of Series A Junior Participating Preferred Stock (“Preferred Share”) for $600.00 (the “Exercise Price”),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Exercisability</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will not be exercisable until 10 days after the public announcement that a person or group has become an “Acquiring Person” by obtaining beneficial ownership of 20% or more of the outstanding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 Certain synthetic interests in securities created by derivative positions – whether or not such interests are considered to be ownership of the underlying common stock or are reportable for purposes of Regulation 13D of the Securities Exchange Act – are treated as beneficial ownership of the number of shares of the Company’s common stock equivalent to the economic exposure created by the derivative.</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date when the Rights become exercisable is the “Distribution Date.” Until the Distribution Date, the common stock certificates will evidence the Rights, and any transfer of shares of common stock will constitute a transfer of Rights. After that date, the Rights will separate from the common stock and will be evidenced by book-entry credits or by Rights certificates that the Company will mail to all eligible holders of common stock. Any Rights held by an Acquiring Person will be void and may not be exercised.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May 1, 2015, none of the Rights were exercisable.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Consequences of a Person or Group Becoming an Acquiring Person</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person or group becomes an Acquiring Person, after the Distribution Date, each Right will generally entitle the holder, except the Acquiring Person or any associate or affiliate thereof, to acquire, for the exercise price of $600.00 per Right (subject to adjustment as provided in the Rights Agreement), shares of the Company’s common stock (or, in certain circumstances, Preferred Shares) having a market value equal to twice the Right’s then-current exercise price. In addition, if, the Company is later acquired in a merger or similar transaction after the Distribution Date, each Right will generally entitle the holder, except the Acquiring Person or any associate or affiliate thereof, to acquire, for the exercise price of $600.00 per Right (subject to adjustment as provided in the Rights Agreement), shares of the acquiring corporation having a market value equal to twice the Right’s then-current exercise price.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Share Provisions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one one-hundredth of a Preferred Share, if issued:</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the same voting power as one share of common stock;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one one-hundredth of a Preferred Share will generally approximate the value of one share of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Qualifying Offer Provision</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Rights would also not interfere with all-cash, fully financed tender offers for all shares of common stock that remain open for a minimum of 60 business days, are subject to a minimum condition of a majority of the outstanding shares and provide for a 20-business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shall not cause the offeror or its affiliates to become an Acquiring Person, and the Rights will immediately expire upon consummation of the qualifying offer.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Anti-Dilution Provisions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 No adjustments to the Exercise Price of less than 1% will be made.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Expiration</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Rights Agreement is approved by the Company’s shareholders at the 2015 annual shareholders’ meeting, the Rights will expire on April 9, 2018. If shareholders do not approve the Rights Agreement, the Rights will expire immediately following certification of the vote at the 2015 annual shareholders’ meeting.</w:t>
      </w:r>
    </w:p>
    <w:p>
      <w:pPr>
        <w:spacing w:after="0" w:line="19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outstanding stock options, nonvested stock awards and MSU Grants issued by the Company represent the only dilutive effects on diluted consolidated net income per share.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numerator</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35,317</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denominator: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23,937,844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23,820,309</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23,904,945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potential dilution: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options, nonvested stock awards and MSU Grants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158,165</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128,351</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24,066,061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23,978,474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24,033,296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23,958,058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2014 and through September 25, 2014, the Company was served with several claims filed as a putative collective action alleging violations of the Fair Labor Standards Act (“FLSA”). The Company has recorded a total provision of approximately $3,500 at May 1, 2015 to reflect potential liability related to these lawsuits. Although we continue to believe that the Company’s associate managers are and have been properly classified as exempt employees under FLSA and have therefore aggressively challenged the plaintiffs’ claims in these lawsuits, in light of the potential cost and uncertainty involved in these lawsuits, in March 2015, we entered into a memorandum of understanding (the “MOU”) with respect to a settlement with plaintiffs’ counsel to resolve the series of lawsuits. In May 2015, the parties executed the settlement agreement based on the MOU, and the final resolution of these matters through settlement is subject to final court approval. No other provision for any potential liability has been made in the condensed consolidated financial statements of the Company related to these proceedings though an adverse outcome could be material to the Company’s results of operations or financial position. See “Item 1. Legal Proceedings” of Part II of this Quarterly Report on Form 10-Q for further information related to these claims.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Related to its workers’ compensation insurance coverage, the Company is contingently liable pursuant to standby letters of credit as credit guarantees to certain insurers. As of May 1, 2015, the Company had $11,530 of standby letters of credit related to securing reserved claims under workers’ compensation insurance. All standby letters of credit are renewable annually and reduce the Company’s borrowing availability under its 2015 Revolving Credit Facility (see Note 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May 1, 2015, the Company is secondarily liable for lease payments associated with one property. The Company is not aware of any non-performance under this lease arrangement that would result in the Company having to perform in accordance with the terms of this guarantee; and therefore, no provision has been recorded in the Condensed Consolidated Balance Sheets for amounts to be paid in case of non-performance by the primary obligor under such lease arrangement.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indemnification agreements in favor of third parties in the ordinary course of business. At May 1, 2015 and May 2, 2014, the Company recorded a liability in the Condensed Consolidated Balance Sheets related to legal costs. The Company believes that the amount recorded is immaterial to the Company’s consolidated results of operations and financial position and that the probability of incurring an actual liability under other indemnification agreements is sufficiently remote so that no additional liability has been recorded in the Condensed Consolidated Balance Sheets.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Cracker Barrel Old Country Store, Inc. and its subsidiaries (collectively, the “Company,” “our” or “we”) are principally engaged in the operation and development in the United States of the Cracker Barrel Old Country StoreÒ (“Cracker Barrel”) concept. At May 1, 2015, we operated 634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August 1, 2014 (the “2014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2014 Form 10-K, which is incorporated herein by this reference, as well as the factors described under “Critical Accounting Estimates” on pages 25-28 of this report or, from time to time, in our filings with the Securities and Exchange Commission (“SEC”), press releases and other communications.</w:t>
      </w:r>
    </w:p>
    <w:p>
      <w:pPr>
        <w:spacing w:after="0" w:line="21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Cracker Barrel brand remains one of the strongest and most differentiated brands in the restaurant industry, and we plan to continue to leverage that strength in 2015 to grow guest sales and profits. Our long-term strategy includes the following:</w:t>
      </w:r>
    </w:p>
    <w:p>
      <w:pPr>
        <w:spacing w:after="0" w:line="189"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footprint through continued use of our proven site selection tools, introducing a new and more efficient building and equipment prototype and the selective entry into new markets;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four priorities for 2015 are to: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reach of the brand to drive traffic and sales in both our restaurant and retail businesses;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average guest check through the implementation of geographic pricing tiers;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technology and process enhancements to drive store operating margins;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grow our store base with the opening of six new stores.</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maintained our focus on the execution of these priorities. In the third quarter of 2015, we outperformed traffic and restaurant sales of our peers in the Knapp-Track™ Casual Dining Index for the fourteenth consecutive quarter and our comparable store retail sales increased over 4%. During the quarter, we introduced several new promotional menu items and have continued to focus on strengthening our relationships with our guests through alternative channels, such as digital and social media and our music program. During the quarter, we began implementation of our dining room management system in our stores and expect to substantially complete this initiative in the fourth quarter of 2015. This initiative’s purpose is to optimize our wait list and seating process while reducing our overall cost. We also implemented our second market-level pricing increase during the quarter and continued to improve operating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our operating results by percentage relationships to total revenue for the quarter and nine-month period ended May 1, 2015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color w:val="auto"/>
              </w:rPr>
              <w:t>Quarter Ended</w:t>
            </w:r>
          </w:p>
        </w:tc>
        <w:tc>
          <w:tcPr>
            <w:tcW w:w="27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1120" w:type="dxa"/>
            <w:vAlign w:val="bottom"/>
            <w:tcBorders>
              <w:top w:val="single" w:sz="8" w:color="auto"/>
            </w:tcBorders>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11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31.3</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37.8</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1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591"/>
        </w:trPr>
        <w:tc>
          <w:tcPr>
            <w:tcW w:w="20" w:type="dxa"/>
            <w:vAlign w:val="bottom"/>
          </w:tcPr>
          <w:p>
            <w:pPr>
              <w:spacing w:after="0"/>
              <w:rPr>
                <w:sz w:val="24"/>
                <w:szCs w:val="24"/>
                <w:color w:val="auto"/>
              </w:rPr>
            </w:pPr>
          </w:p>
        </w:tc>
        <w:tc>
          <w:tcPr>
            <w:tcW w:w="478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4"/>
                <w:szCs w:val="14"/>
                <w:color w:val="auto"/>
              </w:rPr>
              <w:t>18</w:t>
            </w: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stores in operation at the beginning and end of the quarters and nine-month periods ended May 1, 2015 and May 2, 2014,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Quarter Ended</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color w:val="auto"/>
              </w:rPr>
              <w:t>Nine Months Ended</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840" w:type="dxa"/>
            <w:vAlign w:val="bottom"/>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57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at beginning of period</w:t>
            </w: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634</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Opened during period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at the end of period</w:t>
            </w:r>
          </w:p>
        </w:tc>
        <w:tc>
          <w:tcPr>
            <w:tcW w:w="84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634</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for the third quarter and first nine months of 2015 increased 6.3% and 6.6%, respectively, compared to the same periods in the prior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34" w:lineRule="exact"/>
        <w:rPr>
          <w:sz w:val="20"/>
          <w:szCs w:val="20"/>
          <w:color w:val="auto"/>
        </w:rPr>
      </w:pPr>
    </w:p>
    <w:p>
      <w:pPr>
        <w:jc w:val="both"/>
        <w:ind w:firstLine="661"/>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key components of revenue for the quarter and nine-month period ended May 1, 2015 as compared to the quarter and nine-month period ended May 2,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5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in dollars: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557,098</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523,557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1,681,363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119,741</w:t>
            </w: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441,736</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417,035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683,705</w:t>
            </w: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643,298</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2,123,099</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1,990,930</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by percentage relationships: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Average unit volumes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28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836.5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191.3</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697.3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28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 increase (decrease):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Restaurant and retail</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Average unit volumes include sales of all stores.</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third quarter of 2015, our comparable store restaurant sales increase consisted of a 3.4% average check increase for the quarter (including a 2.5% average menu price increase) and a 1.8% guest traffic increase. We believe the positive impact of lower gasoline prices on consumer spending and travel contributed to our guest traffic increase. For the third quarter of 2015, our comparable store retail sales increase resulted primarily from strong performance in apparel and accessories and bed and bath merchandise categories and the increase in guest traffic.</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first nine months of 2015, our comparable store restaurant sales increase consisted of a 3.0% average check increase for the nine months (including a 2.4% average menu price increase) and a 2.5% guest traffic increase. We believe the increase in guest traffic resulted from seasonal menu promotions, the milder winter weather as compared to the prior year, the positive impact of lower gasoline prices on consumer spending and travel and the success of our national advertising. For the first nine months of 2015, our comparable store retail sales increase resulted primarily from strong performance in apparel and accessories, décor, and bed and bath merchandise categories and the increase in guest traffic.</w:t>
      </w:r>
    </w:p>
    <w:p>
      <w:pPr>
        <w:spacing w:after="0" w:line="21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Restaurant and retail sales from newly opened stores accounted for the balance of the total revenue increases in the third quarter and first nine months of 2015 as compared to the same periods in the prior year.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components of cost of goods sold (exclusive of depreciation and rent) in dollar amounts and as percentages of revenues for the third quarter and first nine months of 2015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5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1,</w:t>
            </w: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60" w:type="dxa"/>
            <w:vAlign w:val="bottom"/>
          </w:tcPr>
          <w:p>
            <w:pPr>
              <w:spacing w:after="0"/>
              <w:rPr>
                <w:sz w:val="17"/>
                <w:szCs w:val="17"/>
                <w:color w:val="auto"/>
              </w:rPr>
            </w:pPr>
          </w:p>
        </w:tc>
      </w:t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 dollars: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470,511</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432,735</w:t>
            </w:r>
          </w:p>
        </w:tc>
      </w:tr>
      <w:tr>
        <w:trPr>
          <w:trHeight w:val="22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59,750</w:t>
            </w:r>
          </w:p>
        </w:tc>
        <w:tc>
          <w:tcPr>
            <w:tcW w:w="20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230,081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217,716</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216,142</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201,507</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700,592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650,451</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by percentage of revenue: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r>
      <w:tr>
        <w:trPr>
          <w:trHeight w:val="21"/>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increase in restaurant cost of goods sold as a percentage of restaurant revenue in the third quarter of 2015 as compared to the same period in the prior year was due to commodity inflation partially offset by our menu price increase referenced above. The increase in restaurant cost of goods sold as a percentage of restaurant revenue in the first nine months of 2015 as compared to the same period in the prior year was primarily due to commodity inflation and a shift to higher cost menu items partially offset by our menu price increase referenced above and lower food waste. Higher cost menu items accounted for an increase of 0.2% in restaurant cost of goods sold as a percentage of restaurant revenue for the first nine months of 2015 as compared to the same period in the prior year. Lower food waste accounted for a decrease of 0.1% in restaurant cost of goods sold as a percentage of restaurant revenue for the first nine months of 2015 as compared to the same period in the prior year. Commodity inflation was 4.0% and 3.9%, respectively, in the third quarter and first nine months of 2015.</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presently expect the rate of commodity inflation to be approximately 3.0% for 2015.</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the third quarter of 2015 as compared to the prior year quarter resulted primarily from lower markdowns, lower damages and vendor allowances and lower shrinkage partially offset by lower initial markup on merchandise.</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Third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(Decrease) Increase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98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Markdowns</w:t>
            </w:r>
          </w:p>
        </w:tc>
        <w:tc>
          <w:tcPr>
            <w:tcW w:w="25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Damages and vendor allowances</w:t>
            </w:r>
          </w:p>
        </w:tc>
        <w:tc>
          <w:tcPr>
            <w:tcW w:w="4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inventory shrinkage</w:t>
            </w:r>
          </w:p>
        </w:tc>
        <w:tc>
          <w:tcPr>
            <w:tcW w:w="4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Lower initial markup on merchandise</w:t>
            </w:r>
          </w:p>
        </w:tc>
        <w:tc>
          <w:tcPr>
            <w:tcW w:w="4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Retail cost of goods sold as a percentage of retail revenue remained relatively constant in the first nine months of 2015 as compared to the same period in the prior year.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Related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Labor and related expenses include all direct and indirect labor and related costs incurred in store operations. Labor and related expenses as a percentage of total revenue decreased to 36.1% in the third quarter of 2015 as compared to 37.8% in the third quarter of 2014. This percentage change resulted primarily from the following:</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Third Quarter</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(Decrease) Increase as a</w:t>
            </w: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health care expenses</w:t>
            </w:r>
          </w:p>
        </w:tc>
        <w:tc>
          <w:tcPr>
            <w:tcW w:w="26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Store hourly labor</w:t>
            </w:r>
          </w:p>
        </w:tc>
        <w:tc>
          <w:tcPr>
            <w:tcW w:w="4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management compensation</w:t>
            </w:r>
          </w:p>
        </w:tc>
        <w:tc>
          <w:tcPr>
            <w:tcW w:w="4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Payroll tax expense</w:t>
            </w:r>
          </w:p>
        </w:tc>
        <w:tc>
          <w:tcPr>
            <w:tcW w:w="4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incentive compensation expense</w:t>
            </w:r>
          </w:p>
        </w:tc>
        <w:tc>
          <w:tcPr>
            <w:tcW w:w="4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Labor and related expenses as a percentage of total revenue decreased to 34.9% in the first nine months of 2015 as compared to 36.1% in the same period in the prior year. This percentage change resulted from the following:</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First Nine Months</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(Decrease) Increase as a</w:t>
            </w: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hourly labor</w:t>
            </w:r>
          </w:p>
        </w:tc>
        <w:tc>
          <w:tcPr>
            <w:tcW w:w="26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Store management compensation</w:t>
            </w:r>
          </w:p>
        </w:tc>
        <w:tc>
          <w:tcPr>
            <w:tcW w:w="4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health care expenses</w:t>
            </w:r>
          </w:p>
        </w:tc>
        <w:tc>
          <w:tcPr>
            <w:tcW w:w="4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Payroll tax expense</w:t>
            </w:r>
          </w:p>
        </w:tc>
        <w:tc>
          <w:tcPr>
            <w:tcW w:w="4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incentive compensation expense</w:t>
            </w:r>
          </w:p>
        </w:tc>
        <w:tc>
          <w:tcPr>
            <w:tcW w:w="4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decreases in our employee health care expenses as a percentage of total revenue for the third quarter and the first nine months of 2015 as compared to the same periods in the prior year resulted primarily from lower claims in 2015 and the recognition of premium credits related to claims for the plan year ending December 31, 2014.</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decreases in store hourly labor costs as a percentage of total revenue for the third quarter and first nine months of 2015 as compared to the same periods in the prior year resulted from menu price increases being higher than wage inflation and improved productivity driven by the successful implementation of labor savings initiatives in the first quarter of 2015.</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decreases in store management compensation expense as a percentage of total revenue for the third quarter and first nine months of 2015 as compared to the same periods in the prior year resulted primarily from the increases in revenue in the third quarter and first nine months of 2015 as compared to the prior year periods.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decreases in payroll tax expense as a percentage of total revenue for the third quarter and first nine months of 2015 as compared to the same periods in the prior year resulted primarily from a reduction in state unemployment tax rates.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increases in store incentive compensation expense as a percentage of total revenue for the third quarter and first nine months of 2015 as compared to the same periods in the prior year reflected better performance against financial objectives in 2015 as compared to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Store Operating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store operating expenses as a percentage of total revenue decreased to 18.5% in the third quarter of 2015 as compared to 18.8% in the third quarter of 2014. This percentage decrease resulted from lower utilities expense.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store operating expenses as a percentage of total revenue decreased to 18.4% in the first nine months of 2015 as compared to 18.8% in the same period in the prior year. This percentage change resulted primarily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First Nine Months</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980" w:type="dxa"/>
            <w:vAlign w:val="bottom"/>
            <w:gridSpan w:val="3"/>
          </w:tcPr>
          <w:p>
            <w:pPr>
              <w:jc w:val="center"/>
              <w:ind w:left="2430"/>
              <w:spacing w:after="0"/>
              <w:rPr>
                <w:sz w:val="20"/>
                <w:szCs w:val="20"/>
                <w:color w:val="auto"/>
              </w:rPr>
            </w:pPr>
            <w:r>
              <w:rPr>
                <w:rFonts w:ascii="Times New Roman" w:cs="Times New Roman" w:eastAsia="Times New Roman" w:hAnsi="Times New Roman"/>
                <w:sz w:val="18"/>
                <w:szCs w:val="18"/>
                <w:color w:val="auto"/>
              </w:rPr>
              <w:t>(Decrease) as a Percentage</w:t>
            </w:r>
          </w:p>
        </w:tc>
      </w:t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27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Utilities expense</w:t>
            </w:r>
          </w:p>
        </w:tc>
        <w:tc>
          <w:tcPr>
            <w:tcW w:w="4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manager conference expense</w:t>
            </w:r>
          </w:p>
        </w:tc>
        <w:tc>
          <w:tcPr>
            <w:tcW w:w="4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decreases in utilities expense as a percentage of total revenue for the third quarter and first nine months of 2015 as compared to the same periods in the prior year resulted primarily from milder winter weather and lower natural gas prices.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expense as a percentage of total revenue for the first nine months of 2015 as compared to the same period in the prior year resulted primarily from the increase in revenue.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2014, we held a manager conference which was attended by our store operations management team. We did not hold a manager’s conference in the first nine months of 2015 and we expect to hold our next conference in the first quarter of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as a percentage of total revenue increased to 5.7% in the third quarter of 2015 as compared to 5.1% in the third quarter of 2014. This percentage change resulted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Third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84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 expense</w:t>
            </w:r>
          </w:p>
        </w:tc>
        <w:tc>
          <w:tcPr>
            <w:tcW w:w="25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Proxy contest expenses in the prior year</w:t>
            </w:r>
          </w:p>
        </w:tc>
        <w:tc>
          <w:tcPr>
            <w:tcW w:w="4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as a percentage of total revenue increased to 5.1% in the first nine months of 2015 as compared to 5.0% in the same period in the prior year. This percentage change resulted primarily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First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84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 expense</w:t>
            </w:r>
          </w:p>
        </w:tc>
        <w:tc>
          <w:tcPr>
            <w:tcW w:w="25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4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contest expenses in the prior year</w:t>
            </w:r>
          </w:p>
        </w:tc>
        <w:tc>
          <w:tcPr>
            <w:tcW w:w="4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4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Higher incentive compensation in the third quarter and first nine months of 2015 as compared to the same periods in the prior year resulted primarily from better performance against financial objectives as compared to the prior year and an increase in the price of our common stock in 2015.</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and first nine months of 2014, we incurred $1,113 and $4,313, respectively, in costs related to a proxy contest at our Annual Shareholders Meeting and a Special Meeting of Shareholders.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a total provision of approximately $3,500 for the first nine months of 2015 related to the potential liability associated with the previously disclosed Fair Labor Standards Act (“FLSA”) litigation. See Note 12 to our Condensed Consolidated Financial Statements and “Item 1. Legal Proceedings” of Part II of this Quarterly Report on Form 10-Q for further information related to the FLSA litigation.</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Lower payroll and related expenses in the first nine months of 2015 as compared to the same period in the prior year resulted primarily from a reduction in employee health care costs and the increase in revenue.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expense for the third quarter of 2015 was $4,030 as compared to $4,327 in the third quarter of 2014. Interest expense for the first nine months of 2015 was $13,138 as compared to $13,205 in the same period in the prior year. The decrease in interest expense for the third quarter of 2015 as compared to the third quarter of 2014 resulted primarily from the reduction in our credit spread by 0.25% as a result of our debt refinancing in January 2015. The decrease in interest expense for the first nine months of 2015 as compared to the same period in the prior year resulted primarily from the reduction in our credit spread by 0.25% partially offset by the write-off of $412 in deferred financing costs as a result of our debt refinancing. See the discussion below under “Borrowing Capacity and Debt Covenants” for further information on our debt refinancing.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 for income taxes as a percentage of income before income taxes (the “effective tax rate”) was 31.4% and 29.7%, respectively in the third quarters of 2015 and 2014. The increase in the effective tax rate from the third quarter of 2014 to the third quarter of 2015 resulted primarily from an increase in pretax income. The effective tax rate remained flat at 31.1% in the first nine months of 2015 and 2014 primarily due an increase in pretax income offset by the impact of the retroactive reinstatement of the Work Opportunity Tax Credit through December 31, 2014. We presently expect our effective tax rate for 2015 to be between 31% and 32%.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operations and our borrowing capacity under our $750,000 revolving credit facility (the “2015 Revolving Credit Facility”). Our internally generated cash, along with cash on hand at August 1, 2014, was sufficient to finance all of our growth, dividend payments, working capital needs and other cash payment obligations in the third quarter of 2015.</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cash on hand at May 1, 2015, along with cash generated from our operating activities and the borrowing capacity under our 2015 Revolving Credit Facility will be sufficient to finance our continuing operations, expected dividend payments and our continuing expansion plans for at least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Generated From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net cash of $216,680 for the third quarter of 2015, which represented an increase from the $101,197 net cash provided during the third quarter of 2014. This increase primarily reflected lower retail inventory, lower accounts payable disbursements, higher net income and the timing of payments for estimated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8, 2015, we entered into a five-year $750,000 revolving credit facility. The 2015 Revolving Credit Facility replaced a term loan totaling $181,250 and a $218,750 revolving credit facility (“Prior Credit Facility”). At May 1, 2015, we had $400,000 of outstanding borrowings under the 2015 Revolving Credit Facility and we had $11,530 of standby letters of credit related to securing reserved claims under our workers’ compensation insurance which reduce our borrowing availability under the 2015 Revolving Credit Facility. At May 1, 2015, we had $338,470 in borrowing availability under our 2015 Revolving Credit Facility. See Note 4 to our Condensed Consolidated Financial Statements for further information on our long-term debt.</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Similar to the Prior Credit Facility, the 2015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 expenditures (purchase of property and equipment) net of proceeds from insurance recoveries were $60,055 for the first nine months of 2015 as compared to $62,337 for the same period in the prior year. Our capital expenditures consisted primarily of capital expenditures for maintenance programs, technology and operations improvements and costs of new store locations. We estimate that our capital expenditures during 2015 will be approximately $95,000. This estimate includes the acquisition of sites and construction costs of approximately six new stores that have opened or are expected to open during 2015, as well as for acquisition and construction costs for store locations to be opened in 2016, capital expenditures for maintenance programs and technology and operations improvements. We intend to fund our capital expenditures with cash flows from operations and borrowings under our 2015 Revolving Credit Facility, as necessary.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Share Repurchases and Share-Based Compensation Awards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2015 Revolving Credit Facility imposes restrictions on the amount of dividends we are permitted to pay and the amount of shares we are permitted to repurchase. Under the 2015 Revolving Credit Facility, provided there is no default existing and the total of our availability under the 2015 Revolving Credit Facility plus our cash and cash equivalents on hand is at least $100,000 (the “cash availability”), we may declare and pay cash dividends on shares of our common stock and repurchase shares of our common stock (1) in an unlimited amount if at the time of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2015, we paid dividends of $3.00 per share, or an aggregate of $71,750. During the third quarter of 2015, we declared a dividend of $1.00 per share that was paid on May 5, 2015 to shareholders of record on April 17, 2015. On June 2, 2015, we declared a regular dividend of $1.10 per share and a special dividend of $3.00 per share, both payable on August 5, 2015 to shareholders of record on July 17, 2015.</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been authorized by our Board of Directors to repurchase shares at management’s discretion up to $25,000 during 2015. We did not repurchase any shares during the first nine months of 2015.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2015, we issued 127,857 shares of our common stock resulting from the vesting of share-based compensation awards and stock option exercises. Related tax withholding payments on certain share-based compensation awards exceeded proceeds received from the exercise of stock options, which resulted in a net use of cash of $3,432.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restaurant industry, virtually all sales are either for cash or first-party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positive working capital of $75,447 at May 1, 2015 versus negative working capital of $14,789 at August 1, 2014. Working capital increased from August 1, 2014 primarily because of an increase in cash generated from operations and a decrease in our current maturities on our long-term debt due to our debt refinancing partially offset by lower retail inventories.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2014 Form 10-K for additional information regarding our operating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material commitments other than in the ordinary course of business since the end of 2014. Refer to the sub-section entitled “Material Commitments” under the section entitled “Liquidity and Capital Resources” presented in the MD&amp;A of our 2014 Form 10-K for additional information regarding our material commitments.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to the Consolidated Financial Statements contained in the 2014 Form 10-K. Judgments and uncertainties affecting the application of those policies may result in materially different amounts being reported under different conditions or using different assumptions.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are most important to the accurate portrayal of both our financial condition and operating results, and</w:t>
      </w:r>
    </w:p>
    <w:p>
      <w:pPr>
        <w:spacing w:after="0" w:line="27" w:lineRule="exact"/>
        <w:rPr>
          <w:rFonts w:ascii="Times New Roman" w:cs="Times New Roman" w:eastAsia="Times New Roman" w:hAnsi="Times New Roman"/>
          <w:sz w:val="18"/>
          <w:szCs w:val="18"/>
          <w:color w:val="auto"/>
        </w:rPr>
      </w:pPr>
    </w:p>
    <w:p>
      <w:pPr>
        <w:ind w:left="1000" w:hanging="330"/>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management’s most difficult, subjective or complex judgments, often as a result of the need to make estimates about the effect of matters that are inherently uncertain.</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Provision for Asset Dispositions</w:t>
      </w:r>
    </w:p>
    <w:p>
      <w:pPr>
        <w:spacing w:after="0" w:line="27"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Reserves</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Inventory Valuation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Provision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methodology for assessing impairments during the first nine months of 2015,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 The fully-insured portion of our health insurance program contains a retrospective feature which could increase or decrease premiums based on actual claims experience.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nine months of 2015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Inventory Valuation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made any material changes in the methodologies, estimates or assumptions related to our merchandise inventories during the first nine months of 2015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Provision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2014 Form 10-K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share-based compensation consists of nonvested stock awards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Beginning in 2014, our share-based compensation awards accrue dividends. Dividends will be forfeited for any share-based compensation awards that do not vest.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the fair value of each nonvested stock award that does not accrue dividends is equal to the market price of our common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0" w:lineRule="exact"/>
        <w:rPr>
          <w:sz w:val="20"/>
          <w:szCs w:val="20"/>
          <w:color w:val="auto"/>
        </w:rPr>
      </w:pP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a blend of implied volatility based on market-traded options on our stock and historical volatility of our stock over the period commensurate with the three-year performance period.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based on our current dividend yield as the best estimate of projected dividend yield for periods within the three-year performance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estimates or assumptions used to determine share-based compensation during the first nine months of 2015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Condensed Consolidated Financial Statements and our consolidated financial position (see Note 12 to our Condensed Consolidated Financial Statements and “Item 1. Legal Proceedings” of Part II of this Quarterly Report on Form 10-Q for further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 II, Item 7A of the 2014 Form 10-K is incorporated in this item of this Quarterly Report on Form 10-Q by this reference. There have been no material changes in our quantitative and qualitative market risks since August 1, 2014.</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May 1, 2015, our disclosure controls and procedures were effective for the purposes set forth in the definition thereof in Exchange Act Rule 13a-15(e).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(including corrective actions with regard to significant deficiencies and material weaknesses) during the quarter ended May 1, 2015 in our internal control over financial reporting (as defined in Exchange Act Rule 13a-15(f)) that have materially affected, or are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FLSA Litigation</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April 11, 2014, a putative collective action under the Fair Labor Standards Act (“FLSA”) was filed in the United States District Court for the Northern District of New York, </w:t>
      </w:r>
      <w:r>
        <w:rPr>
          <w:rFonts w:ascii="Times New Roman" w:cs="Times New Roman" w:eastAsia="Times New Roman" w:hAnsi="Times New Roman"/>
          <w:sz w:val="18"/>
          <w:szCs w:val="18"/>
          <w:i w:val="1"/>
          <w:iCs w:val="1"/>
          <w:color w:val="auto"/>
        </w:rPr>
        <w:t>Proper v. Cracker Barrel Old Country Store, Inc.</w:t>
      </w:r>
      <w:r>
        <w:rPr>
          <w:rFonts w:ascii="Times New Roman" w:cs="Times New Roman" w:eastAsia="Times New Roman" w:hAnsi="Times New Roman"/>
          <w:sz w:val="18"/>
          <w:szCs w:val="18"/>
          <w:color w:val="auto"/>
        </w:rPr>
        <w:t xml:space="preserve">, in which the named plaintiff is challenging the Company’s classification of associate managers as being exempt from the minimum wage and overtime requirements and is asserting various New York state law wage notice claims. Two other putative collective action suits alleging claims under the FLSA, </w:t>
      </w:r>
      <w:r>
        <w:rPr>
          <w:rFonts w:ascii="Times New Roman" w:cs="Times New Roman" w:eastAsia="Times New Roman" w:hAnsi="Times New Roman"/>
          <w:sz w:val="18"/>
          <w:szCs w:val="18"/>
          <w:i w:val="1"/>
          <w:iCs w:val="1"/>
          <w:color w:val="auto"/>
        </w:rPr>
        <w:t>Hill and Hernandez v. Cracker Barrel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Perzan et al. v. Cracker Barrel</w:t>
      </w:r>
      <w:r>
        <w:rPr>
          <w:rFonts w:ascii="Times New Roman" w:cs="Times New Roman" w:eastAsia="Times New Roman" w:hAnsi="Times New Roman"/>
          <w:sz w:val="18"/>
          <w:szCs w:val="18"/>
          <w:color w:val="auto"/>
        </w:rPr>
        <w:t>, were filed in the United States District Courts for the Middle District of Florida in August 2014 and for the District of Massachusetts in September 2014, respectively. These lawsuits assert essentially duplicative claims under select state laws challenging the same exempt classification of associate managers. The plaintiffs in these lawsuits seek an unspecified amount of alleged back wages, liquidated damages, statutory damages and attorneys' fees. Although we continue to believe that our associate managers are and have been properly classified as exempt employees under FLSA and have therefore aggressively challenged the plaintiffs’ claims in these lawsuits, in light of the potential cost and uncertainty involved in these lawsuits, in March 2015, we entered into a memorandum of understanding (the “MOU”) with respect to a settlement with plaintiffs’ counsel to resolve the series of lawsuits. In May 2015, the parties executed the settlement agreement based on the MOU, and the final resolution of these matters through settlement is subject to final court approval. The Company has recorded a provision of approximately $3,500 at May 1, 2015 related to these lawsuits. With the exception of this provision relating to these lawsuits recorded at May 1, 2015, no other provision for any potential liability has been made in the condensed consolidated financial statements of the Company related to these proceedings.</w:t>
      </w:r>
    </w:p>
    <w:p>
      <w:pPr>
        <w:spacing w:after="0" w:line="2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Company and its subsidiaries are party to various other legal and regulatory proceedings and claims incidental to their business in the ordinary course. In the opinion of management, based upon information currently available, the ultimate liability with respect to these other proceedings and claims will not materially affect the Company's consolidated results of operations or financial position.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“Item 1A. Risk Factors” of our 2014 Form 10-K.</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Index immediately following the signature page 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2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tc>
      </w:tr>
      <w:tr>
        <w:trPr>
          <w:trHeight w:val="39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2, 2015</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/s/Lawrence E. Hyatt</w:t>
            </w:r>
          </w:p>
        </w:tc>
      </w:tr>
      <w:tr>
        <w:trPr>
          <w:trHeight w:val="20"/>
        </w:trPr>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Lawrence E. Hyatt, Senior Vice President and</w:t>
            </w: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9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2, 2015</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 Douglas Couvillion</w:t>
            </w:r>
          </w:p>
        </w:tc>
      </w:tr>
      <w:tr>
        <w:trPr>
          <w:trHeight w:val="20"/>
        </w:trPr>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 Douglas Couvillion, Vice President, Corporate Controller and</w:t>
            </w: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98"/>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20" w:type="dxa"/>
            <w:vAlign w:val="bottom"/>
            <w:gridSpan w:val="3"/>
          </w:tcPr>
          <w:p>
            <w:pPr>
              <w:ind w:left="1640"/>
              <w:spacing w:after="0"/>
              <w:rPr>
                <w:sz w:val="20"/>
                <w:szCs w:val="20"/>
                <w:color w:val="auto"/>
              </w:rPr>
            </w:pPr>
            <w:r>
              <w:rPr>
                <w:rFonts w:ascii="Times New Roman" w:cs="Times New Roman" w:eastAsia="Times New Roman" w:hAnsi="Times New Roman"/>
                <w:sz w:val="14"/>
                <w:szCs w:val="14"/>
                <w:color w:val="auto"/>
              </w:rPr>
              <w:t>31</w:t>
            </w:r>
          </w:p>
        </w:tc>
      </w:tr>
      <w:tr>
        <w:trPr>
          <w:trHeight w:val="44"/>
        </w:trPr>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Rights Agreement, dated as of April 9, 2015, between Cracker Barrel Old Country Store, Inc. and American Stock Transfer &amp;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 LLC, which includes the Articles of Amendment to the Amended and Restated Charter as Exhibit A, the form of Right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 Exhibit B, and the Summary of Rights to Purchase Preferred Shares as Exhibit C (incorporated by reference to Exhibit 4.1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Company’s Report on Form 8-K filed on April 9,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Denotes management contract or compensatory plan, contract or arrangement.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2" w:name="page33"/>
    <w:bookmarkEnd w:id="32"/>
    <w:p>
      <w:pPr>
        <w:spacing w:after="0"/>
        <w:tabs>
          <w:tab w:leader="none" w:pos="456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r>
        <w:rPr>
          <w:sz w:val="20"/>
          <w:szCs w:val="20"/>
          <w:color w:val="auto"/>
        </w:rPr>
        <w:tab/>
      </w:r>
      <w:r>
        <w:rPr>
          <w:rFonts w:ascii="Times New Roman" w:cs="Times New Roman" w:eastAsia="Times New Roman" w:hAnsi="Times New Roman"/>
          <w:sz w:val="17"/>
          <w:szCs w:val="17"/>
          <w:u w:val="single" w:color="auto"/>
          <w:color w:val="auto"/>
        </w:rPr>
        <w:t>CERTIFICATION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500" w:hanging="425"/>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500" w:right="20" w:hanging="425"/>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500" w:hanging="425"/>
        <w:spacing w:after="0" w:line="261"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412"/>
        <w:spacing w:after="0" w:line="266"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540" w:hanging="479"/>
        <w:spacing w:after="0" w:line="26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960" w:hanging="412"/>
        <w:spacing w:after="0" w:line="282"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right="20" w:hanging="412"/>
        <w:spacing w:after="0" w:line="282"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June 2,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/s/Sandra B. Cochran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3" w:name="page34"/>
    <w:bookmarkEnd w:id="33"/>
    <w:p>
      <w:pPr>
        <w:spacing w:after="0"/>
        <w:tabs>
          <w:tab w:leader="none" w:pos="456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r>
        <w:rPr>
          <w:sz w:val="20"/>
          <w:szCs w:val="20"/>
          <w:color w:val="auto"/>
        </w:rPr>
        <w:tab/>
      </w:r>
      <w:r>
        <w:rPr>
          <w:rFonts w:ascii="Times New Roman" w:cs="Times New Roman" w:eastAsia="Times New Roman" w:hAnsi="Times New Roman"/>
          <w:sz w:val="17"/>
          <w:szCs w:val="17"/>
          <w:u w:val="single" w:color="auto"/>
          <w:color w:val="auto"/>
        </w:rPr>
        <w:t>CERTIFICATION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Lawrence E. Hyatt, certify that:</w:t>
      </w:r>
    </w:p>
    <w:p>
      <w:pPr>
        <w:spacing w:after="0" w:line="252" w:lineRule="exact"/>
        <w:rPr>
          <w:sz w:val="20"/>
          <w:szCs w:val="20"/>
          <w:color w:val="auto"/>
        </w:rPr>
      </w:pPr>
    </w:p>
    <w:p>
      <w:pPr>
        <w:ind w:left="1400" w:hanging="325"/>
        <w:spacing w:after="0"/>
        <w:tabs>
          <w:tab w:leader="none" w:pos="1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400" w:hanging="325"/>
        <w:spacing w:after="0" w:line="266" w:lineRule="auto"/>
        <w:tabs>
          <w:tab w:leader="none" w:pos="1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400" w:right="20" w:hanging="325"/>
        <w:spacing w:after="0" w:line="282" w:lineRule="auto"/>
        <w:tabs>
          <w:tab w:leader="none" w:pos="1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400" w:hanging="325"/>
        <w:spacing w:after="0" w:line="261" w:lineRule="auto"/>
        <w:tabs>
          <w:tab w:leader="none" w:pos="1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412"/>
        <w:spacing w:after="0" w:line="266" w:lineRule="auto"/>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540" w:hanging="479"/>
        <w:spacing w:after="0" w:line="266"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960" w:hanging="412"/>
        <w:spacing w:after="0" w:line="282" w:lineRule="auto"/>
        <w:tabs>
          <w:tab w:leader="none" w:pos="1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right="20" w:hanging="412"/>
        <w:spacing w:after="0" w:line="282" w:lineRule="auto"/>
        <w:tabs>
          <w:tab w:leader="none" w:pos="1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June 2,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/s/Lawrence E. Hyatt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Hyatt, 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May 1, 2015,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June 2, 2015</w:t>
            </w:r>
          </w:p>
        </w:tc>
        <w:tc>
          <w:tcPr>
            <w:tcW w:w="8440" w:type="dxa"/>
            <w:vAlign w:val="bottom"/>
            <w:gridSpan w:val="4"/>
          </w:tcPr>
          <w:p>
            <w:pPr>
              <w:ind w:left="1600"/>
              <w:spacing w:after="0"/>
              <w:rPr>
                <w:sz w:val="20"/>
                <w:szCs w:val="20"/>
                <w:color w:val="auto"/>
              </w:rPr>
            </w:pPr>
            <w:r>
              <w:rPr>
                <w:rFonts w:ascii="Times New Roman" w:cs="Times New Roman" w:eastAsia="Times New Roman" w:hAnsi="Times New Roman"/>
                <w:sz w:val="18"/>
                <w:szCs w:val="18"/>
                <w:color w:val="auto"/>
              </w:rPr>
              <w:t>By: /s/Sandra B. Cochran</w:t>
            </w:r>
          </w:p>
        </w:tc>
      </w:tr>
      <w:tr>
        <w:trPr>
          <w:trHeight w:val="21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4960" w:type="dxa"/>
            <w:vAlign w:val="bottom"/>
            <w:gridSpan w:val="2"/>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920" w:type="dxa"/>
            <w:vAlign w:val="bottom"/>
            <w:tcBorders>
              <w:top w:val="single" w:sz="8" w:color="auto"/>
            </w:tcBorders>
            <w:shd w:val="clear" w:color="auto" w:fill="808080"/>
          </w:tcPr>
          <w:p>
            <w:pPr>
              <w:spacing w:after="0" w:line="20" w:lineRule="exact"/>
              <w:rPr>
                <w:sz w:val="1"/>
                <w:szCs w:val="1"/>
                <w:color w:val="auto"/>
              </w:rPr>
            </w:pPr>
          </w:p>
        </w:tc>
        <w:tc>
          <w:tcPr>
            <w:tcW w:w="1620" w:type="dxa"/>
            <w:vAlign w:val="bottom"/>
            <w:tcBorders>
              <w:top w:val="single" w:sz="8" w:color="auto"/>
            </w:tcBorders>
            <w:shd w:val="clear" w:color="auto" w:fill="808080"/>
          </w:tcPr>
          <w:p>
            <w:pPr>
              <w:spacing w:after="0" w:line="20" w:lineRule="exact"/>
              <w:rPr>
                <w:sz w:val="1"/>
                <w:szCs w:val="1"/>
                <w:color w:val="auto"/>
              </w:rPr>
            </w:pPr>
          </w:p>
        </w:tc>
        <w:tc>
          <w:tcPr>
            <w:tcW w:w="1940" w:type="dxa"/>
            <w:vAlign w:val="bottom"/>
            <w:tcBorders>
              <w:top w:val="single" w:sz="8" w:color="auto"/>
            </w:tcBorders>
            <w:shd w:val="clear" w:color="auto" w:fill="808080"/>
          </w:tcPr>
          <w:p>
            <w:pPr>
              <w:spacing w:after="0" w:line="20" w:lineRule="exact"/>
              <w:rPr>
                <w:sz w:val="1"/>
                <w:szCs w:val="1"/>
                <w:color w:val="auto"/>
              </w:rPr>
            </w:pPr>
          </w:p>
        </w:tc>
        <w:tc>
          <w:tcPr>
            <w:tcW w:w="1540" w:type="dxa"/>
            <w:vAlign w:val="bottom"/>
            <w:tcBorders>
              <w:top w:val="single" w:sz="8" w:color="auto"/>
            </w:tcBorders>
            <w:shd w:val="clear" w:color="auto" w:fill="808080"/>
          </w:tcPr>
          <w:p>
            <w:pPr>
              <w:spacing w:after="0" w:line="20" w:lineRule="exact"/>
              <w:rPr>
                <w:sz w:val="1"/>
                <w:szCs w:val="1"/>
                <w:color w:val="auto"/>
              </w:rPr>
            </w:pPr>
          </w:p>
        </w:tc>
        <w:tc>
          <w:tcPr>
            <w:tcW w:w="49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May 1, 2015,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203" w:lineRule="exact"/>
        <w:rPr>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June 2, 2015</w:t>
            </w:r>
          </w:p>
        </w:tc>
        <w:tc>
          <w:tcPr>
            <w:tcW w:w="8420" w:type="dxa"/>
            <w:vAlign w:val="bottom"/>
            <w:gridSpan w:val="4"/>
          </w:tcPr>
          <w:p>
            <w:pPr>
              <w:ind w:left="1640"/>
              <w:spacing w:after="0"/>
              <w:rPr>
                <w:sz w:val="20"/>
                <w:szCs w:val="20"/>
                <w:color w:val="auto"/>
              </w:rPr>
            </w:pPr>
            <w:r>
              <w:rPr>
                <w:rFonts w:ascii="Times New Roman" w:cs="Times New Roman" w:eastAsia="Times New Roman" w:hAnsi="Times New Roman"/>
                <w:sz w:val="18"/>
                <w:szCs w:val="18"/>
                <w:color w:val="auto"/>
              </w:rPr>
              <w:t>By: /s/Lawrence E. Hyatt</w:t>
            </w:r>
          </w:p>
        </w:tc>
      </w:tr>
      <w:tr>
        <w:trPr>
          <w:trHeight w:val="21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Lawrence E. Hyatt,</w:t>
            </w:r>
          </w:p>
        </w:tc>
        <w:tc>
          <w:tcPr>
            <w:tcW w:w="4980" w:type="dxa"/>
            <w:vAlign w:val="bottom"/>
            <w:gridSpan w:val="2"/>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920" w:type="dxa"/>
            <w:vAlign w:val="bottom"/>
            <w:tcBorders>
              <w:top w:val="single" w:sz="8" w:color="auto"/>
            </w:tcBorders>
            <w:shd w:val="clear" w:color="auto" w:fill="808080"/>
          </w:tcPr>
          <w:p>
            <w:pPr>
              <w:spacing w:after="0" w:line="20" w:lineRule="exact"/>
              <w:rPr>
                <w:sz w:val="1"/>
                <w:szCs w:val="1"/>
                <w:color w:val="auto"/>
              </w:rPr>
            </w:pPr>
          </w:p>
        </w:tc>
        <w:tc>
          <w:tcPr>
            <w:tcW w:w="1640" w:type="dxa"/>
            <w:vAlign w:val="bottom"/>
            <w:tcBorders>
              <w:top w:val="single" w:sz="8" w:color="auto"/>
            </w:tcBorders>
            <w:shd w:val="clear" w:color="auto" w:fill="808080"/>
          </w:tcPr>
          <w:p>
            <w:pPr>
              <w:spacing w:after="0" w:line="20" w:lineRule="exact"/>
              <w:rPr>
                <w:sz w:val="1"/>
                <w:szCs w:val="1"/>
                <w:color w:val="auto"/>
              </w:rPr>
            </w:pPr>
          </w:p>
        </w:tc>
        <w:tc>
          <w:tcPr>
            <w:tcW w:w="1920" w:type="dxa"/>
            <w:vAlign w:val="bottom"/>
            <w:tcBorders>
              <w:top w:val="single" w:sz="8" w:color="auto"/>
            </w:tcBorders>
            <w:shd w:val="clear" w:color="auto" w:fill="808080"/>
          </w:tcPr>
          <w:p>
            <w:pPr>
              <w:spacing w:after="0" w:line="20" w:lineRule="exact"/>
              <w:rPr>
                <w:sz w:val="1"/>
                <w:szCs w:val="1"/>
                <w:color w:val="auto"/>
              </w:rPr>
            </w:pPr>
          </w:p>
        </w:tc>
        <w:tc>
          <w:tcPr>
            <w:tcW w:w="1520" w:type="dxa"/>
            <w:vAlign w:val="bottom"/>
            <w:tcBorders>
              <w:top w:val="single" w:sz="8" w:color="auto"/>
            </w:tcBorders>
            <w:shd w:val="clear" w:color="auto" w:fill="808080"/>
          </w:tcPr>
          <w:p>
            <w:pPr>
              <w:spacing w:after="0" w:line="20" w:lineRule="exact"/>
              <w:rPr>
                <w:sz w:val="1"/>
                <w:szCs w:val="1"/>
                <w:color w:val="auto"/>
              </w:rPr>
            </w:pPr>
          </w:p>
        </w:tc>
        <w:tc>
          <w:tcPr>
            <w:tcW w:w="496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1."/>
      <w:numFmt w:val="decimal"/>
      <w:start w:val="12"/>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1">
    <w:nsid w:val="67638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
    <w:nsid w:val="75A2A8D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2019-12-29T15:55:43Z</dcterms:created>
  <dcterms:modified xsi:type="dcterms:W3CDTF">2019-12-29T15:55:43Z</dcterms:modified>
</cp:coreProperties>
</file>