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April 27, 2018</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80" w:right="4060" w:hanging="324"/>
        <w:spacing w:after="0" w:line="277"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 to 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238125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spacing w:after="0"/>
              <w:rPr>
                <w:sz w:val="24"/>
                <w:szCs w:val="24"/>
                <w:color w:val="auto"/>
              </w:rPr>
            </w:pP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1" w:right="239" w:bottom="1440" w:gutter="0" w:footer="0" w:header="0"/>
        </w:sectPr>
      </w:pPr>
    </w:p>
    <w:p>
      <w:pPr>
        <w:spacing w:after="0" w:line="176" w:lineRule="exact"/>
        <w:rPr>
          <w:sz w:val="24"/>
          <w:szCs w:val="24"/>
          <w:color w:val="auto"/>
        </w:rPr>
      </w:pPr>
    </w:p>
    <w:p>
      <w:pPr>
        <w:ind w:left="58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98" w:lineRule="exact"/>
        <w:rPr>
          <w:sz w:val="24"/>
          <w:szCs w:val="24"/>
          <w:color w:val="auto"/>
        </w:rPr>
      </w:pPr>
    </w:p>
    <w:p>
      <w:pPr>
        <w:sectPr>
          <w:pgSz w:w="11900" w:h="16838" w:orient="portrait"/>
          <w:cols w:equalWidth="0" w:num="6">
            <w:col w:w="2560" w:space="80"/>
            <w:col w:w="640" w:space="720"/>
            <w:col w:w="1960" w:space="100"/>
            <w:col w:w="640" w:space="720"/>
            <w:col w:w="1520" w:space="80"/>
            <w:col w:w="2400"/>
          </w:cols>
          <w:pgMar w:left="240" w:top="541" w:right="239" w:bottom="1440" w:gutter="0" w:footer="0" w:header="0"/>
          <w:type w:val="continuous"/>
        </w:sectPr>
      </w:pPr>
    </w:p>
    <w:p>
      <w:pPr>
        <w:spacing w:after="0" w:line="3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24,003,611 Shares of Common Stock</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Outstanding as of May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2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40" w:type="dxa"/>
            <w:vAlign w:val="bottom"/>
            <w:gridSpan w:val="7"/>
          </w:tcPr>
          <w:p>
            <w:pPr>
              <w:jc w:val="center"/>
              <w:ind w:right="3960"/>
              <w:spacing w:after="0"/>
              <w:rPr>
                <w:sz w:val="20"/>
                <w:szCs w:val="20"/>
                <w:color w:val="auto"/>
              </w:rPr>
            </w:pPr>
            <w:r>
              <w:rPr>
                <w:rFonts w:ascii="Arial" w:cs="Arial" w:eastAsia="Arial" w:hAnsi="Arial"/>
                <w:sz w:val="18"/>
                <w:szCs w:val="18"/>
                <w:b w:val="1"/>
                <w:bCs w:val="1"/>
                <w:color w:val="auto"/>
                <w:w w:val="99"/>
              </w:rPr>
              <w:t>FORM 10-Q</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2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3"/>
              </w:rPr>
              <w:t>For the Quarter Ended April 27, 2018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20" w:type="dxa"/>
            <w:vAlign w:val="bottom"/>
            <w:gridSpan w:val="6"/>
          </w:tcPr>
          <w:p>
            <w:pPr>
              <w:jc w:val="center"/>
              <w:ind w:right="4680"/>
              <w:spacing w:after="0"/>
              <w:rPr>
                <w:sz w:val="20"/>
                <w:szCs w:val="20"/>
                <w:color w:val="auto"/>
              </w:rPr>
            </w:pPr>
            <w:r>
              <w:rPr>
                <w:rFonts w:ascii="Arial" w:cs="Arial" w:eastAsia="Arial" w:hAnsi="Arial"/>
                <w:sz w:val="18"/>
                <w:szCs w:val="18"/>
                <w:b w:val="1"/>
                <w:bCs w:val="1"/>
                <w:color w:val="auto"/>
              </w:rPr>
              <w:t>INDEX</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6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580" w:type="dxa"/>
            <w:vAlign w:val="bottom"/>
            <w:gridSpan w:val="3"/>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80" w:type="dxa"/>
            <w:vAlign w:val="bottom"/>
            <w:gridSpan w:val="15"/>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April 27, 2018 and July 28, 2017</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Income for the Quarters and Nine Months Ended April 27, 2018 and April 28, 2017</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4"/>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 Condensed Consolidated Statements of Comprehensive Income for the Quarters and Nine Months Ended April 27, 2018 and April 28, 2017</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Nine Months Ended April 27, 2018 and April 28, 2017</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2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10020" w:type="dxa"/>
            <w:vAlign w:val="bottom"/>
            <w:gridSpan w:val="13"/>
            <w:shd w:val="clear" w:color="auto" w:fill="CCEEFF"/>
          </w:tcPr>
          <w:p>
            <w:pPr>
              <w:ind w:left="4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10020" w:type="dxa"/>
            <w:vAlign w:val="bottom"/>
            <w:gridSpan w:val="13"/>
            <w:shd w:val="clear" w:color="auto" w:fill="CCEEFF"/>
          </w:tcPr>
          <w:p>
            <w:pPr>
              <w:ind w:left="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100" w:type="dxa"/>
            <w:vAlign w:val="bottom"/>
            <w:tcBorders>
              <w:top w:val="single" w:sz="8" w:color="CCEEFF"/>
            </w:tcBorders>
            <w:gridSpan w:val="7"/>
          </w:tcPr>
          <w:p>
            <w:pPr>
              <w:jc w:val="center"/>
              <w:ind w:left="3928"/>
              <w:spacing w:after="0"/>
              <w:rPr>
                <w:sz w:val="20"/>
                <w:szCs w:val="20"/>
                <w:color w:val="auto"/>
              </w:rPr>
            </w:pPr>
            <w:r>
              <w:rPr>
                <w:rFonts w:ascii="Arial" w:cs="Arial" w:eastAsia="Arial" w:hAnsi="Arial"/>
                <w:sz w:val="14"/>
                <w:szCs w:val="14"/>
                <w:color w:val="auto"/>
                <w:w w:val="76"/>
              </w:rPr>
              <w:t>2</w:t>
            </w:r>
          </w:p>
        </w:tc>
        <w:tc>
          <w:tcPr>
            <w:tcW w:w="106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left="2410"/>
              <w:spacing w:after="0"/>
              <w:rPr>
                <w:sz w:val="20"/>
                <w:szCs w:val="20"/>
                <w:color w:val="auto"/>
              </w:rPr>
            </w:pPr>
            <w:r>
              <w:rPr>
                <w:rFonts w:ascii="Arial" w:cs="Arial" w:eastAsia="Arial" w:hAnsi="Arial"/>
                <w:sz w:val="18"/>
                <w:szCs w:val="18"/>
                <w:color w:val="auto"/>
                <w:w w:val="87"/>
              </w:rPr>
              <w:t>(In thousands, except share data)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left="23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April 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July 28,</w:t>
            </w:r>
          </w:p>
        </w:tc>
        <w:tc>
          <w:tcPr>
            <w:tcW w:w="0" w:type="dxa"/>
            <w:vAlign w:val="bottom"/>
          </w:tcPr>
          <w:p>
            <w:pPr>
              <w:spacing w:after="0"/>
              <w:rPr>
                <w:sz w:val="1"/>
                <w:szCs w:val="1"/>
                <w:color w:val="auto"/>
              </w:rPr>
            </w:pPr>
          </w:p>
        </w:tc>
      </w:tr>
      <w:tr>
        <w:trPr>
          <w:trHeight w:val="202"/>
        </w:trPr>
        <w:tc>
          <w:tcPr>
            <w:tcW w:w="8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2,173,687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2,093,448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1,046,847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1,098,097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1,568,331</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1,521,942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104,702</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24,003,611 shares issued and outstanding at April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2"/>
          </w:tcPr>
          <w:p>
            <w:pPr>
              <w:ind w:left="120"/>
              <w:spacing w:after="0"/>
              <w:rPr>
                <w:sz w:val="20"/>
                <w:szCs w:val="20"/>
                <w:color w:val="auto"/>
              </w:rPr>
            </w:pPr>
            <w:r>
              <w:rPr>
                <w:rFonts w:ascii="Arial" w:cs="Arial" w:eastAsia="Arial" w:hAnsi="Arial"/>
                <w:sz w:val="18"/>
                <w:szCs w:val="18"/>
                <w:color w:val="auto"/>
              </w:rPr>
              <w:t>27, 2018, and 24,055,682 shares issued and outstanding at July 28, 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544,507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28, 2017, as filed with the Securities and Exchange Commission in the Company’s Annual Report on Form 10-K for the fiscal year ended July 28,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27,</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721,413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700,410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2,219,552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205,882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257,360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250,819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769,154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319,135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210,821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199,929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48,747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46,924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186,266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148,006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24,003,611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24,042,573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24,013,435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24,065,783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24,121,203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24,075,834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24,111,753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48,747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186,266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income (loss) before income tax expense (benefit):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0"/>
              </w:rPr>
              <w:t>(Unaudited and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7"/>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rPr>
              <w:t>April 27,</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(13,693)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(20,260)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220,975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(101,985)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(101,292)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(3,360)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(88,258)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(85,069)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(106,390)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174,294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183,693</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net of amounts capitalized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(4,099)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April 27, 2018 and July 28, 2017 and the related condensed consolidated statements of income, comprehensive income and cash flows for the quarters and/or the nine-month periods ended April 27, 2018 and April 28, 2017, respectively, have been prepared by the Company in accordance with accounting principles generally accepted in the United States of America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28, 2017 (the “2017 Form 10-K”). The accounting policies used in preparing these condensed consolidated financial statements are the same as described in the 2017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2015, the Financial Accounting Standards Board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fiscal years on a prospective basis. The adoption of this accounting guidance in the first quarter of 2018 did not have a significant impact on the Company’s consolidated financial position or results of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fiscal years. This accounting guidance may be applied either prospectively to all deferred tax liabilities and assets or retrospectively to all periods presented. Other than the revised balance sheet presentation of deferred tax liabilities and assets, the adoption of this accounting guidance on a prospective basis in the first quarter of 2018 did not have a significant impact on the Company’s consolidated financial position or results of operations. Prior periods were not retrospectively adjusted for the adoption of this accounting guidance.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fiscal years. This guidance may be applied either on a prospective basis, retrospective basis or a modified retrospective basis depending on the specific accounting topic covered in the accounting guidance. The Company adopted this accounting guidance in the first quarter of 2018. The impact of recognizing excess tax benefits of $759 as a reduction to the provision for income taxes on a prospective basis resulted in a benefit of $0.03 per diluted share in the first quarter of 2018. The Company elected to apply the presentation of excess tax benefits on the statement of cash flows on a prospective basis; prior periods were not retrospectively adjusted. The Company also elected to continue estimating forfeitures of share-based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fiscal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fiscal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Modification of Share-Based Payment Awards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fiscal years on a prospective basis. Early adoption is permitted. The Company is currently evaluating the impact of adopting this accounting guidance in the first quarter of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Hedging Activities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is currently evaluating the impact of adopting this accounting guidance in the first quarter of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Reclassification of Certain Tax Effects from Accumulated Other Comprehensive Income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U.S. government enacted P.L. 115-97, the Tax Cuts and Jobs Act (the “Tax Act”). In February 2018, the FASB issued accounting guidance which allows a reclassification from accumulated other comprehensive income to retained earnings for stranded tax effects resulted from the Tax Act. This accounting guidance is effective for fiscal years beginning after December 15, 2018, and interim periods within those fiscal years. If elected, this accounting guidance should be applied either in the period of adoption or retrospectively to each period in which the change in the U.S. federal corporate rate in the Tax Act is recognized. Early application is permitted. The Company is currently evaluating the impact of adopting this accounting guidance in the first quarter of 2020.</w:t>
      </w:r>
    </w:p>
    <w:p>
      <w:pPr>
        <w:spacing w:after="0" w:line="21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April 27, 2018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5,968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125,230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131,198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28, 2017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113,720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113,752</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6,880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2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April 27, 2018 and July 28, 2017.</w:t>
      </w:r>
    </w:p>
    <w:p>
      <w:pPr>
        <w:spacing w:after="0" w:line="20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April 27,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July 28, 2017</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Restaurant</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20,252</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16,669</w:t>
            </w:r>
          </w:p>
        </w:tc>
      </w:tr>
      <w:tr>
        <w:trPr>
          <w:trHeight w:val="27"/>
        </w:trPr>
        <w:tc>
          <w:tcPr>
            <w:tcW w:w="20" w:type="dxa"/>
            <w:vAlign w:val="bottom"/>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156,367</w:t>
            </w:r>
          </w:p>
        </w:tc>
      </w:tr>
      <w:tr>
        <w:trPr>
          <w:trHeight w:val="21"/>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April 27, 2018 and July 28, 2017, the Company had $400,000 of outstanding borrowings under the Revolving Credit Facility. At April 27, 2018, the Company had $9,455 of standby letters of credit, which reduce the Company’s borrowing availability under the Revolving Credit Facility (see Note 13 for more information on the Company’s standby letters of credit). At April 27, 2018, the Company had $340,545 in borrowing availability under the Revolving Credit Facility.</w:t>
      </w:r>
    </w:p>
    <w:p>
      <w:pPr>
        <w:spacing w:after="0" w:line="18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April 27, 2018, the Company’s outstanding borrowings were swapped at a weighted average interest rate of 3.21% (see Note 5 for information on the Company’s interest rate swaps).</w:t>
      </w:r>
    </w:p>
    <w:p>
      <w:pPr>
        <w:spacing w:after="0" w:line="193"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April 27, 2018, the Company was in compliance with all financial covenants.</w:t>
      </w:r>
    </w:p>
    <w:p>
      <w:pPr>
        <w:spacing w:after="0" w:line="174" w:lineRule="exact"/>
        <w:rPr>
          <w:sz w:val="20"/>
          <w:szCs w:val="20"/>
          <w:color w:val="auto"/>
        </w:rPr>
      </w:pPr>
    </w:p>
    <w:p>
      <w:pPr>
        <w:jc w:val="both"/>
        <w:ind w:right="60"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April 27, 2018 was 1.00%. All of the Company’s interest rate swaps are accounted for as cash flow hedges.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April 27, 2018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5"/>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0" w:type="dxa"/>
            <w:vAlign w:val="bottom"/>
          </w:tcPr>
          <w:p>
            <w:pPr>
              <w:spacing w:after="0"/>
              <w:rPr>
                <w:sz w:val="20"/>
                <w:szCs w:val="20"/>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Trade Date</w:t>
            </w:r>
          </w:p>
        </w:tc>
        <w:tc>
          <w:tcPr>
            <w:tcW w:w="32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Effective Date</w:t>
            </w:r>
          </w:p>
        </w:tc>
        <w:tc>
          <w:tcPr>
            <w:tcW w:w="14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2"/>
              </w:rPr>
              <w:t>(in Years)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April 22, 2013</w:t>
            </w:r>
          </w:p>
        </w:tc>
        <w:tc>
          <w:tcPr>
            <w:tcW w:w="3200" w:type="dxa"/>
            <w:vAlign w:val="bottom"/>
          </w:tcPr>
          <w:p>
            <w:pPr>
              <w:ind w:left="540"/>
              <w:spacing w:after="0"/>
              <w:rPr>
                <w:sz w:val="20"/>
                <w:szCs w:val="20"/>
                <w:color w:val="auto"/>
              </w:rPr>
            </w:pPr>
            <w:r>
              <w:rPr>
                <w:rFonts w:ascii="Arial" w:cs="Arial" w:eastAsia="Arial" w:hAnsi="Arial"/>
                <w:sz w:val="18"/>
                <w:szCs w:val="18"/>
                <w:color w:val="auto"/>
              </w:rPr>
              <w:t>May 3,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June 18, 2014</w:t>
            </w:r>
          </w:p>
        </w:tc>
        <w:tc>
          <w:tcPr>
            <w:tcW w:w="3200" w:type="dxa"/>
            <w:vAlign w:val="bottom"/>
          </w:tcPr>
          <w:p>
            <w:pPr>
              <w:ind w:left="540"/>
              <w:spacing w:after="0"/>
              <w:rPr>
                <w:sz w:val="20"/>
                <w:szCs w:val="20"/>
                <w:color w:val="auto"/>
              </w:rPr>
            </w:pPr>
            <w:r>
              <w:rPr>
                <w:rFonts w:ascii="Arial" w:cs="Arial" w:eastAsia="Arial" w:hAnsi="Arial"/>
                <w:sz w:val="18"/>
                <w:szCs w:val="18"/>
                <w:color w:val="auto"/>
              </w:rPr>
              <w:t>May 3,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2015</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July 1, 2014</w:t>
            </w:r>
          </w:p>
        </w:tc>
        <w:tc>
          <w:tcPr>
            <w:tcW w:w="3200" w:type="dxa"/>
            <w:vAlign w:val="bottom"/>
          </w:tcPr>
          <w:p>
            <w:pPr>
              <w:ind w:left="540"/>
              <w:spacing w:after="0"/>
              <w:rPr>
                <w:sz w:val="20"/>
                <w:szCs w:val="20"/>
                <w:color w:val="auto"/>
              </w:rPr>
            </w:pPr>
            <w:r>
              <w:rPr>
                <w:rFonts w:ascii="Arial" w:cs="Arial" w:eastAsia="Arial" w:hAnsi="Arial"/>
                <w:sz w:val="18"/>
                <w:szCs w:val="18"/>
                <w:color w:val="auto"/>
              </w:rPr>
              <w:t>May 5, 2015</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90,000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20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4, 2021</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January 30, 2015</w:t>
            </w:r>
          </w:p>
        </w:tc>
        <w:tc>
          <w:tcPr>
            <w:tcW w:w="320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40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4, 2021</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for the interest rate swap entered into on June 18, 2014 increases to $160,000 in May 2018. The notional amounts for the interest rate swaps entered into on June 24, 2014 and July 1, 2014 each increase to $120,000 in May 2018.</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April 27, 2018 and July 28,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524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April 27, 2018</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5,963</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5,968</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2860" w:type="dxa"/>
            <w:vAlign w:val="bottom"/>
            <w:gridSpan w:val="2"/>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current liabilities</w:t>
            </w:r>
          </w:p>
        </w:tc>
        <w:tc>
          <w:tcPr>
            <w:tcW w:w="11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Other long-term obligations</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interest rate swap assets and liabilities are recorded at gross at both April 27, 2018 and July 28, 2017 since there were no offsetting assets and liabilities under the Company’s master netting agreements.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assets and liabilities incorporates the Company’s non-performance risk (see Note 2). The adjustment related to the Company’s non-performance risk at April 27, 2018 and July 28, 2017 resulted in reductions of $198 and $103, respectively, in the fair value of the interest rate swap liabilities. The offset to the interest rate swap asset and liabilities is recorded in accumulated other comprehensive income (loss) (“AOCIL”), net of the deferred tax asset, and will be reclassified into earnings over the term of the underlying debt. As of April 27, 2018, the estimated pre-tax portion of AOCIL that is expected to be reclassified into earnings over the next twelve months is $153. Cash flows related to the interest rate swaps are included in interest expense and in operating activities.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AOCIL for the nine months ended April 27, 2018 and the year ended July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720" w:type="dxa"/>
            <w:vAlign w:val="bottom"/>
            <w:gridSpan w:val="7"/>
          </w:tcPr>
          <w:p>
            <w:pPr>
              <w:ind w:left="3340"/>
              <w:spacing w:after="0"/>
              <w:rPr>
                <w:sz w:val="20"/>
                <w:szCs w:val="20"/>
                <w:color w:val="auto"/>
              </w:rPr>
            </w:pPr>
            <w:r>
              <w:rPr>
                <w:rFonts w:ascii="Arial" w:cs="Arial" w:eastAsia="Arial" w:hAnsi="Arial"/>
                <w:sz w:val="18"/>
                <w:szCs w:val="18"/>
                <w:color w:val="auto"/>
                <w:w w:val="96"/>
              </w:rPr>
              <w:t>Amount of Income Recognized in AOCIL on</w:t>
            </w: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360"/>
              <w:spacing w:after="0"/>
              <w:rPr>
                <w:sz w:val="20"/>
                <w:szCs w:val="20"/>
                <w:color w:val="auto"/>
              </w:rPr>
            </w:pPr>
            <w:r>
              <w:rPr>
                <w:rFonts w:ascii="Arial" w:cs="Arial" w:eastAsia="Arial" w:hAnsi="Arial"/>
                <w:sz w:val="18"/>
                <w:szCs w:val="18"/>
                <w:color w:val="auto"/>
              </w:rPr>
              <w:t>Derivatives (Effective Portion)</w:t>
            </w:r>
          </w:p>
        </w:tc>
      </w:tr>
      <w:tr>
        <w:trPr>
          <w:trHeight w:val="202"/>
        </w:trPr>
        <w:tc>
          <w:tcPr>
            <w:tcW w:w="47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80" w:type="dxa"/>
            <w:vAlign w:val="bottom"/>
            <w:tcBorders>
              <w:top w:val="single" w:sz="8" w:color="auto"/>
            </w:tcBorders>
            <w:gridSpan w:val="3"/>
          </w:tcPr>
          <w:p>
            <w:pPr>
              <w:ind w:left="20"/>
              <w:spacing w:after="0" w:line="201" w:lineRule="exact"/>
              <w:rPr>
                <w:sz w:val="20"/>
                <w:szCs w:val="20"/>
                <w:color w:val="auto"/>
              </w:rPr>
            </w:pPr>
            <w:r>
              <w:rPr>
                <w:rFonts w:ascii="Arial" w:cs="Arial" w:eastAsia="Arial" w:hAnsi="Arial"/>
                <w:sz w:val="18"/>
                <w:szCs w:val="18"/>
                <w:color w:val="auto"/>
              </w:rPr>
              <w:t>Nine Months Ended</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4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April 27, 2018</w:t>
            </w: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July 28, 2017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flow hedges:</w:t>
            </w:r>
          </w:p>
        </w:tc>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15,402</w:t>
            </w: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income for the quarters and nine-month periods ended April 27, 2018 and April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AOCIL into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80" w:type="dxa"/>
            <w:vAlign w:val="bottom"/>
            <w:gridSpan w:val="13"/>
          </w:tcPr>
          <w:p>
            <w:pPr>
              <w:jc w:val="center"/>
              <w:ind w:right="280"/>
              <w:spacing w:after="0"/>
              <w:rPr>
                <w:sz w:val="20"/>
                <w:szCs w:val="20"/>
                <w:color w:val="auto"/>
              </w:rPr>
            </w:pPr>
            <w:r>
              <w:rPr>
                <w:rFonts w:ascii="Arial" w:cs="Arial" w:eastAsia="Arial" w:hAnsi="Arial"/>
                <w:sz w:val="18"/>
                <w:szCs w:val="18"/>
                <w:color w:val="auto"/>
                <w:w w:val="93"/>
              </w:rPr>
              <w:t>Amount of Loss Reclassified from AOCIL into Income</w:t>
            </w:r>
          </w:p>
        </w:tc>
      </w:tr>
      <w:tr>
        <w:trPr>
          <w:trHeight w:val="237"/>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3"/>
              </w:rPr>
              <w:t>(Effective Portion)</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19"/>
                <w:szCs w:val="19"/>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r>
      <w:tr>
        <w:trPr>
          <w:trHeight w:val="202"/>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9"/>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6"/>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9"/>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6"/>
              </w:rPr>
              <w:t>April 28,</w:t>
            </w:r>
          </w:p>
        </w:tc>
        <w:tc>
          <w:tcPr>
            <w:tcW w:w="10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nine-month periods ended April 27, 2018 and April 28, 2017.</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April 27, 2018, the Company issued 47,929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$3,360.</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April 27, 2018, the Company repurchased 100,000 shares of its common stock in the open market at an aggregate cost of $14,772.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April 27, 2018, total share-based compensation expense was $6,063.</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April 27, 2018, the Company paid regular dividends of $3.60 per share of its common stock and declared a regular dividend of $1.20 per share of its common stock that was paid on May 7, 2018 to shareholders of record on April 13, 2018. On May 22, 2018, the Company declared a regular dividend of $1.25 per share of its common stock to be paid on August 6, 2018 to shareholders of record on July 13, 2018. Additionally, on May 22, 2018, the Company declared a special dividend of $3.75 per share of its common stock to be paid on August 3, 2018 to shareholders of record on July 13,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AOCIL, net of tax, related to the Company’s interest rate swaps for the nine months ended April 27, 2018 (see Notes 2 and 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9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w w:val="98"/>
              </w:rPr>
              <w:t>Changes in AOCIL</w:t>
            </w:r>
          </w:p>
        </w:tc>
      </w:tr>
      <w:tr>
        <w:trPr>
          <w:trHeight w:val="223"/>
        </w:trPr>
        <w:tc>
          <w:tcPr>
            <w:tcW w:w="20" w:type="dxa"/>
            <w:vAlign w:val="bottom"/>
          </w:tcPr>
          <w:p>
            <w:pPr>
              <w:spacing w:after="0"/>
              <w:rPr>
                <w:sz w:val="19"/>
                <w:szCs w:val="19"/>
                <w:color w:val="auto"/>
              </w:rPr>
            </w:pPr>
          </w:p>
        </w:tc>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AOCIL balance at July 28, 2017</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AOCIL</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w:t>
            </w:r>
          </w:p>
        </w:tc>
      </w:tr>
      <w:tr>
        <w:trPr>
          <w:trHeight w:val="223"/>
        </w:trPr>
        <w:tc>
          <w:tcPr>
            <w:tcW w:w="20" w:type="dxa"/>
            <w:vAlign w:val="bottom"/>
          </w:tcPr>
          <w:p>
            <w:pPr>
              <w:spacing w:after="0"/>
              <w:rPr>
                <w:sz w:val="19"/>
                <w:szCs w:val="19"/>
                <w:color w:val="auto"/>
              </w:rPr>
            </w:pPr>
          </w:p>
        </w:tc>
        <w:tc>
          <w:tcPr>
            <w:tcW w:w="99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8,680</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AOCIL balance at April 27, 2018</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AOCIL related to the Company’s interest rate swaps for the quarter and nine months ended April 27,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Amount Reclassified from AOCIL</w:t>
            </w: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Affected Line Item in the</w:t>
            </w:r>
          </w:p>
        </w:tc>
      </w:tr>
      <w:tr>
        <w:trPr>
          <w:trHeight w:val="202"/>
        </w:trPr>
        <w:tc>
          <w:tcPr>
            <w:tcW w:w="4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89"/>
              </w:rPr>
              <w:t>Condensed Consolidated</w:t>
            </w:r>
          </w:p>
        </w:tc>
      </w:tr>
      <w:tr>
        <w:trPr>
          <w:trHeight w:val="237"/>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Quarter Ended</w:t>
            </w: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Nine Months Ended</w:t>
            </w: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Financial Statements</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388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4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2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Historically, the net income of the Company has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0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27,</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592,677</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1,774,112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1,739,888</w:t>
            </w: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128,736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125,312</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445,440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443,175</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721,413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700,410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2,219,552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27,</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27,</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Rights Plans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9, 2018, the Company’s Board of Directors declared a dividend of one preferred share purchase right (a “Right”) for each outstanding share of common stock, par value $0.01 per share, and adopted a shareholder rights plan, as set forth in the Rights Agreement dated as of April 9, 2018 (the “Rights Agreement”), by and between the Company and American Stock Transfer &amp; Trust Company, LLC, as rights agent. The dividend was payable on April 19, 2018 to the shareholders of record on April 19, 2018. The Rights Agreement replaced the Company’s previous shareholder rights plan adopted in 2015 (the “2015 Plan”), and it became effective immediately following the expiration of the 2015 Plan at the close of business on April 9, 2018. The 2015 Plan and the preferred share purchase rights issued thereunder expired by their own terms and shareholders of the Company were not entitled to any payment as a result of the expiration of the 2015 Plan. The Rights Agreement will terminate unless approved by shareholders at the Company’s 2018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Rights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by certificates that represent shares of the Company’s common stock. New Rights will accompany any new shares of common stock the Company issues after April 19, 2018 until the earlier to occur of the Distribution Date, redemption of the Rights by the Company’s Board of Directors or the final expiration of the Rights Agreement, each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Right will allow its holder to purchase from the Company one one-hundredth of a share of Series A Junior Participating Preferred Stock (“Preferred Share”) for $600.00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Exercisability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date when the Rights become exercisable is the “Distribution Date.” Until the Distribution Date, the common stock certificates will also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April 27, 2018, none of the Rights were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a Person or Group Becoming an Acquiring Person</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(initially $1,200.00 per Right).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 (initially $1,200.00 per Right).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Share Provisions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Qualifying Offer Provision</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will not cause the offeror or its affiliates to become an Acquiring Person, and the Rights will immediately expire upon consummation of the qualifying offer.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Anti-Dilution Provisions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Expiration</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the Rights Agreement is approved by the Company’s shareholders at the 2018 annual meeting, the Rights will expire on April 9, 2021. If shareholders do not approve the Rights Agreement, the Rights will expire immediately following certification of the vote at the 2018 annual meeting.</w:t>
      </w:r>
    </w:p>
    <w:p>
      <w:pPr>
        <w:spacing w:after="0" w:line="17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Tax Act makes broad and complex changes to the U.S. tax code, including, but not limited to, reducing the U.S. federal corporate tax rate from 35% to 21% effective January 1, 2018. In accordance with Section 15 of the Internal Revenue Code, the Company will use a blended rate of 26.9% for our fiscal 2018 tax year, by applying a prorated percentage of the number of days prior to and subsequent to the January 1, 2018 effective date of the Tax Act.</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SEC’s Staff Accounting Bulletin No. 118 (“SAB 118”) provides guidance on accounting for tax effects of the Tax Act. SAB 118 provides a measurement period that should not extend beyond one year from the Tax Act enactment date for companies to complete the accounting guidance under FASB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Tax Act. While the Company is able to make reasonable estimates of the impact of the reduction in the corporate rate,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The Company continues to gather additional information to determine the final impact.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quarter of 2018, the Company recorded a provisional tax benefit for the re-measurement of deferred tax liabilities of $27,032 and $2,500 for long-term and short-term deferred tax liabilities, respectively.</w:t>
      </w:r>
    </w:p>
    <w:p>
      <w:pPr>
        <w:spacing w:after="0" w:line="19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reconciles the components of diluted earnings per share computations: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580"/>
              <w:spacing w:after="0"/>
              <w:rPr>
                <w:sz w:val="20"/>
                <w:szCs w:val="20"/>
                <w:color w:val="auto"/>
              </w:rPr>
            </w:pPr>
            <w:r>
              <w:rPr>
                <w:rFonts w:ascii="Arial" w:cs="Arial" w:eastAsia="Arial" w:hAnsi="Arial"/>
                <w:sz w:val="18"/>
                <w:szCs w:val="18"/>
                <w:color w:val="auto"/>
              </w:rPr>
              <w:t>Quarter Ended</w:t>
            </w:r>
          </w:p>
        </w:tc>
        <w:tc>
          <w:tcPr>
            <w:tcW w:w="180" w:type="dxa"/>
            <w:vAlign w:val="bottom"/>
          </w:tcPr>
          <w:p>
            <w:pPr>
              <w:spacing w:after="0"/>
              <w:rPr>
                <w:sz w:val="24"/>
                <w:szCs w:val="24"/>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27,</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27,</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186,266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Weighted average shares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24,003,611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24,042,573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24,013,435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24,028,175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Stock options, nonvested stock awards and MSU Grants</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78,630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62,399</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83,578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24,065,783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24,121,203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24,075,834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24,111,753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April 27, 2018, the Company had $9,455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27, 2018,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April 27, 2018.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April 27, 2018, we operated 652 Cracker Barrel stores in 45 states and seven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five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28, 2017 (the “2017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2017 Form 10-K, which is incorporated herein by this reference, as well as the factors described under “Critical Accounting Estimates” on pages 26-30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2018 to grow sales and profits. Our priorities for 2018 consist of the following:</w:t>
      </w:r>
    </w:p>
    <w:p>
      <w:pPr>
        <w:spacing w:after="0" w:line="17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Enhancing the core business by focusing on value, culinary enhancements and speed of service;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eight Cracker Barrel stores during 2018, of which seven opened in the first nine months of 2018; and</w:t>
      </w:r>
    </w:p>
    <w:p>
      <w:pPr>
        <w:ind w:left="660" w:right="20" w:hanging="328"/>
        <w:spacing w:after="0" w:line="20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 We have opened three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during 2018.</w:t>
      </w:r>
    </w:p>
    <w:p>
      <w:pPr>
        <w:spacing w:after="0" w:line="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remain committed to delivering on our 2018 strategic priorities.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nine-month period ended April 27, 2018 as compared to the same periods in the prior year:</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720" w:type="dxa"/>
            <w:vAlign w:val="bottom"/>
            <w:gridSpan w:val="4"/>
          </w:tcPr>
          <w:p>
            <w:pPr>
              <w:jc w:val="right"/>
              <w:ind w:right="960"/>
              <w:spacing w:after="0"/>
              <w:rPr>
                <w:sz w:val="20"/>
                <w:szCs w:val="20"/>
                <w:color w:val="auto"/>
              </w:rPr>
            </w:pPr>
            <w:r>
              <w:rPr>
                <w:rFonts w:ascii="Arial" w:cs="Arial" w:eastAsia="Arial" w:hAnsi="Arial"/>
                <w:sz w:val="18"/>
                <w:szCs w:val="18"/>
                <w:color w:val="auto"/>
              </w:rPr>
              <w:t>Quarter Ended</w:t>
            </w:r>
          </w:p>
        </w:tc>
        <w:tc>
          <w:tcPr>
            <w:tcW w:w="2740" w:type="dxa"/>
            <w:vAlign w:val="bottom"/>
            <w:gridSpan w:val="4"/>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April 27,</w:t>
            </w:r>
          </w:p>
        </w:tc>
        <w:tc>
          <w:tcPr>
            <w:tcW w:w="11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April 28,</w:t>
            </w:r>
          </w:p>
        </w:tc>
        <w:tc>
          <w:tcPr>
            <w:tcW w:w="26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April 27,</w:t>
            </w:r>
          </w:p>
        </w:tc>
        <w:tc>
          <w:tcPr>
            <w:tcW w:w="114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and nine-month periods ended April 27, 2018 and April 28, 2017:</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Arial" w:cs="Arial" w:eastAsia="Arial" w:hAnsi="Arial"/>
                <w:sz w:val="18"/>
                <w:szCs w:val="18"/>
                <w:color w:val="auto"/>
              </w:rPr>
              <w:t>Quarter Ended</w:t>
            </w:r>
          </w:p>
        </w:tc>
        <w:tc>
          <w:tcPr>
            <w:tcW w:w="2620" w:type="dxa"/>
            <w:vAlign w:val="bottom"/>
            <w:gridSpan w:val="4"/>
          </w:tcPr>
          <w:p>
            <w:pPr>
              <w:ind w:left="540"/>
              <w:spacing w:after="0"/>
              <w:rPr>
                <w:sz w:val="20"/>
                <w:szCs w:val="20"/>
                <w:color w:val="auto"/>
              </w:rPr>
            </w:pPr>
            <w:r>
              <w:rPr>
                <w:rFonts w:ascii="Arial" w:cs="Arial" w:eastAsia="Arial" w:hAnsi="Arial"/>
                <w:sz w:val="18"/>
                <w:szCs w:val="18"/>
                <w:color w:val="auto"/>
              </w:rPr>
              <w:t>Nine Months Ended</w:t>
            </w:r>
          </w:p>
        </w:tc>
      </w:tr>
      <w:tr>
        <w:trPr>
          <w:trHeight w:val="202"/>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60" w:type="dxa"/>
            <w:vAlign w:val="bottom"/>
            <w:tcBorders>
              <w:top w:val="single" w:sz="8" w:color="auto"/>
            </w:tcBorders>
            <w:gridSpan w:val="2"/>
          </w:tcPr>
          <w:p>
            <w:pPr>
              <w:ind w:left="240"/>
              <w:spacing w:after="0" w:line="201" w:lineRule="exact"/>
              <w:rPr>
                <w:sz w:val="20"/>
                <w:szCs w:val="20"/>
                <w:color w:val="auto"/>
              </w:rPr>
            </w:pPr>
            <w:r>
              <w:rPr>
                <w:rFonts w:ascii="Arial" w:cs="Arial" w:eastAsia="Arial" w:hAnsi="Arial"/>
                <w:sz w:val="18"/>
                <w:szCs w:val="18"/>
                <w:color w:val="auto"/>
              </w:rPr>
              <w:t>April 27,</w:t>
            </w:r>
          </w:p>
        </w:tc>
        <w:tc>
          <w:tcPr>
            <w:tcW w:w="114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April 27,</w:t>
            </w:r>
          </w:p>
        </w:tc>
        <w:tc>
          <w:tcPr>
            <w:tcW w:w="11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April 28,</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Opened during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end of the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for the third quarter and first nine months of 2018 increased 3.0% and 1.7%, respectively, compared to the same periods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nine-month period ended April 27, 2018 as compared to the quarter and nine-month period ended April 28,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5"/>
          </w:tcPr>
          <w:p>
            <w:pPr>
              <w:jc w:val="right"/>
              <w:ind w:right="106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April 27,</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April 27,</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592,677</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575,098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1,739,888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125,312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445,440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443,175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721,413</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700,410</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2,219,552</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2,183,063</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902.7</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890.8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2,715.5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1,098.8</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1,084.9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3,397.3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third quarter of 2018, our comparable store restaurant sales increase consisted of a 2.8% average check increase (including a 2.5% average menu price increase) partially offset by a 1.3% guest traffic decline as compared to the prior year third quarter. For the third quarter of 2018, our comparable store retail sales increase resulted primarily from strong performance in the accessories merchandise category partially offset by lower performance in the décor merchandise category as compared to the prior year third quarter as well as the decline in guest traffic.</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first nine months of 2018, our comparable store restaurant sales increase consisted of a 2.3% average check increase (including a 2.3% average menu price increase) partially offset by a 1.3% guest traffic decline. For the first nine months of 2018, our comparable store retail sales decrease resulted primarily from the decline in guest traffic and lower performance in décor, toys, and bed and bath merchandise categories partially offset by strong performance in the accessories merchandise category.</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Restaurant and retail sales from newly opened stores accounted for the remainder of the total revenue increase in the third quarter and first nine months of 2018 as compared to the same periods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third quarter and first nine months of 2018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color w:val="auto"/>
              </w:rPr>
              <w:t>Quarter Ended</w:t>
            </w:r>
          </w:p>
        </w:tc>
        <w:tc>
          <w:tcPr>
            <w:tcW w:w="160" w:type="dxa"/>
            <w:vAlign w:val="bottom"/>
          </w:tcPr>
          <w:p>
            <w:pPr>
              <w:spacing w:after="0"/>
              <w:rPr>
                <w:sz w:val="20"/>
                <w:szCs w:val="20"/>
                <w:color w:val="auto"/>
              </w:rPr>
            </w:pPr>
          </w:p>
        </w:tc>
        <w:tc>
          <w:tcPr>
            <w:tcW w:w="2540" w:type="dxa"/>
            <w:vAlign w:val="bottom"/>
            <w:gridSpan w:val="6"/>
          </w:tcPr>
          <w:p>
            <w:pPr>
              <w:ind w:left="380"/>
              <w:spacing w:after="0"/>
              <w:rPr>
                <w:sz w:val="20"/>
                <w:szCs w:val="20"/>
                <w:color w:val="auto"/>
              </w:rPr>
            </w:pPr>
            <w:r>
              <w:rPr>
                <w:rFonts w:ascii="Arial" w:cs="Arial" w:eastAsia="Arial" w:hAnsi="Arial"/>
                <w:sz w:val="18"/>
                <w:szCs w:val="18"/>
                <w:color w:val="auto"/>
              </w:rPr>
              <w:t>Nine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27,</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April 27,</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color w:val="auto"/>
              </w:rPr>
              <w:t>April 28,</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453,016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441,338</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63,396</w:t>
            </w:r>
          </w:p>
        </w:tc>
        <w:tc>
          <w:tcPr>
            <w:tcW w:w="16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236,404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232,573</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217,719</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205,882</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9"/>
              </w:rPr>
              <w:t>689,420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673,911</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 in restaurant cost of goods sold as a percentage of restaurant revenue in the third quarter of 2018 as compared to the prior year third quarter was primarily the result of commodity inflation, higher food waste and a shift to higher cost menu items partially offset by our menu price increase referenced above. Commodity inflation was 5.1% in the third quarter of 2018. Higher food waste and higher cost menu items each accounted for an increase of 0.1% in restaurant cost of goods sold as a percentage of restaurant revenue for the third quarter of 2018 as compared to the prior year third quarter.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restaurant cost of goods sold as a percentage of restaurant revenue in the first nine months of 2018 as compared to the same period in the prior year was the result of commodity inflation and higher food waste partially offset by our menu price increase referenced above and a shift to lower cost menu items. Commodity inflation was 2.5% in the first nine months of 2018. Higher food waste accounted for an increase of 0.1% in restaurant cost of goods sold as a percentage of restaurant revenue for the first nine months of 2018 as compared to the same period in the prior year. Lower cost menu items accounted for a decrease of 0.1% in restaurant cost of goods sold as a percentage of restaurant revenue for the first nine months of 2018 as compared to the same period in the prior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3.25% in 2018 as compared to 2017.</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retail cost of goods sold as a percentage of retail revenue in the third quarter of 2018 as compared to the prior year third quarter resulted primarily from lower initial margin, higher inventory shrinkage and higher freight expense partially offset by lower markdowns and a decrease in the provision for obsolete inventory.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Inventory shrinkage</w:t>
            </w:r>
          </w:p>
        </w:tc>
        <w:tc>
          <w:tcPr>
            <w:tcW w:w="23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Freight expense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Markdowns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retail cost of goods sold as a percentage of retail revenue in the first nine months of 2018 as compared to the same period in the prior year resulted from lower initial margin, higher inventory shrinkage and higher freight expense partially offset by lower markdowns.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Inventory shrinkage</w:t>
            </w:r>
          </w:p>
        </w:tc>
        <w:tc>
          <w:tcPr>
            <w:tcW w:w="23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Freight expense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Markdowns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35.7% in the third quarter of 2018 as compared to 35.8% in the third quarter of 2017. This percentage change resulted from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Third Quarter</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640" w:type="dxa"/>
            <w:vAlign w:val="bottom"/>
            <w:gridSpan w:val="3"/>
          </w:tcPr>
          <w:p>
            <w:pPr>
              <w:jc w:val="center"/>
              <w:ind w:left="4054"/>
              <w:spacing w:after="0"/>
              <w:rPr>
                <w:sz w:val="20"/>
                <w:szCs w:val="20"/>
                <w:color w:val="auto"/>
              </w:rPr>
            </w:pPr>
            <w:r>
              <w:rPr>
                <w:rFonts w:ascii="Arial" w:cs="Arial" w:eastAsia="Arial" w:hAnsi="Arial"/>
                <w:sz w:val="18"/>
                <w:szCs w:val="18"/>
                <w:color w:val="auto"/>
                <w:w w:val="87"/>
              </w:rPr>
              <w:t>Percentage of Total Revenue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3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66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wages</w:t>
            </w:r>
          </w:p>
        </w:tc>
        <w:tc>
          <w:tcPr>
            <w:tcW w:w="6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Store hourly labor</w:t>
            </w:r>
          </w:p>
        </w:tc>
        <w:tc>
          <w:tcPr>
            <w:tcW w:w="664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360" w:type="dxa"/>
            <w:vAlign w:val="bottom"/>
          </w:tcPr>
          <w:p>
            <w:pPr>
              <w:jc w:val="right"/>
              <w:ind w:right="2774"/>
              <w:spacing w:after="0"/>
              <w:rPr>
                <w:sz w:val="20"/>
                <w:szCs w:val="20"/>
                <w:color w:val="auto"/>
              </w:rPr>
            </w:pPr>
            <w:r>
              <w:rPr>
                <w:rFonts w:ascii="Arial" w:cs="Arial" w:eastAsia="Arial" w:hAnsi="Arial"/>
                <w:sz w:val="14"/>
                <w:szCs w:val="14"/>
                <w:color w:val="auto"/>
              </w:rPr>
              <w:t>21</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decreased to 34.6% in the first nine months of 2018 as compared to 34.8% in the same period in the prior year.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40" w:type="dxa"/>
            <w:vAlign w:val="bottom"/>
            <w:gridSpan w:val="3"/>
          </w:tcPr>
          <w:p>
            <w:pPr>
              <w:jc w:val="center"/>
              <w:ind w:left="255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8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51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5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Lower store bonus expense as a percentage of total revenue for the third quarter and first nine months of 2018 as compared to the same periods in the prior year resulted from lower performance against financial objectives in the third quarter and first nine months of 2018 as compared to the same periods in the prior year.</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Lower employee health care expenses as a percentage of total revenue for the third quarter and first nine months of 2018 as compared to the same periods in the prior year resulted primarily from lower claims activity.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miscellaneous wages as a percentage of total revenue for the third quarter of 2018 as compared to the prior year third quarter resulted primarily from higher expenses associated with maintenance labor and vacation expense in the prior year third quarter.</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third quarter and first nine months of 2018 as compared to the same periods in the prior year resulted primarily from wage inflation exceeding menu price increases and lower productivity.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20.4% in the third quarter of 2018 as compared to 19.5% in the third quarter of 2017.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Third Quarter</w:t>
            </w: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Depreciation expense</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Supplies expense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19.9% in the first nine months of 2018 as compared to 19.0% in the same period in the prior year. This percentage change resulted primarily from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First Nine Months</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Increase as a Percentage</w:t>
            </w:r>
          </w:p>
        </w:tc>
        <w:tc>
          <w:tcPr>
            <w:tcW w:w="50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37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expense</w:t>
            </w:r>
          </w:p>
        </w:tc>
        <w:tc>
          <w:tcPr>
            <w:tcW w:w="56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7"/>
              </w:rPr>
              <w:t>Bi-annual manager conference and training event expense</w:t>
            </w:r>
          </w:p>
        </w:tc>
        <w:tc>
          <w:tcPr>
            <w:tcW w:w="5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Supplies expense</w:t>
            </w:r>
          </w:p>
        </w:tc>
        <w:tc>
          <w:tcPr>
            <w:tcW w:w="568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0"/>
                <w:szCs w:val="20"/>
                <w:color w:val="auto"/>
              </w:rPr>
            </w:pPr>
          </w:p>
        </w:tc>
      </w:tr>
      <w:tr>
        <w:trPr>
          <w:trHeight w:val="581"/>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720" w:type="dxa"/>
            <w:vAlign w:val="bottom"/>
          </w:tcPr>
          <w:p>
            <w:pPr>
              <w:jc w:val="right"/>
              <w:ind w:right="3094"/>
              <w:spacing w:after="0"/>
              <w:rPr>
                <w:sz w:val="20"/>
                <w:szCs w:val="20"/>
                <w:color w:val="auto"/>
              </w:rPr>
            </w:pPr>
            <w:r>
              <w:rPr>
                <w:rFonts w:ascii="Arial" w:cs="Arial" w:eastAsia="Arial" w:hAnsi="Arial"/>
                <w:sz w:val="14"/>
                <w:szCs w:val="14"/>
                <w:color w:val="auto"/>
              </w:rPr>
              <w:t>22</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6"/>
        </w:trPr>
        <w:tc>
          <w:tcPr>
            <w:tcW w:w="66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increases in maintenance expense as a percentage of total revenue for the third quarter and first nine months of 2018 as compared to the same periods in the prior year resulted primarily from the implementation of previously announced initiatives, higher costs associated with snow removal due to adverse weather, higher costs associated with site maintenance and expenses associated with the related repair of certain building components and kitchen equipment.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depreciation expense as a percentage of total revenue for the third quarter and first nine months of 2018 as compared to the same periods in the prior year resulted from higher capital expenditures in the third quarter and first nine months of 2018 as compared to the same periods in the prior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first quarter of 2018, we held a bi-annual manager conference and training event that was attended by our store operations management team.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 manager’s conference and training event in 2017.</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supplies expense as a percentage of total revenue for the third quarter and first nine months of 2018 as compared to the same periods in the prior year resulted primarily from costs associated with our off-premise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4.9% in the third quarter of 2018 as compared to 5.1% in the third quarter of 2017.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Third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100" w:type="dxa"/>
            <w:vAlign w:val="bottom"/>
            <w:gridSpan w:val="3"/>
          </w:tcPr>
          <w:p>
            <w:pPr>
              <w:jc w:val="center"/>
              <w:ind w:left="251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expense</w:t>
            </w:r>
          </w:p>
        </w:tc>
        <w:tc>
          <w:tcPr>
            <w:tcW w:w="2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increased to 4.9% in the first nine months of 2018 as compared to 4.8% in the same period in the prior year. This percentage change resulted primarily from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First 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5100" w:type="dxa"/>
            <w:vAlign w:val="bottom"/>
            <w:gridSpan w:val="3"/>
          </w:tcPr>
          <w:p>
            <w:pPr>
              <w:jc w:val="center"/>
              <w:ind w:left="251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Incentive compensation expense</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decreases in incentive compensation as a percentage of total revenue for the third quarter and first nine months of 2018 as compared to the same periods in the prior year resulted primarily from lower performance against financial objectives in the third quarter and first nine months of 2018 as compared to the same periods in the prior year.</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payroll and related expenses as a percentage of total revenue for the third quarter and first nine months of 2018 as compared to the same periods in the prior year resulted primarily from more manager-in-training weeks and higher average wages.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third quarter and first nine months of 2018 remained relatively constant at $3,594 and $10,892, respectively, as compared to $3,389 and $10,703, respectively, in the third quarter and first nine months of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18.4% and 31.1% in the third quarters of 2018 and 2017, respectively. The effective tax rate was 6.8% and 32.5% in the first nine months of 2018 and 2017, respectively. The effective tax rate for the third quarter and the first nine months of 2018 was significantly impacted by P.L. 115-97, the Tax Cuts and Jobs Act (the “Tax Act”), enacted on December 22, 2017 by the U.S. government. The Tax Act makes broad and complex changes to the U.S. tax code, including, but not limited to, reducing the U.S. federal corporate tax rate from 35% to 21% effective January 1, 2018. In accordance with Section 15 of the Internal Revenue Code, we will use a blended rate of 26.9% for our fiscal 2018 tax year, by applying a prorated percentage of the number of days prior to and subsequent to the January 1, 2018 effective date of the Tax Act.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are able to make reasonable estimates of the impact of the reduction in corporate rate,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We continue to gather additional information to determine the final impact. We presently expect our effective tax rate for 2018 to be approximately 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$750,000 revolving credit facility (the “Revolving Credit Facility”). Our internally generated cash, along with cash on hand at July 28, 2017, was sufficient to finance all of our growth, dividend payments, share repurchases, working capital needs and other cash payment obligations in the first nine months of 2018.</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April 27, 2018,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operating activities provided net cash of $220,975 for the first nine months of 2018, which represented an increase from the $203,072 net cash provided during the first nine months of 2017. This increase primarily reflected the timing of payments for accounts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April 27, 2018, we had $400,000 of outstanding borrowings under the Revolving Credit Facility and we had $9,455 of standby letters of credit related to securing reserved claims under our workers’ compensation insurance which reduce our borrowing availability under the Revolving Credit Facility. At April 27, 2018, we had $340,545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735"/>
        <w:spacing w:after="0" w:line="250"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$101,685 for the first nine months of 2018 as compared to $80,861 for the same period in the prior year. Our capital expenditures consisted primarily of capital investments for existing stores, new store locations and capital expenditures for strategic initiatives. The increase in capital expenditures from the first nine months of 2018 to the first nine months of 2017 resulted primarily from an increase in the number of new store locations and capital expenditures for strategic initiatives. We estimate that our capital expenditures during 2018 will be approximately $150,000. This estimate includes the acquisition of sites and construction costs of eight new Cracker Barrel stores and three new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that we have opened or expect to open during 2018, as well as for acquisition and construction costs for store locations to be opened in 2019.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nine months of 2018, we paid a regular dividend of $3.60 per share and declared a dividend of $1.20 per share that was paid on May 7, 2018 to shareholders of record on April 13, 2018. On May 22, 2018, we declared a regular dividend of $1.25 per share of our common stock to be paid on August 6, 2018 to shareholders of record on July 13, 2018. Additionally, on May 22, 2018, we declared a special dividend of $3.75 per share of our common stock to be paid on August 3, 2018 to shareholders of record on July 13, 2018.</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been authorized by our Board of Directors to repurchase shares at management’s discretion up to $25,000 during 2018. During the first nine months of 2018, we repurchased 100,000 shares of our common stock in the open market at an aggregate cost of $14,772.</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nine months of 2018, we issued 47,929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$3,360.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positive working capital of $18,511 at April 27, 2018 versus negative working capital of $16,971 at July 28, 2017. The change in working capital from July 28, 2017 to April 27, 2018 primarily resulted from the timing of payments for accounts payable, the increase in cash and lower incentive compensation.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2017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2017. Refer to the sub-section entitled “Material Commitments” under the section entitled “Liquidity and Capital Resources” presented in the MD&amp;A of our 2017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still evaluating the impact of adopting the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2017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nine months of 2018,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2018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nine months of 2018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and the Work Opportunity credit,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2017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update the historical and implied components of the expected volatility assumption when new grants are made. No MSU Grants have been awarded in 2017 or in 2018.</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depending on our performance.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right="820" w:hanging="328"/>
        <w:spacing w:after="0" w:line="52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dividend yield is assumed to be zero since the award holders are entitled to any dividends paid over the performance period. We will update the expected volatility assumption when new grants are made.</w:t>
      </w: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nine months of 2018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2017 Form 10-K is incorporated in this item of this Quarterly Report on Form 10-Q by this reference. There have been no material changes in our quantitative and qualitative market risks since July 28, 2017.</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April 27, 2018, our disclosure controls and procedures were effective for the purposes set forth in the definition thereof in Exchange Act Rule 13a-15(e).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April 27, 2018 in our internal control over financial reporting (as defined in Exchange Act Rule 13a-15(f)) that have materially affected, or are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2017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Severance Agreements and Change in Control Agreements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25, 2018, the Company entered into separate severance agreements and change in control agreements with all of the executive officers of the Company other than the Company’s President and Chief Executive Officer, Sandra B. Cochran, including the named executive officers (as such term is defined by Item 5.02 of Form 8-K) that are presently employed by the Company (“Officers”). These agreements replace the combined change in control and severance agreements previously in place between the Company and these Officers which expired on May 22, 2018. Ms. Cochran’s rights with respect to both severance and a change in control in the Company are covered by her existing employment agreement with the Company, which remains in effect until September 26, 2018, unless earlier terminated pursuant to its terms.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new severance agreements, an Officer will receive (i) the accrued obligations and (ii) severance benefits of 12 months’ base salary plus one additional week of base salary for each year of service to the Company greater than 15 (all up to a maximum total payment of 18 months’ salary), as a result of termination of their employment by the Company other than for “cause” (as defined in the agreements) or upon the termination by these executive officers of their employment for “good reason” (as defined in the agreements). The receipt of the severance benefits under the severance agreements is conditioned upon the execution of an unconditional release from all charges, complaints and claims, including attorney fees, based on employment with the Company, or the termination of that employment, by such Officer at the time of the severance event. The severance agreements have an initial term of three years, after which they will automatically renew for successive one-year terms absent notice of non-renewal by the Company to the Officers not less than 90 days prior to the expiration of the term.</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new change in control agreements, if the Company undergoes a change in control (as defined in the agreements), then, for a period of two years following such event, the Company agrees to employ each of the Officers at a salary at least equal to such Officer’s highest monthly base salary paid during the 24 months prior to the change in control event, to make such Officer eligible to participate in the Company’s incentive compensation programs at a level equal to or greater than the highest target percentage applicable during the 12 months prior to the change in control event, and to continue to provide benefits and perquisites at least equal to those enjoyed during the 12 months prior to the change in control event. In addition, if the Officer is terminated without cause or terminates his employment for “good reason” (as defined in the agreements) within two years after such an event, then the Officer will receive (i) the accrued obligations, (ii) a lump sum payment equal to 1.5 to 2.0 times, depending on the executive’s title (with all named executive officers being 2.0x) the sum of (A) his or her base salary as in effect immediately prior to the change in control event and (B) his or her target bonus in effect for the fiscal year in which the termination occurs; (ii) a lump sum payment equal to his or her target bonus for the fiscal year in which the termination occurs, prorated based on the number of days elapsed between the beginning of the period and the termination date; (iii) payment of his or her annual bonus for the fiscal year preceding the year in which termination occurs, if such prior year bonus has not already been paid; and (iv) 24 months’ continuation of health and other benefits and perquisites, reimbursed by the Company.</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change in control event, all long-term incentive awards previously granted to the Officers that are unvested at the time of such event will be converted into cash and will be payable to the Officers, with interest, upon the earliest to occur of (i) the termination of the Officer’s employment, (ii) the date on which the underlying award would otherwise have vested or been paid in accordance with its terms or (iii) the date that is two years following the change in control event, in each case provided that the Officer has remained employed by the Company or its successor at all times prior to such payment date. Time-based awards will be converted into cash at the market price of the Company’s common stock as of the change in control event (less any applicable exercise price and/or withholding amounts). Performance-based awards will be converted into cash assuming performance at a target level in accordance with the original agreement, plan or award notice governing such award. If an Officer’s employment is terminated within 180 days prior to a change in control event and the Officer can reasonably demonstrate that such termination was in connection with the contemplated change in control, then the agreements provide that the date of the change in control will be deemed to mean the date immediately prior to the termination of the Officer’s employment, and the Officer will receive the termination benefits accordingly. The change in control agreements have an indefinite term but may be terminated by the Company upon not less than one year’s prior written notice to the Officers if the Company has not received any proposal or indication of interest from a party regarding, nor is the Company’s Board of Directors then considering, a potential change in control transaction.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 Officer is entitled to receive benefits under his or her change in control agreement in connection with the termination of his or her employment following a change in control event, then such officer will not be receive any severance benefits under his or her severance agreement in respect of the termination. None of the applicable officers has a right under these severance agreements or change in control agreements or otherwise to receive any gross-up payment to reimburse such Officer for any excise tax under Sections 280G and 4999 of the Internal Revenue Code of 1986, as amended. Additionally, these agreements obligate the Company’s Officers not to work as an employee or consultant for any multi-unit restaurant business that offers full service family dining for a period equal to the shorter of (i) six months from the termination of the Officer’s employment or (ii) the period during which benefits continue to be paid to the Officer pursuant to the agreement. These agreements also obligate the Officers not to solicit Company employees for a period equal to the shorter of (i) twelve months from the termination of the Officer’s employment or (ii) the period during which benefits continue to be paid to the executive officer pursuant to the agreement.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severance agreements and change in control agreements is qualified in its entirety by reference to the full text of these agreements, forms of which are filed as Exhibits 10.1 and 10.2, respectively, to this Quarterly Report on Form 10-Q and are incorporated herein by reference.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25" w:lineRule="exact"/>
        <w:rPr>
          <w:sz w:val="20"/>
          <w:szCs w:val="20"/>
          <w:color w:val="auto"/>
        </w:rPr>
      </w:pPr>
    </w:p>
    <w:p>
      <w:pPr>
        <w:ind w:left="1380" w:hanging="1377"/>
        <w:spacing w:after="0" w:line="308" w:lineRule="auto"/>
        <w:tabs>
          <w:tab w:leader="none" w:pos="1360" w:val="left"/>
        </w:tabs>
        <w:rPr>
          <w:rFonts w:ascii="Arial" w:cs="Arial" w:eastAsia="Arial" w:hAnsi="Arial"/>
          <w:sz w:val="18"/>
          <w:szCs w:val="18"/>
          <w:color w:val="0000EE"/>
        </w:rPr>
      </w:pPr>
      <w:hyperlink r:id="rId41">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7"/>
          <w:szCs w:val="17"/>
          <w:color w:val="0000EE"/>
        </w:rPr>
        <w:t>Rights Agreement, dated as of April 9, 2018, between Cracker Barrel Old Country Store, Inc. and American Stock Transfer &amp; Trust Company, LLC, as rights agent (incorporated by reference to Exhibit 4.1 to the Company’s Report on Form 8-K filed on April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36"/>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337" w:lineRule="exact"/>
              <w:rPr>
                <w:sz w:val="20"/>
                <w:szCs w:val="20"/>
                <w:color w:val="auto"/>
              </w:rPr>
            </w:pPr>
            <w:r>
              <w:rPr>
                <w:rFonts w:ascii="Arial" w:cs="Arial" w:eastAsia="Arial" w:hAnsi="Arial"/>
                <w:sz w:val="18"/>
                <w:szCs w:val="18"/>
                <w:color w:val="auto"/>
                <w:w w:val="97"/>
              </w:rPr>
              <w:t>Form of Severance Agreement between Cracker Barrel Old Country Store, Inc., and certain of its named executive officers</w:t>
            </w:r>
            <w:r>
              <w:rPr>
                <w:rFonts w:ascii="Arial" w:cs="Arial" w:eastAsia="Arial" w:hAnsi="Arial"/>
                <w:sz w:val="30"/>
                <w:szCs w:val="30"/>
                <w:color w:val="auto"/>
                <w:w w:val="97"/>
                <w:vertAlign w:val="superscript"/>
              </w:rPr>
              <w:t>1</w:t>
            </w:r>
            <w:r>
              <w:rPr>
                <w:rFonts w:ascii="Arial" w:cs="Arial" w:eastAsia="Arial" w:hAnsi="Arial"/>
                <w:sz w:val="18"/>
                <w:szCs w:val="18"/>
                <w:color w:val="auto"/>
                <w:w w:val="97"/>
              </w:rPr>
              <w:t xml:space="preserve">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3"/>
                <w:szCs w:val="13"/>
                <w:color w:val="auto"/>
              </w:rPr>
              <w:t>Form of Change of Control Agreement between Cracker Barrel Old Country Store, Inc., and certain of its named executive officers</w:t>
            </w:r>
            <w:r>
              <w:rPr>
                <w:rFonts w:ascii="Arial" w:cs="Arial" w:eastAsia="Arial" w:hAnsi="Arial"/>
                <w:sz w:val="20"/>
                <w:szCs w:val="20"/>
                <w:color w:val="auto"/>
                <w:vertAlign w:val="superscript"/>
              </w:rPr>
              <w:t>1</w:t>
            </w:r>
            <w:r>
              <w:rPr>
                <w:rFonts w:ascii="Arial" w:cs="Arial" w:eastAsia="Arial" w:hAnsi="Arial"/>
                <w:sz w:val="13"/>
                <w:szCs w:val="13"/>
                <w:color w:val="auto"/>
              </w:rPr>
              <w:t xml:space="preserve">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Denotes management contract or compensatory plan, contract or arrangement.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80" w:type="dxa"/>
            <w:vAlign w:val="bottom"/>
            <w:gridSpan w:val="4"/>
          </w:tcPr>
          <w:p>
            <w:pPr>
              <w:ind w:left="280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29, 2018</w:t>
            </w:r>
          </w:p>
        </w:tc>
        <w:tc>
          <w:tcPr>
            <w:tcW w:w="9980" w:type="dxa"/>
            <w:vAlign w:val="bottom"/>
            <w:gridSpan w:val="4"/>
          </w:tcPr>
          <w:p>
            <w:pPr>
              <w:ind w:left="2800"/>
              <w:spacing w:after="0"/>
              <w:rPr>
                <w:sz w:val="20"/>
                <w:szCs w:val="20"/>
                <w:color w:val="auto"/>
              </w:rPr>
            </w:pPr>
            <w:r>
              <w:rPr>
                <w:rFonts w:ascii="Arial" w:cs="Arial" w:eastAsia="Arial" w:hAnsi="Arial"/>
                <w:sz w:val="18"/>
                <w:szCs w:val="18"/>
                <w:color w:val="auto"/>
              </w:rPr>
              <w:t>By: /s/Jill M. Golder</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80" w:type="dxa"/>
            <w:vAlign w:val="bottom"/>
            <w:gridSpan w:val="4"/>
          </w:tcPr>
          <w:p>
            <w:pPr>
              <w:ind w:left="3140"/>
              <w:spacing w:after="0"/>
              <w:rPr>
                <w:sz w:val="20"/>
                <w:szCs w:val="20"/>
                <w:color w:val="auto"/>
              </w:rPr>
            </w:pPr>
            <w:r>
              <w:rPr>
                <w:rFonts w:ascii="Arial" w:cs="Arial" w:eastAsia="Arial" w:hAnsi="Arial"/>
                <w:sz w:val="18"/>
                <w:szCs w:val="18"/>
                <w:color w:val="auto"/>
              </w:rPr>
              <w:t>Jill M. Golder, Senior Vice President and Chief Financial Officer</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29, 2018</w:t>
            </w:r>
          </w:p>
        </w:tc>
        <w:tc>
          <w:tcPr>
            <w:tcW w:w="9980" w:type="dxa"/>
            <w:vAlign w:val="bottom"/>
            <w:gridSpan w:val="4"/>
          </w:tcPr>
          <w:p>
            <w:pPr>
              <w:ind w:left="2800"/>
              <w:spacing w:after="0"/>
              <w:rPr>
                <w:sz w:val="20"/>
                <w:szCs w:val="20"/>
                <w:color w:val="auto"/>
              </w:rPr>
            </w:pPr>
            <w:r>
              <w:rPr>
                <w:rFonts w:ascii="Arial" w:cs="Arial" w:eastAsia="Arial" w:hAnsi="Arial"/>
                <w:sz w:val="18"/>
                <w:szCs w:val="18"/>
                <w:color w:val="auto"/>
              </w:rPr>
              <w:t>By: /s/Jeffrey M. Wilson</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80" w:type="dxa"/>
            <w:vAlign w:val="bottom"/>
            <w:gridSpan w:val="4"/>
          </w:tcPr>
          <w:p>
            <w:pPr>
              <w:ind w:left="3140"/>
              <w:spacing w:after="0"/>
              <w:rPr>
                <w:sz w:val="20"/>
                <w:szCs w:val="20"/>
                <w:color w:val="auto"/>
              </w:rPr>
            </w:pPr>
            <w:r>
              <w:rPr>
                <w:rFonts w:ascii="Arial" w:cs="Arial" w:eastAsia="Arial" w:hAnsi="Arial"/>
                <w:sz w:val="18"/>
                <w:szCs w:val="18"/>
                <w:color w:val="auto"/>
                <w:w w:val="97"/>
              </w:rPr>
              <w:t>Jeffrey M. Wilson, Vice President, Corporate Controller and Principal Accounting Officer</w:t>
            </w:r>
          </w:p>
        </w:tc>
      </w:tr>
      <w:tr>
        <w:trPr>
          <w:trHeight w:val="650"/>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0" w:type="dxa"/>
            <w:vAlign w:val="bottom"/>
            <w:gridSpan w:val="3"/>
          </w:tcPr>
          <w:p>
            <w:pPr>
              <w:ind w:left="4200"/>
              <w:spacing w:after="0"/>
              <w:rPr>
                <w:sz w:val="20"/>
                <w:szCs w:val="20"/>
                <w:color w:val="auto"/>
              </w:rPr>
            </w:pPr>
            <w:r>
              <w:rPr>
                <w:rFonts w:ascii="Arial" w:cs="Arial" w:eastAsia="Arial" w:hAnsi="Arial"/>
                <w:sz w:val="14"/>
                <w:szCs w:val="14"/>
                <w:color w:val="auto"/>
              </w:rPr>
              <w:t>34</w:t>
            </w:r>
          </w:p>
        </w:tc>
        <w:tc>
          <w:tcPr>
            <w:tcW w:w="5380" w:type="dxa"/>
            <w:vAlign w:val="bottom"/>
          </w:tcPr>
          <w:p>
            <w:pPr>
              <w:spacing w:after="0"/>
              <w:rPr>
                <w:sz w:val="24"/>
                <w:szCs w:val="24"/>
                <w:color w:val="auto"/>
              </w:rPr>
            </w:pPr>
          </w:p>
        </w:tc>
      </w:tr>
      <w:tr>
        <w:trPr>
          <w:trHeight w:val="100"/>
        </w:trPr>
        <w:tc>
          <w:tcPr>
            <w:tcW w:w="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46" w:lineRule="exact"/>
        <w:rPr>
          <w:sz w:val="20"/>
          <w:szCs w:val="20"/>
          <w:color w:val="auto"/>
        </w:rPr>
      </w:pPr>
    </w:p>
    <w:p>
      <w:pPr>
        <w:jc w:val="both"/>
        <w:ind w:firstLine="662"/>
        <w:spacing w:after="0" w:line="277" w:lineRule="auto"/>
        <w:rPr>
          <w:sz w:val="20"/>
          <w:szCs w:val="20"/>
          <w:color w:val="auto"/>
        </w:rPr>
      </w:pPr>
      <w:r>
        <w:rPr>
          <w:rFonts w:ascii="Arial" w:cs="Arial" w:eastAsia="Arial" w:hAnsi="Arial"/>
          <w:sz w:val="18"/>
          <w:szCs w:val="18"/>
          <w:color w:val="auto"/>
        </w:rPr>
        <w:t>This SEVERANCE AGREEMENT by and between CRACKER BARREL OLD COUNTRY STORE, Inc., a Tennessee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is dated as of _________________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252" w:lineRule="exact"/>
        <w:rPr>
          <w:sz w:val="20"/>
          <w:szCs w:val="20"/>
          <w:color w:val="auto"/>
        </w:rPr>
      </w:pPr>
    </w:p>
    <w:p>
      <w:pPr>
        <w:jc w:val="both"/>
        <w:ind w:firstLine="662"/>
        <w:spacing w:after="0" w:line="264" w:lineRule="auto"/>
        <w:rPr>
          <w:sz w:val="20"/>
          <w:szCs w:val="20"/>
          <w:color w:val="auto"/>
        </w:rPr>
      </w:pPr>
      <w:r>
        <w:rPr>
          <w:rFonts w:ascii="Arial" w:cs="Arial" w:eastAsia="Arial" w:hAnsi="Arial"/>
          <w:sz w:val="18"/>
          <w:szCs w:val="18"/>
          <w:color w:val="auto"/>
        </w:rPr>
        <w:t>WHEREAS, the Company wishes to attract and retain well-qualified executives and key personnel and to ensure their continuing commitment to the Company and energetic focus on continually improving its business operations by providing certain benefits if their employment with the Company is terminated in certain circumstances, as set forth herein;</w:t>
      </w:r>
    </w:p>
    <w:p>
      <w:pPr>
        <w:spacing w:after="0" w:line="208" w:lineRule="exact"/>
        <w:rPr>
          <w:sz w:val="20"/>
          <w:szCs w:val="20"/>
          <w:color w:val="auto"/>
        </w:rPr>
      </w:pPr>
    </w:p>
    <w:p>
      <w:pPr>
        <w:jc w:val="both"/>
        <w:ind w:firstLine="662"/>
        <w:spacing w:after="0" w:line="277" w:lineRule="auto"/>
        <w:rPr>
          <w:sz w:val="20"/>
          <w:szCs w:val="20"/>
          <w:color w:val="auto"/>
        </w:rPr>
      </w:pPr>
      <w:r>
        <w:rPr>
          <w:rFonts w:ascii="Arial" w:cs="Arial" w:eastAsia="Arial" w:hAnsi="Arial"/>
          <w:sz w:val="18"/>
          <w:szCs w:val="18"/>
          <w:color w:val="auto"/>
        </w:rPr>
        <w:t>WHEREAS, to achieve these purposes,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and “</w:t>
      </w:r>
      <w:r>
        <w:rPr>
          <w:rFonts w:ascii="Arial" w:cs="Arial" w:eastAsia="Arial" w:hAnsi="Arial"/>
          <w:sz w:val="18"/>
          <w:szCs w:val="18"/>
          <w:u w:val="single" w:color="auto"/>
          <w:color w:val="auto"/>
        </w:rPr>
        <w:t>Board</w:t>
      </w:r>
      <w:r>
        <w:rPr>
          <w:rFonts w:ascii="Arial" w:cs="Arial" w:eastAsia="Arial" w:hAnsi="Arial"/>
          <w:sz w:val="18"/>
          <w:szCs w:val="18"/>
          <w:color w:val="auto"/>
        </w:rPr>
        <w:t>”, respectively) has approved this Agreement as being in the best interests of the Company and its shareholders.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mutually agreed as follows:</w:t>
      </w:r>
    </w:p>
    <w:p>
      <w:pPr>
        <w:spacing w:after="0" w:line="252" w:lineRule="exact"/>
        <w:rPr>
          <w:sz w:val="20"/>
          <w:szCs w:val="20"/>
          <w:color w:val="auto"/>
        </w:rPr>
      </w:pPr>
    </w:p>
    <w:p>
      <w:pPr>
        <w:jc w:val="both"/>
        <w:ind w:firstLine="656"/>
        <w:spacing w:after="0" w:line="279" w:lineRule="auto"/>
        <w:tabs>
          <w:tab w:leader="none" w:pos="142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Operation and Term of Agreement</w:t>
      </w:r>
      <w:r>
        <w:rPr>
          <w:rFonts w:ascii="Arial" w:cs="Arial" w:eastAsia="Arial" w:hAnsi="Arial"/>
          <w:sz w:val="17"/>
          <w:szCs w:val="17"/>
          <w:color w:val="auto"/>
        </w:rPr>
        <w:t>. This Agreement shall have an initial term of three (3) years following the Effective Date, after which this Agreement shall automatically renew for successive one (1)-year subsequent terms unless the Company notifies Executive of its intention not to renew this Agreement at least ninety (90) days prior to the end of the initial term or any subsequent term (the “</w:t>
      </w:r>
      <w:r>
        <w:rPr>
          <w:rFonts w:ascii="Arial" w:cs="Arial" w:eastAsia="Arial" w:hAnsi="Arial"/>
          <w:sz w:val="17"/>
          <w:szCs w:val="17"/>
          <w:u w:val="single" w:color="auto"/>
          <w:color w:val="auto"/>
        </w:rPr>
        <w:t>Term</w:t>
      </w:r>
      <w:r>
        <w:rPr>
          <w:rFonts w:ascii="Arial" w:cs="Arial" w:eastAsia="Arial" w:hAnsi="Arial"/>
          <w:sz w:val="17"/>
          <w:szCs w:val="17"/>
          <w:color w:val="auto"/>
        </w:rPr>
        <w:t>”). Following a termination of this Agreement in accordance with this Section 1, this Agreement shall thereafter be null and void and of no further effect.</w:t>
      </w:r>
    </w:p>
    <w:p>
      <w:pPr>
        <w:spacing w:after="0" w:line="198" w:lineRule="exact"/>
        <w:rPr>
          <w:rFonts w:ascii="Arial" w:cs="Arial" w:eastAsia="Arial" w:hAnsi="Arial"/>
          <w:sz w:val="17"/>
          <w:szCs w:val="17"/>
          <w:color w:val="auto"/>
        </w:rPr>
      </w:pPr>
    </w:p>
    <w:p>
      <w:pPr>
        <w:ind w:left="1380" w:hanging="710"/>
        <w:spacing w:after="0"/>
        <w:tabs>
          <w:tab w:leader="none" w:pos="138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318"/>
        <w:spacing w:after="0" w:line="302" w:lineRule="auto"/>
        <w:tabs>
          <w:tab w:leader="none" w:pos="2388" w:val="left"/>
        </w:tabs>
        <w:numPr>
          <w:ilvl w:val="2"/>
          <w:numId w:val="24"/>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Executive and the Company acknowledge that, except as may otherwise be provided under any other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between Executive and the Company, the employment of Executive by the Company is “at will.” The Company may, at any time and in its sole discretion, terminate Executive’s employment, and thereby this Agreement, with Cause or without Cause, and Executive may, at any time and in Executive’s sole discretion, resign from Executive’s employment with the Company, and thereby this Agreement (any such date of termination,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208" w:lineRule="exact"/>
        <w:rPr>
          <w:rFonts w:ascii="Arial" w:cs="Arial" w:eastAsia="Arial" w:hAnsi="Arial"/>
          <w:sz w:val="16"/>
          <w:szCs w:val="16"/>
          <w:color w:val="auto"/>
        </w:rPr>
      </w:pPr>
    </w:p>
    <w:p>
      <w:pPr>
        <w:ind w:left="2060" w:hanging="742"/>
        <w:spacing w:after="0"/>
        <w:tabs>
          <w:tab w:leader="none" w:pos="2060"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Termination by the Company for Cause or by Executive Without Good Reason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jc w:val="both"/>
        <w:ind w:firstLine="1953"/>
        <w:spacing w:after="0" w:line="287" w:lineRule="auto"/>
        <w:tabs>
          <w:tab w:leader="none" w:pos="279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During the Term, if Executive’s employment with the Company shall be terminated either by the Company with Cause or by Executive without Good Reason (as hereinafter defined), the Company shall pay to Executive (A) any unpaid Base Salary earned through the Termination Date in a cash lump sum within ten (10) days of the Termination Date, (B) any compensation previously deferred by Executive (together with any accrued interest or earnings thereon) at the times provided in the applicable plans under which the deferral was made, to the extent not paid as of the Termination Date, (C) accrued and unpaid vacation in a cash lump sum within ten (10) days of the Termination Date, and any expense reimbursement due to Executive as provided in the applicable reimbursement policies of the Company to the extent not previously paid, (D) at such time as it would have been paid if Executive had not been terminated, any cash incentive compensation earned as of the Termination Date in respect of the prior fiscal year which has not been paid as of the Termination Date, and (E) to the extent not theretofore paid or provided, any other accrued amounts or accrued benefits required to be paid or provided or which Executive is eligible to receive under any plan, program, policy, practice, contract or agreement of the Company at the times provided under the applicable plan, program, policy, practice, contract or agreement of the Company (collectively items (A) to (E), the “</w:t>
      </w:r>
      <w:r>
        <w:rPr>
          <w:rFonts w:ascii="Arial" w:cs="Arial" w:eastAsia="Arial" w:hAnsi="Arial"/>
          <w:sz w:val="16"/>
          <w:szCs w:val="16"/>
          <w:u w:val="single" w:color="auto"/>
          <w:color w:val="auto"/>
        </w:rPr>
        <w:t>Accrued Amounts</w:t>
      </w:r>
      <w:r>
        <w:rPr>
          <w:rFonts w:ascii="Arial" w:cs="Arial" w:eastAsia="Arial" w:hAnsi="Arial"/>
          <w:sz w:val="16"/>
          <w:szCs w:val="16"/>
          <w:color w:val="auto"/>
        </w:rPr>
        <w:t>”), and the Company shall not have any further obligations to Executive under this Agreement except those required to be provided by law.</w:t>
      </w:r>
    </w:p>
    <w:p>
      <w:pPr>
        <w:spacing w:after="0" w:line="226" w:lineRule="exact"/>
        <w:rPr>
          <w:rFonts w:ascii="Arial" w:cs="Arial" w:eastAsia="Arial" w:hAnsi="Arial"/>
          <w:sz w:val="16"/>
          <w:szCs w:val="16"/>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any one of the following:</w:t>
      </w:r>
    </w:p>
    <w:p>
      <w:pPr>
        <w:spacing w:after="0" w:line="252" w:lineRule="exact"/>
        <w:rPr>
          <w:rFonts w:ascii="Arial" w:cs="Arial" w:eastAsia="Arial" w:hAnsi="Arial"/>
          <w:sz w:val="18"/>
          <w:szCs w:val="18"/>
          <w:color w:val="auto"/>
        </w:rPr>
      </w:pPr>
    </w:p>
    <w:p>
      <w:pPr>
        <w:ind w:left="3440" w:hanging="839"/>
        <w:spacing w:after="0"/>
        <w:tabs>
          <w:tab w:leader="none" w:pos="3440" w:val="left"/>
        </w:tabs>
        <w:numPr>
          <w:ilvl w:val="2"/>
          <w:numId w:val="25"/>
        </w:numPr>
        <w:rPr>
          <w:rFonts w:ascii="Arial" w:cs="Arial" w:eastAsia="Arial" w:hAnsi="Arial"/>
          <w:sz w:val="16"/>
          <w:szCs w:val="16"/>
          <w:color w:val="auto"/>
        </w:rPr>
      </w:pPr>
      <w:r>
        <w:rPr>
          <w:rFonts w:ascii="Arial" w:cs="Arial" w:eastAsia="Arial" w:hAnsi="Arial"/>
          <w:sz w:val="16"/>
          <w:szCs w:val="16"/>
          <w:color w:val="auto"/>
        </w:rPr>
        <w:t>Executive’s personal dishonesty or willful misconduct in connection with any material aspect of Executive’s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duties to the Company;</w:t>
      </w:r>
    </w:p>
    <w:p>
      <w:pPr>
        <w:spacing w:after="0" w:line="264" w:lineRule="exact"/>
        <w:rPr>
          <w:rFonts w:ascii="Arial" w:cs="Arial" w:eastAsia="Arial" w:hAnsi="Arial"/>
          <w:sz w:val="16"/>
          <w:szCs w:val="16"/>
          <w:color w:val="auto"/>
        </w:rPr>
      </w:pPr>
    </w:p>
    <w:p>
      <w:pPr>
        <w:ind w:left="3380" w:hanging="779"/>
        <w:spacing w:after="0"/>
        <w:tabs>
          <w:tab w:leader="none" w:pos="33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breach of fiduciary duty by Executive;</w:t>
      </w:r>
    </w:p>
    <w:p>
      <w:pPr>
        <w:spacing w:after="0" w:line="279" w:lineRule="exact"/>
        <w:rPr>
          <w:rFonts w:ascii="Arial" w:cs="Arial" w:eastAsia="Arial" w:hAnsi="Arial"/>
          <w:sz w:val="18"/>
          <w:szCs w:val="18"/>
          <w:color w:val="auto"/>
        </w:rPr>
      </w:pPr>
    </w:p>
    <w:p>
      <w:pPr>
        <w:ind w:left="3440" w:hanging="839"/>
        <w:spacing w:after="0"/>
        <w:tabs>
          <w:tab w:leader="none" w:pos="3440" w:val="left"/>
        </w:tabs>
        <w:numPr>
          <w:ilvl w:val="2"/>
          <w:numId w:val="25"/>
        </w:numPr>
        <w:rPr>
          <w:rFonts w:ascii="Arial" w:cs="Arial" w:eastAsia="Arial" w:hAnsi="Arial"/>
          <w:sz w:val="17"/>
          <w:szCs w:val="17"/>
          <w:color w:val="auto"/>
        </w:rPr>
      </w:pPr>
      <w:r>
        <w:rPr>
          <w:rFonts w:ascii="Arial" w:cs="Arial" w:eastAsia="Arial" w:hAnsi="Arial"/>
          <w:sz w:val="17"/>
          <w:szCs w:val="17"/>
          <w:color w:val="auto"/>
        </w:rPr>
        <w:t>Executive’s conviction for, or pleading guilty or no contest to, any felony or crime involving moral turpitude;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or</w:t>
      </w:r>
    </w:p>
    <w:p>
      <w:pPr>
        <w:spacing w:after="0" w:line="237" w:lineRule="exact"/>
        <w:rPr>
          <w:rFonts w:ascii="Arial" w:cs="Arial" w:eastAsia="Arial" w:hAnsi="Arial"/>
          <w:sz w:val="17"/>
          <w:szCs w:val="17"/>
          <w:color w:val="auto"/>
        </w:rPr>
      </w:pPr>
    </w:p>
    <w:p>
      <w:pPr>
        <w:ind w:right="20" w:firstLine="2601"/>
        <w:spacing w:after="0" w:line="277" w:lineRule="auto"/>
        <w:tabs>
          <w:tab w:leader="none" w:pos="341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Executive’s willful or intentional misconduct that causes (or is reasonably believed by the Company to have caused) material and demonstrable injury, monetarily or otherwise, to the Company.</w:t>
      </w:r>
    </w:p>
    <w:p>
      <w:pPr>
        <w:spacing w:after="0" w:line="190" w:lineRule="exact"/>
        <w:rPr>
          <w:rFonts w:ascii="Arial" w:cs="Arial" w:eastAsia="Arial" w:hAnsi="Arial"/>
          <w:sz w:val="18"/>
          <w:szCs w:val="18"/>
          <w:color w:val="auto"/>
        </w:rPr>
      </w:pPr>
    </w:p>
    <w:p>
      <w:pPr>
        <w:ind w:left="2120" w:hanging="802"/>
        <w:spacing w:after="0"/>
        <w:tabs>
          <w:tab w:leader="none" w:pos="2120" w:val="left"/>
        </w:tabs>
        <w:numPr>
          <w:ilvl w:val="0"/>
          <w:numId w:val="26"/>
        </w:numPr>
        <w:rPr>
          <w:rFonts w:ascii="Arial" w:cs="Arial" w:eastAsia="Arial" w:hAnsi="Arial"/>
          <w:sz w:val="18"/>
          <w:szCs w:val="18"/>
          <w:color w:val="auto"/>
        </w:rPr>
      </w:pPr>
      <w:r>
        <w:rPr>
          <w:rFonts w:ascii="Arial" w:cs="Arial" w:eastAsia="Arial" w:hAnsi="Arial"/>
          <w:sz w:val="22"/>
          <w:szCs w:val="22"/>
          <w:i w:val="1"/>
          <w:iCs w:val="1"/>
          <w:color w:val="auto"/>
        </w:rPr>
        <w:t>Q</w:t>
      </w:r>
      <w:r>
        <w:rPr>
          <w:rFonts w:ascii="Arial" w:cs="Arial" w:eastAsia="Arial" w:hAnsi="Arial"/>
          <w:sz w:val="18"/>
          <w:szCs w:val="18"/>
          <w:i w:val="1"/>
          <w:iCs w:val="1"/>
          <w:color w:val="auto"/>
        </w:rPr>
        <w:t>ualifying Terminations</w:t>
      </w:r>
      <w:r>
        <w:rPr>
          <w:rFonts w:ascii="Arial" w:cs="Arial" w:eastAsia="Arial" w:hAnsi="Arial"/>
          <w:sz w:val="18"/>
          <w:szCs w:val="18"/>
          <w:color w:val="auto"/>
        </w:rPr>
        <w:t>.</w:t>
      </w:r>
    </w:p>
    <w:p>
      <w:pPr>
        <w:spacing w:after="0" w:line="267" w:lineRule="exact"/>
        <w:rPr>
          <w:rFonts w:ascii="Arial" w:cs="Arial" w:eastAsia="Arial" w:hAnsi="Arial"/>
          <w:sz w:val="18"/>
          <w:szCs w:val="18"/>
          <w:color w:val="auto"/>
        </w:rPr>
      </w:pPr>
    </w:p>
    <w:p>
      <w:pPr>
        <w:jc w:val="both"/>
        <w:ind w:firstLine="1953"/>
        <w:spacing w:after="0" w:line="264" w:lineRule="auto"/>
        <w:tabs>
          <w:tab w:leader="none" w:pos="28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shall mean termination by the Company of the employment of Executive with the Company for any reason other than death, Disability or Cause, or resignation by Executive upon the occurrence of any of the following events (each an event of “</w:t>
      </w:r>
      <w:r>
        <w:rPr>
          <w:rFonts w:ascii="Arial" w:cs="Arial" w:eastAsia="Arial" w:hAnsi="Arial"/>
          <w:sz w:val="18"/>
          <w:szCs w:val="18"/>
          <w:u w:val="single" w:color="auto"/>
          <w:color w:val="auto"/>
        </w:rPr>
        <w:t>Good Reason</w:t>
      </w:r>
      <w:r>
        <w:rPr>
          <w:rFonts w:ascii="Arial" w:cs="Arial" w:eastAsia="Arial" w:hAnsi="Arial"/>
          <w:sz w:val="18"/>
          <w:szCs w:val="18"/>
          <w:color w:val="auto"/>
        </w:rPr>
        <w:t>”):</w:t>
      </w:r>
    </w:p>
    <w:p>
      <w:pPr>
        <w:spacing w:after="0" w:line="235" w:lineRule="exact"/>
        <w:rPr>
          <w:sz w:val="20"/>
          <w:szCs w:val="20"/>
          <w:color w:val="auto"/>
        </w:rPr>
      </w:pPr>
    </w:p>
    <w:p>
      <w:pPr>
        <w:jc w:val="both"/>
        <w:ind w:firstLine="1953"/>
        <w:spacing w:after="0" w:line="276" w:lineRule="auto"/>
        <w:tabs>
          <w:tab w:leader="none" w:pos="2802"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other than Executive’s removal for Cause pursuant to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without the prior written consent of Executive, the assignment to Executive of any duties inconsistent in any material respect with Executive’s position (including status, offices, titles and reporting requirements), authority, duties or responsibilities, or any other action by the Company which results in a demonstrable diminution in such position, authority, duties or responsibilities;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isolated, insubstantial and inadvertent action not taken in bad faith, which is remedied by the Company promptly after receipt of written notice thereof given by Executive, shall not constitute “Good Reason”;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6" w:name="page37"/>
    <w:bookmarkEnd w:id="36"/>
    <w:p>
      <w:pPr>
        <w:jc w:val="both"/>
        <w:ind w:firstLine="2601"/>
        <w:spacing w:after="0" w:line="259" w:lineRule="auto"/>
        <w:tabs>
          <w:tab w:leader="none" w:pos="33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reduction by the Company by an amount of five percent (5%) or more of Executive’s Base Salary as in effect on the Effective Date or as the same may be increased from time to time, unless such reduction is a part of an across-the-board proportional decrease in base salaries affecting all senior executive officers of the Company (the “</w:t>
      </w:r>
      <w:r>
        <w:rPr>
          <w:rFonts w:ascii="Arial" w:cs="Arial" w:eastAsia="Arial" w:hAnsi="Arial"/>
          <w:sz w:val="18"/>
          <w:szCs w:val="18"/>
          <w:u w:val="single" w:color="auto"/>
          <w:color w:val="auto"/>
        </w:rPr>
        <w:t>Peer Executives</w:t>
      </w:r>
      <w:r>
        <w:rPr>
          <w:rFonts w:ascii="Arial" w:cs="Arial" w:eastAsia="Arial" w:hAnsi="Arial"/>
          <w:sz w:val="18"/>
          <w:szCs w:val="18"/>
          <w:color w:val="auto"/>
        </w:rPr>
        <w:t>”), which reduction is approved by the Compensation Committee of the Company’s Board of Directors (the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2601"/>
        <w:spacing w:after="0" w:line="302" w:lineRule="auto"/>
        <w:tabs>
          <w:tab w:leader="none" w:pos="3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reduction by the Company by an amount of five percent (5%) or more of Executive’s (1) annual target bonus percentage to which Executive is entitled or (2) target percentage under any long-term incentive plan established by the Company to which Executive is entitled, unless, in either case (1) or (2), such reduction is a part of an across-the-board proportional decrease in annual target bonus percentages or target percentages under any equity plan of the Company affecting all other Peer Executives, which reduction is approved by the Committee;</w:t>
      </w:r>
    </w:p>
    <w:p>
      <w:pPr>
        <w:spacing w:after="0" w:line="208" w:lineRule="exact"/>
        <w:rPr>
          <w:rFonts w:ascii="Arial" w:cs="Arial" w:eastAsia="Arial" w:hAnsi="Arial"/>
          <w:sz w:val="16"/>
          <w:szCs w:val="16"/>
          <w:color w:val="auto"/>
        </w:rPr>
      </w:pPr>
    </w:p>
    <w:p>
      <w:pPr>
        <w:jc w:val="both"/>
        <w:ind w:firstLine="2601"/>
        <w:spacing w:after="0" w:line="291" w:lineRule="auto"/>
        <w:tabs>
          <w:tab w:leader="none" w:pos="33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 reduction by the Company of benefits under (1) a “pension plan or arrangement” or (2) a “compensation plan or arrangement”, in each case in which Executive participates as of the Effective Date, or the elimination of Executive’s participation in any such plan or arrangement which reduction or elimination results in a reduction, in the aggregate, of the benefits provided thereunder, taking into account any replacement plan or arrangement or other additional compensation provided to Executive in connection with or following such reduction or elimination (except for immaterial reductions or across-the-board plan changes or terminations similarly affecting other Peer Executives);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in the event of any such changes or terminations, the Company shall timely pay or provide to Executive any accrued amounts or accrued benefits required to be paid or provided or which Executive is eligible to receive under any such plan or arrangement in accordance with the terms of such plan or arrangement; or</w:t>
      </w:r>
    </w:p>
    <w:p>
      <w:pPr>
        <w:spacing w:after="0" w:line="221" w:lineRule="exact"/>
        <w:rPr>
          <w:rFonts w:ascii="Arial" w:cs="Arial" w:eastAsia="Arial" w:hAnsi="Arial"/>
          <w:sz w:val="16"/>
          <w:szCs w:val="16"/>
          <w:color w:val="auto"/>
        </w:rPr>
      </w:pPr>
    </w:p>
    <w:p>
      <w:pPr>
        <w:ind w:right="20" w:firstLine="2601"/>
        <w:spacing w:after="0" w:line="277" w:lineRule="auto"/>
        <w:tabs>
          <w:tab w:leader="none" w:pos="34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requiring Executive, without Executive’s consent, to be based at any office or location more than 50 miles from the Company’s current headquarters in Lebanon, Tennessee; or</w:t>
      </w:r>
    </w:p>
    <w:p>
      <w:pPr>
        <w:spacing w:after="0" w:line="224" w:lineRule="exact"/>
        <w:rPr>
          <w:rFonts w:ascii="Arial" w:cs="Arial" w:eastAsia="Arial" w:hAnsi="Arial"/>
          <w:sz w:val="18"/>
          <w:szCs w:val="18"/>
          <w:color w:val="auto"/>
        </w:rPr>
      </w:pPr>
    </w:p>
    <w:p>
      <w:pPr>
        <w:ind w:left="3460" w:hanging="859"/>
        <w:spacing w:after="0"/>
        <w:tabs>
          <w:tab w:leader="none" w:pos="3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failure of any successor to the Company to assume this Agreement or a material breach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Company or its successors;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(x) within forty-five (45) days of the initial occurrence of the specified event Executive has given the Company written notice giving the Company at least thirty (30) days to cure the Good Reason event, (y) the Company has not cured the Good Reason event within the thirty-(30) day cure period and (z) Executive resigns within ten (10) days from the expiration of the thirty-(30) day cure period.</w:t>
      </w:r>
    </w:p>
    <w:p>
      <w:pPr>
        <w:spacing w:after="0" w:line="235" w:lineRule="exact"/>
        <w:rPr>
          <w:sz w:val="20"/>
          <w:szCs w:val="20"/>
          <w:color w:val="auto"/>
        </w:rPr>
      </w:pPr>
    </w:p>
    <w:p>
      <w:pPr>
        <w:ind w:left="3060" w:hanging="1107"/>
        <w:spacing w:after="0"/>
        <w:tabs>
          <w:tab w:leader="none" w:pos="3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Term, if Executive’s employment with the Company shall be terminated as a result of a Qualifying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265" w:lineRule="exact"/>
        <w:rPr>
          <w:sz w:val="20"/>
          <w:szCs w:val="20"/>
          <w:color w:val="auto"/>
        </w:rPr>
      </w:pPr>
    </w:p>
    <w:p>
      <w:pPr>
        <w:ind w:left="3400" w:hanging="799"/>
        <w:spacing w:after="0"/>
        <w:tabs>
          <w:tab w:leader="none" w:pos="3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pay to Executive the Accrued Amounts;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7" w:name="page38"/>
    <w:bookmarkEnd w:id="37"/>
    <w:p>
      <w:pPr>
        <w:jc w:val="both"/>
        <w:ind w:firstLine="2601"/>
        <w:spacing w:after="0" w:line="245" w:lineRule="auto"/>
        <w:tabs>
          <w:tab w:leader="none" w:pos="3562"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so long as Executive complies with </w:t>
      </w:r>
      <w:r>
        <w:rPr>
          <w:rFonts w:ascii="Arial" w:cs="Arial" w:eastAsia="Arial" w:hAnsi="Arial"/>
          <w:sz w:val="17"/>
          <w:szCs w:val="17"/>
          <w:u w:val="single" w:color="auto"/>
          <w:color w:val="auto"/>
        </w:rPr>
        <w:t>Sections 2(c)(iv)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of this Agreement, the Company shall pay to Executive severance pay in an amount determined in accordance with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payable in equal installments, in accordance with the Company’s regular payroll policies then in effect, for the duration of the period set forth in Exhibit A (the “</w:t>
      </w:r>
      <w:r>
        <w:rPr>
          <w:rFonts w:ascii="Arial" w:cs="Arial" w:eastAsia="Arial" w:hAnsi="Arial"/>
          <w:sz w:val="17"/>
          <w:szCs w:val="17"/>
          <w:u w:val="single" w:color="auto"/>
          <w:color w:val="auto"/>
        </w:rPr>
        <w:t>Severance Payment Period</w:t>
      </w:r>
      <w:r>
        <w:rPr>
          <w:rFonts w:ascii="Arial" w:cs="Arial" w:eastAsia="Arial" w:hAnsi="Arial"/>
          <w:sz w:val="17"/>
          <w:szCs w:val="17"/>
          <w:color w:val="auto"/>
        </w:rPr>
        <w:t>”), which payments shall commence on the first payroll period (the “</w:t>
      </w:r>
      <w:r>
        <w:rPr>
          <w:rFonts w:ascii="Arial" w:cs="Arial" w:eastAsia="Arial" w:hAnsi="Arial"/>
          <w:sz w:val="17"/>
          <w:szCs w:val="17"/>
          <w:u w:val="single" w:color="auto"/>
          <w:color w:val="auto"/>
        </w:rPr>
        <w:t>Initial Payment</w:t>
      </w:r>
      <w:r>
        <w:rPr>
          <w:rFonts w:ascii="Arial" w:cs="Arial" w:eastAsia="Arial" w:hAnsi="Arial"/>
          <w:sz w:val="17"/>
          <w:szCs w:val="17"/>
          <w:color w:val="auto"/>
        </w:rPr>
        <w:t>”) occurring on or after the 60th day (but no later than the earlier of March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calendar year, or the 90th day) following the Termination Date (the “</w:t>
      </w:r>
      <w:r>
        <w:rPr>
          <w:rFonts w:ascii="Arial" w:cs="Arial" w:eastAsia="Arial" w:hAnsi="Arial"/>
          <w:sz w:val="17"/>
          <w:szCs w:val="17"/>
          <w:u w:val="single" w:color="auto"/>
          <w:color w:val="auto"/>
        </w:rPr>
        <w:t>Severance Delay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the Initial Payment shall include payment for any payroll periods which occur during the Severance Delay Period, and the remaining payments shall continue for the remainder of the Severance Payment Period and on the same terms and with the same frequency as Executive’s annual salary was paid prior to such termination; and</w:t>
      </w:r>
    </w:p>
    <w:p>
      <w:pPr>
        <w:spacing w:after="0" w:line="256" w:lineRule="exact"/>
        <w:rPr>
          <w:rFonts w:ascii="Arial" w:cs="Arial" w:eastAsia="Arial" w:hAnsi="Arial"/>
          <w:sz w:val="17"/>
          <w:szCs w:val="17"/>
          <w:color w:val="auto"/>
        </w:rPr>
      </w:pPr>
    </w:p>
    <w:p>
      <w:pPr>
        <w:jc w:val="both"/>
        <w:ind w:firstLine="2601"/>
        <w:spacing w:after="0" w:line="259" w:lineRule="auto"/>
        <w:tabs>
          <w:tab w:leader="none" w:pos="34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employee benefits and benefit accruals will cease as of the Termination Date. However, medical insurance benefits may be continued (at Executive’s sole expense) to the extent required by federal law. To the extent Executive may have other benefit conversion or withdrawal rights arising under other Company sponsored retirement or welfare benefit plan as a result of the termination of Executive’s employment, such benefits and rights shall be governed by the terms of such plans.</w:t>
      </w:r>
    </w:p>
    <w:p>
      <w:pPr>
        <w:spacing w:after="0" w:line="240" w:lineRule="exact"/>
        <w:rPr>
          <w:rFonts w:ascii="Arial" w:cs="Arial" w:eastAsia="Arial" w:hAnsi="Arial"/>
          <w:sz w:val="18"/>
          <w:szCs w:val="18"/>
          <w:color w:val="auto"/>
        </w:rPr>
      </w:pPr>
    </w:p>
    <w:p>
      <w:pPr>
        <w:jc w:val="both"/>
        <w:ind w:firstLine="1953"/>
        <w:spacing w:after="0" w:line="276" w:lineRule="auto"/>
        <w:tabs>
          <w:tab w:leader="none" w:pos="27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Payments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be in lieu of any other severance benefits that Executive may be eligible to receive under the Company’s or any of the Company’s Affiliates’ benefit plans or programs. Nothing in this Agreement shall affect or limit Executive’s right to receive (i) payment of any compensation or the issuance of any securities which Executive deferred under any deferred compensation plan of the Company, or (ii) any amounts due or belonging to Executive under any retirement program, employee stock purchase plan, or 401(k) plan, each of which shall be subject to the terms of such arrangements, including any deferral elections made thereunder.</w:t>
      </w:r>
    </w:p>
    <w:p>
      <w:pPr>
        <w:spacing w:after="0" w:line="226" w:lineRule="exact"/>
        <w:rPr>
          <w:rFonts w:ascii="Arial" w:cs="Arial" w:eastAsia="Arial" w:hAnsi="Arial"/>
          <w:sz w:val="17"/>
          <w:szCs w:val="17"/>
          <w:color w:val="auto"/>
        </w:rPr>
      </w:pPr>
    </w:p>
    <w:p>
      <w:pPr>
        <w:jc w:val="both"/>
        <w:ind w:firstLine="1953"/>
        <w:spacing w:after="0" w:line="253" w:lineRule="auto"/>
        <w:tabs>
          <w:tab w:leader="none" w:pos="28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payments provided for in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Executive agrees to sign and deliver to the Company a release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delivered to Executive within five (5) business days of the Termination Date, which must become effective prior to the end of the Severance Delay Period, or else Executive shall forfeit all rights to any severance benefits under this Agreement hereunder and the Company shall be under no obligation to make any payments to Executive pursuant hereto. THE EXECUTIVE UNDERSTANDS, ACKNOWLEDGES AND AGREES THAT THE RIGHT TO OBTAIN THE SEVERANCE BENEFITS AND THE BENEFITS PROVIDED BY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IS ADEQUATE CONSIDERATION FOR THE RELEASE OF CLAIMS REQUIRED BY THIS </w:t>
      </w:r>
      <w:r>
        <w:rPr>
          <w:rFonts w:ascii="Arial" w:cs="Arial" w:eastAsia="Arial" w:hAnsi="Arial"/>
          <w:sz w:val="18"/>
          <w:szCs w:val="18"/>
          <w:u w:val="single" w:color="auto"/>
          <w:color w:val="auto"/>
        </w:rPr>
        <w:t>SECTION 2(c)(iv)</w:t>
      </w:r>
      <w:r>
        <w:rPr>
          <w:rFonts w:ascii="Arial" w:cs="Arial" w:eastAsia="Arial" w:hAnsi="Arial"/>
          <w:sz w:val="18"/>
          <w:szCs w:val="18"/>
          <w:color w:val="auto"/>
        </w:rPr>
        <w:t xml:space="preserve"> AND THAT THE EXECUTED AND UNREVOKED RELEASE WILL CONTINUE IN FULL FORCE AND EFFECT EVEN IF THE EXECUTIVE DOES NOT RECEIVE SOME OR ALL OF THE SEVERANCE BENEFITS AS A RESULT OF ANY FAILURE BY THE EXECUTIVE TO COMPLY WITH THE EXECUTIVE’S OTHER OBLIGATIONS UNDER THIS AGREEMENT, INCLUDING BUT NOT LIMITED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THE PROVISIONS OF THIS </w:t>
      </w:r>
      <w:r>
        <w:rPr>
          <w:rFonts w:ascii="Arial" w:cs="Arial" w:eastAsia="Arial" w:hAnsi="Arial"/>
          <w:sz w:val="18"/>
          <w:szCs w:val="18"/>
          <w:u w:val="single" w:color="auto"/>
          <w:color w:val="auto"/>
        </w:rPr>
        <w:t>SECTION 2(c)(iv)</w:t>
      </w:r>
      <w:r>
        <w:rPr>
          <w:rFonts w:ascii="Arial" w:cs="Arial" w:eastAsia="Arial" w:hAnsi="Arial"/>
          <w:sz w:val="18"/>
          <w:szCs w:val="18"/>
          <w:color w:val="auto"/>
        </w:rPr>
        <w:t xml:space="preserve"> SHALL SURVIVE ANY TERMINATION OF THIS AGREEMENT OR THE EXECUTIVE’S EMPLOYMENT WITH THE COMPANY.</w:t>
      </w:r>
    </w:p>
    <w:p>
      <w:pPr>
        <w:spacing w:after="0" w:line="246" w:lineRule="exact"/>
        <w:rPr>
          <w:rFonts w:ascii="Arial" w:cs="Arial" w:eastAsia="Arial" w:hAnsi="Arial"/>
          <w:sz w:val="18"/>
          <w:szCs w:val="18"/>
          <w:color w:val="auto"/>
        </w:rPr>
      </w:pPr>
    </w:p>
    <w:p>
      <w:pPr>
        <w:ind w:right="20" w:firstLine="1953"/>
        <w:spacing w:after="0" w:line="342" w:lineRule="auto"/>
        <w:tabs>
          <w:tab w:leader="none" w:pos="27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Executive dies during the Severance Payment Period, any benefits remaining to be paid to Executive shall be paid to the beneficiary designated by Executive’s estate to receive those benefits (or in the absence of designation, to Executive’s surviving spouse or next of kin).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8" w:name="page39"/>
    <w:bookmarkEnd w:id="38"/>
    <w:p>
      <w:pPr>
        <w:ind w:left="2060" w:hanging="742"/>
        <w:spacing w:after="0"/>
        <w:tabs>
          <w:tab w:leader="none" w:pos="20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Termination Upon Death or Disability</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953"/>
        <w:spacing w:after="0" w:line="257" w:lineRule="auto"/>
        <w:tabs>
          <w:tab w:leader="none" w:pos="3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Agreement shall terminate immediately upon Executive’s death, and Executive or her beneficiaries shall be entitled to no further payments or benefits hereunder, other than the payment of the Accrued Amounts, including, without limitation, benefits under such plans, programs, practices and policies relating to death benefits, if any, as are applicable to Executive on the date of her death. The rights of Executive’s estate with respect to any outstanding equity grants and any benefit plans shall be determined in accordance with the specific terms, conditions and provisions of the applicable award agreements and benefit plans.</w:t>
      </w:r>
    </w:p>
    <w:p>
      <w:pPr>
        <w:spacing w:after="0" w:line="215" w:lineRule="exact"/>
        <w:rPr>
          <w:rFonts w:ascii="Arial" w:cs="Arial" w:eastAsia="Arial" w:hAnsi="Arial"/>
          <w:sz w:val="18"/>
          <w:szCs w:val="18"/>
          <w:color w:val="auto"/>
        </w:rPr>
      </w:pPr>
    </w:p>
    <w:p>
      <w:pPr>
        <w:jc w:val="both"/>
        <w:ind w:firstLine="1953"/>
        <w:spacing w:after="0" w:line="269" w:lineRule="auto"/>
        <w:tabs>
          <w:tab w:leader="none" w:pos="2808" w:val="left"/>
        </w:tabs>
        <w:numPr>
          <w:ilvl w:val="1"/>
          <w:numId w:val="33"/>
        </w:numPr>
        <w:rPr>
          <w:rFonts w:ascii="Arial" w:cs="Arial" w:eastAsia="Arial" w:hAnsi="Arial"/>
          <w:sz w:val="17"/>
          <w:szCs w:val="17"/>
          <w:color w:val="auto"/>
        </w:rPr>
      </w:pPr>
      <w:r>
        <w:rPr>
          <w:rFonts w:ascii="Arial" w:cs="Arial" w:eastAsia="Arial" w:hAnsi="Arial"/>
          <w:sz w:val="17"/>
          <w:szCs w:val="17"/>
          <w:color w:val="auto"/>
        </w:rPr>
        <w:t>If the Company determines in good faith that the Disability (as defined below) of Executive has occurred during the Term, it may give to Executive written notice of its intention to terminate Executive’s employment. In such event, Executive’s employment with the Company shall terminate effective on the 30th day after receipt of such written notice by Executive (the “</w:t>
      </w:r>
      <w:r>
        <w:rPr>
          <w:rFonts w:ascii="Arial" w:cs="Arial" w:eastAsia="Arial" w:hAnsi="Arial"/>
          <w:sz w:val="17"/>
          <w:szCs w:val="17"/>
          <w:u w:val="single" w:color="auto"/>
          <w:color w:val="auto"/>
        </w:rPr>
        <w:t>Disability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within the 30-day period after such receipt, Executive shall not have returned to full-time performance of Executive’s duties. If Executive’s employment is terminated by reason of Disability, this Agreement shall terminate, and Executive shall be entitled to no further payments or benefits hereunder, other than payment of Accrued Amounts, including, without limitation, benefits under such plans, programs, practices and policies relating to disability benefits, if any, as are applicable to Executive on the Disability Effective Date.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(a) a long-term disability entitling Executive to receive benefits under the Company’s long-term disability plan as then in effect; or (b) if no such plan is then in effect or the plan does not apply to Executive, the inability of Executive, as determined by the Company’s Board of Directors, to perform the essential functions of Executive’s regular duties and responsibilities hereunder, with or without reasonable accommodation, due to a medically determinable physical or mental illness which has lasted (or can reasonably be expected to last) for a period of at least six (6) consecutive months.</w:t>
      </w:r>
    </w:p>
    <w:p>
      <w:pPr>
        <w:spacing w:after="0" w:line="236" w:lineRule="exact"/>
        <w:rPr>
          <w:rFonts w:ascii="Arial" w:cs="Arial" w:eastAsia="Arial" w:hAnsi="Arial"/>
          <w:sz w:val="17"/>
          <w:szCs w:val="17"/>
          <w:color w:val="auto"/>
        </w:rPr>
      </w:pPr>
    </w:p>
    <w:p>
      <w:pPr>
        <w:jc w:val="both"/>
        <w:ind w:firstLine="1318"/>
        <w:spacing w:after="0" w:line="270" w:lineRule="auto"/>
        <w:tabs>
          <w:tab w:leader="none" w:pos="205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Change in Control Agreement. </w:t>
      </w:r>
      <w:r>
        <w:rPr>
          <w:rFonts w:ascii="Arial" w:cs="Arial" w:eastAsia="Arial" w:hAnsi="Arial"/>
          <w:sz w:val="17"/>
          <w:szCs w:val="17"/>
          <w:color w:val="auto"/>
        </w:rPr>
        <w:t>The Company and Executive are parties to that certain Change in Control Agreement of even date</w:t>
      </w:r>
      <w:r>
        <w:rPr>
          <w:rFonts w:ascii="Arial" w:cs="Arial" w:eastAsia="Arial" w:hAnsi="Arial"/>
          <w:sz w:val="17"/>
          <w:szCs w:val="17"/>
          <w:i w:val="1"/>
          <w:iCs w:val="1"/>
          <w:color w:val="auto"/>
        </w:rPr>
        <w:t xml:space="preserve"> </w:t>
      </w:r>
      <w:r>
        <w:rPr>
          <w:rFonts w:ascii="Arial" w:cs="Arial" w:eastAsia="Arial" w:hAnsi="Arial"/>
          <w:sz w:val="17"/>
          <w:szCs w:val="17"/>
          <w:color w:val="auto"/>
        </w:rPr>
        <w:t>herewith (the “</w:t>
      </w:r>
      <w:r>
        <w:rPr>
          <w:rFonts w:ascii="Arial" w:cs="Arial" w:eastAsia="Arial" w:hAnsi="Arial"/>
          <w:sz w:val="17"/>
          <w:szCs w:val="17"/>
          <w:u w:val="single" w:color="auto"/>
          <w:color w:val="auto"/>
        </w:rPr>
        <w:t>CIC Agreement</w:t>
      </w:r>
      <w:r>
        <w:rPr>
          <w:rFonts w:ascii="Arial" w:cs="Arial" w:eastAsia="Arial" w:hAnsi="Arial"/>
          <w:sz w:val="17"/>
          <w:szCs w:val="17"/>
          <w:color w:val="auto"/>
        </w:rPr>
        <w:t>”), which establishes certain obligations of the parties regarding the employment of Executive, as well as termination payments and other benefits to which Executive would be entitled in connection with the termination of Executive’s employment in connection with a Change in Control (as defined in the CIC Agreement), all according to the terms and conditions set forth in the CIC Agreement. The Company and Executive acknowledge and agree that it is the intent of the parties that the CIC Agreement shall take precedence over this Agreement in connection with the matters set forth in the CIC Agreement. Without limiting the foregoing, if Executive is entitled to receive termination payments and other benefits pursuant to the CIC Agreement in connection with the termination of Executive’s employment with the Company in connection with a Change in Control, then Executive shall be entitled to receive such termination payments and other benefits as set forth in the CIC Agreement and not pursuant to this Agreement, and neither party shall argue that the rights of the Company or Executive, nor any severance payments or other benefits to which the Executive may be entitled, pursuant to the CIC Agreement shall be limited or superseded by anything set forth in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39" w:name="page40"/>
    <w:bookmarkEnd w:id="39"/>
    <w:p>
      <w:pPr>
        <w:ind w:firstLine="670"/>
        <w:spacing w:after="0" w:line="342" w:lineRule="auto"/>
        <w:tabs>
          <w:tab w:leader="none" w:pos="140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Obligations of Executive</w:t>
      </w:r>
      <w:r>
        <w:rPr>
          <w:rFonts w:ascii="Arial" w:cs="Arial" w:eastAsia="Arial" w:hAnsi="Arial"/>
          <w:sz w:val="16"/>
          <w:szCs w:val="16"/>
          <w:color w:val="auto"/>
        </w:rPr>
        <w:t>. In consideration for the benefits offered to Executive under this Agreement and in consideration of Executive’s continued employment with the Company as of the date of this Agreement’s execution, Executive hereby agrees to the following terms and conditions:</w:t>
      </w:r>
    </w:p>
    <w:p>
      <w:pPr>
        <w:spacing w:after="0" w:line="177" w:lineRule="exact"/>
        <w:rPr>
          <w:rFonts w:ascii="Arial" w:cs="Arial" w:eastAsia="Arial" w:hAnsi="Arial"/>
          <w:sz w:val="16"/>
          <w:szCs w:val="16"/>
          <w:color w:val="auto"/>
        </w:rPr>
      </w:pPr>
    </w:p>
    <w:p>
      <w:pPr>
        <w:jc w:val="both"/>
        <w:ind w:firstLine="1305"/>
        <w:spacing w:after="0" w:line="290" w:lineRule="auto"/>
        <w:tabs>
          <w:tab w:leader="none" w:pos="2104"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Confidentiality</w:t>
      </w:r>
      <w:r>
        <w:rPr>
          <w:rFonts w:ascii="Arial" w:cs="Arial" w:eastAsia="Arial" w:hAnsi="Arial"/>
          <w:sz w:val="16"/>
          <w:szCs w:val="16"/>
          <w:color w:val="auto"/>
        </w:rPr>
        <w:t>. During Executive’s employment and following any termination of Executive’s employment for whatever reason</w:t>
      </w:r>
      <w:r>
        <w:rPr>
          <w:rFonts w:ascii="Arial" w:cs="Arial" w:eastAsia="Arial" w:hAnsi="Arial"/>
          <w:sz w:val="16"/>
          <w:szCs w:val="16"/>
          <w:i w:val="1"/>
          <w:iCs w:val="1"/>
          <w:color w:val="auto"/>
        </w:rPr>
        <w:t xml:space="preserve"> </w:t>
      </w:r>
      <w:r>
        <w:rPr>
          <w:rFonts w:ascii="Arial" w:cs="Arial" w:eastAsia="Arial" w:hAnsi="Arial"/>
          <w:sz w:val="16"/>
          <w:szCs w:val="16"/>
          <w:color w:val="auto"/>
        </w:rPr>
        <w:t>thereafter, Executive shall strictly maintain the confidentiality of Company marketing, financial, strategic planning, proprietary or other information which is not generally known to the public. Executive acknowledges that, as a result of his/her employment by the Company, Executive has or will become familiar with and acquire knowledge of confidential information and certain trade secrets that are special, unique and extraordinarily valuable assets of the Company. Executive agrees that all such confidential information and trade secrets are the property of the Company and that following the termination of Executive’s employment for any reason, all confidential information and trade secrets shall be considered to be proprietary to the Company and kept as the private records of the Company and will not be divulged to any firm, individual, or institution, or used to the detriment of the Company. None of the foregoing confidentiality obligations are intended to, nor shall they, prohibit Executive from communicating with any governmental agency.</w:t>
      </w:r>
    </w:p>
    <w:p>
      <w:pPr>
        <w:spacing w:after="0" w:line="220" w:lineRule="exact"/>
        <w:rPr>
          <w:rFonts w:ascii="Arial" w:cs="Arial" w:eastAsia="Arial" w:hAnsi="Arial"/>
          <w:sz w:val="16"/>
          <w:szCs w:val="16"/>
          <w:color w:val="auto"/>
        </w:rPr>
      </w:pPr>
    </w:p>
    <w:p>
      <w:pPr>
        <w:jc w:val="both"/>
        <w:ind w:firstLine="1305"/>
        <w:spacing w:after="0" w:line="257" w:lineRule="auto"/>
        <w:tabs>
          <w:tab w:leader="none" w:pos="222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Return of Company Property</w:t>
      </w:r>
      <w:r>
        <w:rPr>
          <w:rFonts w:ascii="Arial" w:cs="Arial" w:eastAsia="Arial" w:hAnsi="Arial"/>
          <w:sz w:val="18"/>
          <w:szCs w:val="18"/>
          <w:color w:val="auto"/>
        </w:rPr>
        <w:t>. Upon termination of Executive’s employment for whatever reason during the Term,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shall return to the Company all Company property then in Executive’s possession or control, in good condition and repair (normal wear and tear excepted) including but not limited to keys, security cards and fobs, credit cards, furniture, equipment, automobiles, computer hardware and software, telephone equipment, and all documents, manuals, plans, equipment, training materials, business papers, personnel files, computer files or copies of the same relating to Company business which are in Executive’s possession or control.</w:t>
      </w:r>
    </w:p>
    <w:p>
      <w:pPr>
        <w:spacing w:after="0" w:line="242" w:lineRule="exact"/>
        <w:rPr>
          <w:rFonts w:ascii="Arial" w:cs="Arial" w:eastAsia="Arial" w:hAnsi="Arial"/>
          <w:sz w:val="18"/>
          <w:szCs w:val="18"/>
          <w:color w:val="auto"/>
        </w:rPr>
      </w:pPr>
    </w:p>
    <w:p>
      <w:pPr>
        <w:jc w:val="both"/>
        <w:ind w:firstLine="1305"/>
        <w:spacing w:after="0" w:line="287" w:lineRule="auto"/>
        <w:tabs>
          <w:tab w:leader="none" w:pos="2117"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Non-Compete</w:t>
      </w:r>
      <w:r>
        <w:rPr>
          <w:rFonts w:ascii="Arial" w:cs="Arial" w:eastAsia="Arial" w:hAnsi="Arial"/>
          <w:sz w:val="16"/>
          <w:szCs w:val="16"/>
          <w:color w:val="auto"/>
        </w:rPr>
        <w:t>. During Executive’s employment and for the shorter of (i) six months or (ii) the length of the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following any termination of Executive’s employment for whatever reason during the Term, Executive shall not directly or indirectly own any interest in, manage, control, participate in, consult with, render services for, be employed in an executive, managerial or administrative capacity by, or in any manner engage in, any business within the United States that is engaging in the multi-unit restaurant business that offers full service family dining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Business</w:t>
      </w:r>
      <w:r>
        <w:rPr>
          <w:rFonts w:ascii="Arial" w:cs="Arial" w:eastAsia="Arial" w:hAnsi="Arial"/>
          <w:sz w:val="16"/>
          <w:szCs w:val="16"/>
          <w:color w:val="auto"/>
        </w:rPr>
        <w:t>”). Executive acknowledges that during the course of Executive’s employment with the Company, as a result of Executive’s position within the Company, Executive has and will become familiar with the Company’s trade secrets, personnel and other confidential information concerning the Company at a very high level and that Executive’s services have been and shall continue to be of special, unique, and extraordinary value to the Company. Nothing herein shall prohibit Executive from (i) being a passive owner of not more than 2% of the outstanding stock of any class of a corporation that is publicly traded, so long as Executive has no active participation in the business of such corporation; or (ii) becoming employed, engaged, associated or otherwise participating with a separately managed division or subsidiary of a competitive business that does not engage in the Restricted Business (provided that Executive’s services are provided only to such division or subsidiary); or (iii) accepting employment with any federal or state government or governmental subdivision or agency.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both"/>
        <w:ind w:firstLine="1305"/>
        <w:spacing w:after="0" w:line="269" w:lineRule="auto"/>
        <w:tabs>
          <w:tab w:leader="none" w:pos="2195"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Non-Solicit</w:t>
      </w:r>
      <w:r>
        <w:rPr>
          <w:rFonts w:ascii="Arial" w:cs="Arial" w:eastAsia="Arial" w:hAnsi="Arial"/>
          <w:sz w:val="17"/>
          <w:szCs w:val="17"/>
          <w:color w:val="auto"/>
        </w:rPr>
        <w:t>. During Executive’s employment and, following any termination of Executive’s employment for whatever reason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Term, for the shorter of (A) twelve months or (B) the length of the Severance Payment Period, Executive shall not directly or indirectly through another Person (i) induce or attempt to induce any employee of the Company to leave the employ of the Company, or in any way interfere with the relationship between the Company and any employee thereof; (ii) hire any Person who was an employee of the Company at any time during the twelve-month period immediately following the termination of Executive’s employment with the Company; or (iii) induce or attempt to induce any customer, supplier, licensee or other business relation of the Company to cease or materially reduce doing business with the Company, or in any way interfere with the relationship between any such customer, supplier, licensee or business relation and the Company (including, without limitation, making any negative or disparaging statements or communications regarding the Company, its products or its personnel). Notwithstanding the foregoing, nothing in this Agreement shall prohibit Executive from employing an individual (i) with the consent of the Company or (ii) who responds to general solicitations in publications or on websites, or through the use of search firms, so long as such general solicitations or search firm activities are not targeted specifically at an employee (or former employee, as described above) of the Company.</w:t>
      </w:r>
    </w:p>
    <w:p>
      <w:pPr>
        <w:spacing w:after="0" w:line="236" w:lineRule="exact"/>
        <w:rPr>
          <w:rFonts w:ascii="Arial" w:cs="Arial" w:eastAsia="Arial" w:hAnsi="Arial"/>
          <w:sz w:val="17"/>
          <w:szCs w:val="17"/>
          <w:color w:val="auto"/>
        </w:rPr>
      </w:pPr>
    </w:p>
    <w:p>
      <w:pPr>
        <w:jc w:val="both"/>
        <w:ind w:firstLine="1305"/>
        <w:spacing w:after="0" w:line="297" w:lineRule="auto"/>
        <w:tabs>
          <w:tab w:leader="none" w:pos="210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Reasonable Scope</w:t>
      </w:r>
      <w:r>
        <w:rPr>
          <w:rFonts w:ascii="Arial" w:cs="Arial" w:eastAsia="Arial" w:hAnsi="Arial"/>
          <w:sz w:val="16"/>
          <w:szCs w:val="16"/>
          <w:color w:val="auto"/>
        </w:rPr>
        <w:t>. Executive agrees and acknowledges that the covenants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i w:val="1"/>
          <w:iCs w:val="1"/>
          <w:color w:val="auto"/>
        </w:rPr>
        <w:t xml:space="preserve"> </w:t>
      </w:r>
      <w:r>
        <w:rPr>
          <w:rFonts w:ascii="Arial" w:cs="Arial" w:eastAsia="Arial" w:hAnsi="Arial"/>
          <w:sz w:val="16"/>
          <w:szCs w:val="16"/>
          <w:color w:val="auto"/>
        </w:rPr>
        <w:t>are reasonable in scope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duration and necessary to protect the legitimate business interests of the Company and that the compensation payable hereunder is sufficient consideration therefor. If any of the provisions of the covenants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is construed to be invalid or unenforceable in any respect, the same shall be modified as the court may direct in order to make such provision reasonable and enforceable, and such modification of the provision shall not affect the remainder of the provisions of the covenants, and such provision will be given the maximum possible effect and the modified Agreement will be fully enforceable.</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53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Obligation to Mitigate Damages</w:t>
      </w:r>
      <w:r>
        <w:rPr>
          <w:rFonts w:ascii="Arial" w:cs="Arial" w:eastAsia="Arial" w:hAnsi="Arial"/>
          <w:sz w:val="18"/>
          <w:szCs w:val="18"/>
          <w:color w:val="auto"/>
        </w:rPr>
        <w:t>. Executive shall not be obligated to seek other employment or otherwise take steps to mitigate or reduce the amounts payable or arrangements provided for under this Agreement, and the obtaining of any such other employment shall not reduce any of the Company’s obligations under this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1" w:name="page42"/>
    <w:bookmarkEnd w:id="41"/>
    <w:p>
      <w:pPr>
        <w:ind w:left="1380" w:hanging="710"/>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8" w:lineRule="auto"/>
        <w:tabs>
          <w:tab w:leader="none" w:pos="2229" w:val="left"/>
        </w:tabs>
        <w:numPr>
          <w:ilvl w:val="1"/>
          <w:numId w:val="37"/>
        </w:numPr>
        <w:rPr>
          <w:rFonts w:ascii="Arial" w:cs="Arial" w:eastAsia="Arial" w:hAnsi="Arial"/>
          <w:sz w:val="17"/>
          <w:szCs w:val="17"/>
          <w:color w:val="auto"/>
        </w:rPr>
      </w:pPr>
      <w:r>
        <w:rPr>
          <w:rFonts w:ascii="Arial" w:cs="Arial" w:eastAsia="Arial" w:hAnsi="Arial"/>
          <w:sz w:val="17"/>
          <w:szCs w:val="17"/>
          <w:color w:val="auto"/>
        </w:rPr>
        <w:t>It is intended that (i) each payment or installment of payments provided under this Agreement is a separate “payment” for purposes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(ii) that the payments satisfy, to the greatest extent possible, the exemptions from the application of Section 409A of the Code, including those provided under Treasury Regulations 1.409A-1(b)(4) (regarding short-term deferrals), 1.409A-1(b)(9)(iii) (regarding the two-times, two (2) year exception) and 1.409A-1(b)(9)(v) (regarding reimbursements and other separation pay). Notwithstanding anything to the contrary herein, if (i) on the date of Executive’s “separation from service” (as such term is defined under Treasury Regulation 1.409A-1(h)), Executive is deemed to be a “specified employee” (as such term is defined under Treasury Regulation 1.409A-1(i)(1)) of the Company, as determined in accordance with the Company’s “specified employee” determination procedures, and (ii) any payments to be provided to Executive pursuant to this Agreement which constitute “deferred compensation” for purposes of Section 409A are or may become subject to the additional tax under Section 409A(a)(1)(B) of the Code or any other taxes or penalties imposed under Section 409A if provided at the time otherwise required under this Agreement, then such payments shall be delayed until the date that is six (6) months after the date of Executive’s “separation from service” (as such term is defined under Treasury Regulation 1.409A-1(h)) or, if sooner, the date of Executive’s death. Any payments delayed pursuant to this Section 9(e) shall be made in a lump sum on the first day of the seventh month following Executive’s “separation from service” (as such term is defined under Treasury Regulation 1.409A-1(h)) or, if sooner, the date of Executive’s death.</w:t>
      </w:r>
    </w:p>
    <w:p>
      <w:pPr>
        <w:spacing w:after="0" w:line="214" w:lineRule="exact"/>
        <w:rPr>
          <w:rFonts w:ascii="Arial" w:cs="Arial" w:eastAsia="Arial" w:hAnsi="Arial"/>
          <w:sz w:val="17"/>
          <w:szCs w:val="17"/>
          <w:color w:val="auto"/>
        </w:rPr>
      </w:pPr>
    </w:p>
    <w:p>
      <w:pPr>
        <w:jc w:val="both"/>
        <w:ind w:firstLine="1305"/>
        <w:spacing w:after="0" w:line="255" w:lineRule="auto"/>
        <w:tabs>
          <w:tab w:leader="none" w:pos="20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a termination of employment with the Company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220" w:lineRule="exact"/>
        <w:rPr>
          <w:rFonts w:ascii="Arial" w:cs="Arial" w:eastAsia="Arial" w:hAnsi="Arial"/>
          <w:sz w:val="18"/>
          <w:szCs w:val="18"/>
          <w:color w:val="auto"/>
        </w:rPr>
      </w:pPr>
    </w:p>
    <w:p>
      <w:pPr>
        <w:jc w:val="both"/>
        <w:ind w:firstLine="1305"/>
        <w:spacing w:after="0" w:line="290" w:lineRule="auto"/>
        <w:tabs>
          <w:tab w:leader="none" w:pos="231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the extent that any expenses, reimbursement, fringe benefit or other, similar plan or arrangement in which Executive participates during the term of Executive’s employment under this Agreement or thereafter provides for a “deferral of compensation” within the meaning of Section 409A, then such amount shall be reimbursed in accordance with Section 1.409A-3(i)(1)(iv) of the Treasury Regulations,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is not subject to liquidation or exchange for another benefit.</w:t>
      </w:r>
    </w:p>
    <w:p>
      <w:pPr>
        <w:spacing w:after="0" w:line="193" w:lineRule="exact"/>
        <w:rPr>
          <w:rFonts w:ascii="Arial" w:cs="Arial" w:eastAsia="Arial" w:hAnsi="Arial"/>
          <w:sz w:val="16"/>
          <w:szCs w:val="16"/>
          <w:color w:val="auto"/>
        </w:rPr>
      </w:pPr>
    </w:p>
    <w:p>
      <w:pPr>
        <w:jc w:val="both"/>
        <w:ind w:firstLine="1375"/>
        <w:spacing w:after="0" w:line="264" w:lineRule="auto"/>
        <w:tabs>
          <w:tab w:leader="none" w:pos="2277" w:val="left"/>
        </w:tabs>
        <w:numPr>
          <w:ilvl w:val="2"/>
          <w:numId w:val="37"/>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ind w:firstLine="1305"/>
        <w:spacing w:after="0" w:line="264" w:lineRule="auto"/>
        <w:tabs>
          <w:tab w:leader="none" w:pos="2273"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Executive’s termination of employment or other event, shall be made on a date during such period as determined by the Company in its sole discretion, and in accordance with Section 409A.</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shall be interpreted in accordance with, and the Company and Executive will use their best efforts to achieve timely compliance with, Section 409A of the Code and the Treasury Regulations and other interpretive guidance promulgated thereunder, including without limitation any such regulations or other guidance that may be issued after the Effective Date of this Agreement.</w:t>
      </w:r>
    </w:p>
    <w:p>
      <w:pPr>
        <w:spacing w:after="0" w:line="235" w:lineRule="exact"/>
        <w:rPr>
          <w:rFonts w:ascii="Arial" w:cs="Arial" w:eastAsia="Arial" w:hAnsi="Arial"/>
          <w:sz w:val="18"/>
          <w:szCs w:val="18"/>
          <w:color w:val="auto"/>
        </w:rPr>
      </w:pPr>
    </w:p>
    <w:p>
      <w:pPr>
        <w:jc w:val="both"/>
        <w:ind w:firstLine="670"/>
        <w:spacing w:after="0" w:line="264" w:lineRule="auto"/>
        <w:tabs>
          <w:tab w:leader="none" w:pos="151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if sent by registered or certified mail to Executive at the last address he/she has filed in writing with the Company or, in the case of the Company, at its principal executive offices.</w:t>
      </w:r>
    </w:p>
    <w:p>
      <w:pPr>
        <w:spacing w:after="0" w:line="235" w:lineRule="exact"/>
        <w:rPr>
          <w:rFonts w:ascii="Arial" w:cs="Arial" w:eastAsia="Arial" w:hAnsi="Arial"/>
          <w:sz w:val="18"/>
          <w:szCs w:val="18"/>
          <w:color w:val="auto"/>
        </w:rPr>
      </w:pPr>
    </w:p>
    <w:p>
      <w:pPr>
        <w:jc w:val="both"/>
        <w:ind w:firstLine="670"/>
        <w:spacing w:after="0" w:line="264" w:lineRule="auto"/>
        <w:tabs>
          <w:tab w:leader="none" w:pos="167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Non-Alienation</w:t>
      </w:r>
      <w:r>
        <w:rPr>
          <w:rFonts w:ascii="Arial" w:cs="Arial" w:eastAsia="Arial" w:hAnsi="Arial"/>
          <w:sz w:val="18"/>
          <w:szCs w:val="18"/>
          <w:color w:val="auto"/>
        </w:rPr>
        <w:t>. Executive shall not have any right to pledge, hypothecate, anticipate or in any way create a lien upon any amounts provided under this Agreement; and no benefits payable hereunder shall be assignable in anticipation of payment either by voluntary or involuntary acts, or by operation of law, except by will or the laws of descent and distribution.</w:t>
      </w:r>
    </w:p>
    <w:p>
      <w:pPr>
        <w:spacing w:after="0" w:line="235" w:lineRule="exact"/>
        <w:rPr>
          <w:rFonts w:ascii="Arial" w:cs="Arial" w:eastAsia="Arial" w:hAnsi="Arial"/>
          <w:sz w:val="18"/>
          <w:szCs w:val="18"/>
          <w:color w:val="auto"/>
        </w:rPr>
      </w:pPr>
    </w:p>
    <w:p>
      <w:pPr>
        <w:ind w:right="20" w:firstLine="670"/>
        <w:spacing w:after="0" w:line="277" w:lineRule="auto"/>
        <w:tabs>
          <w:tab w:leader="none" w:pos="166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this Agreement shall be construed in accordance with the laws of the State of Tennessee without regard to any conflict of laws provision thereof.</w:t>
      </w:r>
    </w:p>
    <w:p>
      <w:pPr>
        <w:spacing w:after="0" w:line="224" w:lineRule="exact"/>
        <w:rPr>
          <w:rFonts w:ascii="Arial" w:cs="Arial" w:eastAsia="Arial" w:hAnsi="Arial"/>
          <w:sz w:val="18"/>
          <w:szCs w:val="18"/>
          <w:color w:val="auto"/>
        </w:rPr>
      </w:pPr>
    </w:p>
    <w:p>
      <w:pPr>
        <w:jc w:val="both"/>
        <w:ind w:firstLine="670"/>
        <w:spacing w:after="0" w:line="257" w:lineRule="auto"/>
        <w:tabs>
          <w:tab w:leader="none" w:pos="16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Subject to Section 2(e), this Agreement contains the entire agreement of the parties relating to the subject matter herein and supersedes in full and in all respects any prior oral or written agreement, arrangement or understanding in connection with the matters set forth herein. This Agreement may only be amended or canceled by mutual agreement of the parties in writing without the consent of any other person, and, so long as Executive lives, no person, other than the parties hereto, shall have any rights under or interest in this Agreement or the subject matter hereof.</w:t>
      </w:r>
    </w:p>
    <w:p>
      <w:pPr>
        <w:spacing w:after="0" w:line="242"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6"/>
          <w:szCs w:val="16"/>
          <w:color w:val="auto"/>
        </w:rPr>
        <w:t>10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between the Company and Executive, whether arising out of or relating to this Agreement, the breach of this Agreement, or otherwise, shall be settled by arbitration administered in accordance with the Commercial Arbitration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then in effect, and judgment on the award rendered by the arbitrator may be entered in any court having jurisdiction. Any arbitration shall be held before a single arbitrator who shall be selected by the mutual agreement of the Company and Executive, unless the parties are unable to agree to an arbitrator, in which case, the arbitrator will be selected by the then President of the Tennessee Bar Association. The arbitrator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Except as necessary in court proceedings to enforce this arbitration provision or an award rendered hereunder, or to obtain interim relief or as required by law, neither a party nor an arbitrator may disclose the existence, content or results of any arbitration hereunder without the prior written consent of the Company and Executive. The Company and Executive acknowledge that this Agreement evidences a transaction involving interstate commerce. Notwithstanding any choice of law provision included in this Agreement the United States Federal Arbitration Act shall govern the interpretation and enforcement of this arbitration provision. The arbitration proceeding shall be conducted in Nashville, Tennessee or such other location to which the parties may agree. The Company shall pay the costs of the arbitration, including all fees and expenses of any arbitrator appointed 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left="1460" w:hanging="804"/>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236"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This Agreement is personal to Executive and without the prior written consent of the Company shall not be assignable by Executive otherwise than by will or the laws of descent and distribution. This Agreement shall inure to the benefit of and be enforceable by Executive’s legal representatives.</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52" w:lineRule="exact"/>
        <w:rPr>
          <w:rFonts w:ascii="Arial" w:cs="Arial" w:eastAsia="Arial" w:hAnsi="Arial"/>
          <w:sz w:val="18"/>
          <w:szCs w:val="18"/>
          <w:color w:val="auto"/>
        </w:rPr>
      </w:pPr>
    </w:p>
    <w:p>
      <w:pPr>
        <w:jc w:val="both"/>
        <w:ind w:firstLine="1305"/>
        <w:spacing w:after="0" w:line="257" w:lineRule="auto"/>
        <w:tabs>
          <w:tab w:leader="none" w:pos="2119"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w:t>
      </w:r>
      <w:r>
        <w:rPr>
          <w:rFonts w:ascii="Arial" w:cs="Arial" w:eastAsia="Arial" w:hAnsi="Arial"/>
          <w:sz w:val="18"/>
          <w:szCs w:val="18"/>
          <w:u w:val="single" w:color="auto"/>
          <w:color w:val="auto"/>
        </w:rPr>
        <w:t>Company</w:t>
      </w:r>
      <w:r>
        <w:rPr>
          <w:rFonts w:ascii="Arial" w:cs="Arial" w:eastAsia="Arial" w:hAnsi="Arial"/>
          <w:sz w:val="18"/>
          <w:szCs w:val="18"/>
          <w:color w:val="auto"/>
        </w:rPr>
        <w:t>” shall mean the Company as hereinbefore defined and any successor to its business and/or assets as aforesaid which assumes and agrees to perform this Agreement by operation of law, or otherwise.</w:t>
      </w:r>
    </w:p>
    <w:p>
      <w:pPr>
        <w:spacing w:after="0" w:line="242" w:lineRule="exact"/>
        <w:rPr>
          <w:rFonts w:ascii="Arial" w:cs="Arial" w:eastAsia="Arial" w:hAnsi="Arial"/>
          <w:sz w:val="18"/>
          <w:szCs w:val="18"/>
          <w:color w:val="auto"/>
        </w:rPr>
      </w:pPr>
    </w:p>
    <w:p>
      <w:pPr>
        <w:ind w:firstLine="670"/>
        <w:spacing w:after="0" w:line="277" w:lineRule="auto"/>
        <w:tabs>
          <w:tab w:leader="none" w:pos="163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the parties pursuant to Sections 2, 3, 4, 5, 6, 7, 8, 9, 10, 11, 12 and 13, as applicable, shall survive the termination of Executive’s employment and any termination of this Agreement.</w:t>
      </w:r>
    </w:p>
    <w:p>
      <w:pPr>
        <w:spacing w:after="0" w:line="224" w:lineRule="exact"/>
        <w:rPr>
          <w:rFonts w:ascii="Arial" w:cs="Arial" w:eastAsia="Arial" w:hAnsi="Arial"/>
          <w:sz w:val="18"/>
          <w:szCs w:val="18"/>
          <w:color w:val="auto"/>
        </w:rPr>
      </w:pPr>
    </w:p>
    <w:p>
      <w:pPr>
        <w:ind w:firstLine="670"/>
        <w:spacing w:after="0" w:line="277" w:lineRule="auto"/>
        <w:tabs>
          <w:tab w:leader="none" w:pos="163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portion of this Agreement shall he determined to be invalid or unenforceable for any reason, the remaining provisions of this Agreement shall he unaffected thereby and shall remain in full force and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IN WITNESS WHEREOF, as evidence of their mutual agreement Executive and Company have caused this Agreement to be executed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Cracker Barrel Old Country Store, Inc.</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68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Name:</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0"/>
                <w:szCs w:val="20"/>
                <w:color w:val="auto"/>
              </w:rPr>
            </w:pPr>
          </w:p>
        </w:tc>
      </w:tr>
      <w:tr>
        <w:trPr>
          <w:trHeight w:val="203"/>
        </w:trPr>
        <w:tc>
          <w:tcPr>
            <w:tcW w:w="580" w:type="dxa"/>
            <w:vAlign w:val="bottom"/>
            <w:gridSpan w:val="2"/>
          </w:tcPr>
          <w:p>
            <w:pPr>
              <w:spacing w:after="0" w:line="203" w:lineRule="exact"/>
              <w:rPr>
                <w:sz w:val="20"/>
                <w:szCs w:val="20"/>
                <w:color w:val="auto"/>
              </w:rPr>
            </w:pPr>
            <w:r>
              <w:rPr>
                <w:rFonts w:ascii="Arial" w:cs="Arial" w:eastAsia="Arial" w:hAnsi="Arial"/>
                <w:sz w:val="18"/>
                <w:szCs w:val="18"/>
                <w:color w:val="auto"/>
              </w:rPr>
              <w:t>Title:</w:t>
            </w:r>
          </w:p>
        </w:tc>
        <w:tc>
          <w:tcPr>
            <w:tcW w:w="29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r>
      <w:tr>
        <w:trPr>
          <w:trHeight w:val="33"/>
        </w:trPr>
        <w:tc>
          <w:tcPr>
            <w:tcW w:w="580" w:type="dxa"/>
            <w:vAlign w:val="bottom"/>
            <w:gridSpan w:val="2"/>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45"/>
        </w:trPr>
        <w:tc>
          <w:tcPr>
            <w:tcW w:w="3500" w:type="dxa"/>
            <w:vAlign w:val="bottom"/>
            <w:gridSpan w:val="3"/>
          </w:tcPr>
          <w:p>
            <w:pPr>
              <w:spacing w:after="0"/>
              <w:rPr>
                <w:sz w:val="20"/>
                <w:szCs w:val="20"/>
                <w:color w:val="auto"/>
              </w:rPr>
            </w:pPr>
            <w:r>
              <w:rPr>
                <w:rFonts w:ascii="Arial" w:cs="Arial" w:eastAsia="Arial" w:hAnsi="Arial"/>
                <w:sz w:val="18"/>
                <w:szCs w:val="18"/>
                <w:color w:val="auto"/>
              </w:rPr>
              <w:t>Exhibit A – Severance Payments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Exhibit B – Form of Release</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240" w:type="dxa"/>
            <w:vAlign w:val="bottom"/>
            <w:gridSpan w:val="5"/>
          </w:tcPr>
          <w:p>
            <w:pPr>
              <w:ind w:left="700"/>
              <w:spacing w:after="0"/>
              <w:rPr>
                <w:sz w:val="20"/>
                <w:szCs w:val="20"/>
                <w:color w:val="auto"/>
              </w:rPr>
            </w:pPr>
            <w:r>
              <w:rPr>
                <w:rFonts w:ascii="Arial" w:cs="Arial" w:eastAsia="Arial" w:hAnsi="Arial"/>
                <w:sz w:val="18"/>
                <w:szCs w:val="18"/>
                <w:color w:val="auto"/>
              </w:rPr>
              <w:t>[Signature Page to Severance Agreement]</w:t>
            </w:r>
          </w:p>
        </w:tc>
        <w:tc>
          <w:tcPr>
            <w:tcW w:w="68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080" w:type="dxa"/>
            <w:vAlign w:val="bottom"/>
            <w:gridSpan w:val="2"/>
          </w:tcPr>
          <w:p>
            <w:pPr>
              <w:jc w:val="center"/>
              <w:ind w:right="53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tc>
      </w:tr>
      <w:tr>
        <w:trPr>
          <w:trHeight w:val="20"/>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7"/>
              </w:rPr>
              <w:t>Section 2(c) Severance Benefits</w:t>
            </w:r>
          </w:p>
        </w:tc>
      </w:tr>
      <w:tr>
        <w:trPr>
          <w:trHeight w:val="439"/>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Position</w:t>
            </w:r>
          </w:p>
        </w:tc>
        <w:tc>
          <w:tcPr>
            <w:tcW w:w="24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Severance Benefit</w:t>
            </w: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9460" w:type="dxa"/>
            <w:vAlign w:val="bottom"/>
            <w:gridSpan w:val="3"/>
          </w:tcPr>
          <w:p>
            <w:pPr>
              <w:spacing w:after="0"/>
              <w:rPr>
                <w:sz w:val="20"/>
                <w:szCs w:val="20"/>
                <w:color w:val="auto"/>
              </w:rPr>
            </w:pPr>
            <w:r>
              <w:rPr>
                <w:rFonts w:ascii="Arial" w:cs="Arial" w:eastAsia="Arial" w:hAnsi="Arial"/>
                <w:sz w:val="18"/>
                <w:szCs w:val="18"/>
                <w:color w:val="auto"/>
                <w:w w:val="93"/>
              </w:rPr>
              <w:t>12 months’ base salary plus one additional week of severance for each year of service in excess of 15 years (not to exceed 18</w:t>
            </w: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months’ total severance)</w:t>
            </w: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purposes of this Agreement, “year of service” means twelve (12) consecutive months of continuous full time employment (32 hours or more per week) with the Company. Breaks in service of more than 90 days are not recognized as continuous employment under this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XHIBIT</w:t>
      </w:r>
      <w:r>
        <w:rPr>
          <w:rFonts w:ascii="Arial" w:cs="Arial" w:eastAsia="Arial" w:hAnsi="Arial"/>
          <w:sz w:val="18"/>
          <w:szCs w:val="18"/>
          <w:b w:val="1"/>
          <w:bCs w:val="1"/>
          <w:u w:val="single" w:color="auto"/>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RELEASE </w:t>
      </w:r>
      <w:r>
        <w:rPr>
          <w:rFonts w:ascii="Arial" w:cs="Arial" w:eastAsia="Arial" w:hAnsi="Arial"/>
          <w:sz w:val="18"/>
          <w:szCs w:val="18"/>
          <w:color w:val="auto"/>
        </w:rPr>
        <w:t>(this “</w:t>
      </w:r>
      <w:r>
        <w:rPr>
          <w:rFonts w:ascii="Arial" w:cs="Arial" w:eastAsia="Arial" w:hAnsi="Arial"/>
          <w:sz w:val="18"/>
          <w:szCs w:val="18"/>
          <w:u w:val="single" w:color="auto"/>
          <w:color w:val="auto"/>
        </w:rPr>
        <w:t>Release</w:t>
      </w:r>
      <w:r>
        <w:rPr>
          <w:rFonts w:ascii="Arial" w:cs="Arial" w:eastAsia="Arial" w:hAnsi="Arial"/>
          <w:sz w:val="18"/>
          <w:szCs w:val="18"/>
          <w:color w:val="auto"/>
        </w:rPr>
        <w:t>”) is made and entered into by and between</w:t>
      </w:r>
      <w:r>
        <w:rPr>
          <w:rFonts w:ascii="Arial" w:cs="Arial" w:eastAsia="Arial" w:hAnsi="Arial"/>
          <w:sz w:val="18"/>
          <w:szCs w:val="18"/>
          <w:b w:val="1"/>
          <w:bCs w:val="1"/>
          <w:color w:val="auto"/>
        </w:rPr>
        <w:t xml:space="preserve"> ___________ </w:t>
      </w: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and</w:t>
      </w:r>
      <w:r>
        <w:rPr>
          <w:rFonts w:ascii="Arial" w:cs="Arial" w:eastAsia="Arial" w:hAnsi="Arial"/>
          <w:sz w:val="18"/>
          <w:szCs w:val="18"/>
          <w:b w:val="1"/>
          <w:bCs w:val="1"/>
          <w:color w:val="auto"/>
        </w:rPr>
        <w:t xml:space="preserve"> CRACKER BARREL OLD</w:t>
      </w:r>
    </w:p>
    <w:p>
      <w:pPr>
        <w:spacing w:after="0" w:line="27" w:lineRule="exact"/>
        <w:rPr>
          <w:sz w:val="20"/>
          <w:szCs w:val="20"/>
          <w:color w:val="auto"/>
        </w:rPr>
      </w:pPr>
    </w:p>
    <w:p>
      <w:pPr>
        <w:ind w:left="660" w:right="200" w:hanging="647"/>
        <w:spacing w:after="0" w:line="554" w:lineRule="auto"/>
        <w:rPr>
          <w:sz w:val="20"/>
          <w:szCs w:val="20"/>
          <w:color w:val="auto"/>
        </w:rPr>
      </w:pPr>
      <w:r>
        <w:rPr>
          <w:rFonts w:ascii="Arial" w:cs="Arial" w:eastAsia="Arial" w:hAnsi="Arial"/>
          <w:sz w:val="16"/>
          <w:szCs w:val="16"/>
          <w:b w:val="1"/>
          <w:bCs w:val="1"/>
          <w:color w:val="auto"/>
        </w:rPr>
        <w:t>COUNTRY STORE, INC</w:t>
      </w:r>
      <w:r>
        <w:rPr>
          <w:rFonts w:ascii="Arial" w:cs="Arial" w:eastAsia="Arial" w:hAnsi="Arial"/>
          <w:sz w:val="16"/>
          <w:szCs w:val="16"/>
          <w:color w:val="auto"/>
        </w:rPr>
        <w:t>. and its successors or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The Company and Executive are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WHEREAS, Executive and the Company have agreed that Executive’s employment with Company shall terminate on ___________________;</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Executive and the Company have previously entered into that certain Severance Agreement, dated May __, 2018 (the “</w:t>
      </w:r>
      <w:r>
        <w:rPr>
          <w:rFonts w:ascii="Arial" w:cs="Arial" w:eastAsia="Arial" w:hAnsi="Arial"/>
          <w:sz w:val="18"/>
          <w:szCs w:val="18"/>
          <w:u w:val="single" w:color="auto"/>
          <w:color w:val="auto"/>
        </w:rPr>
        <w:t>Agreement</w:t>
      </w:r>
      <w:r>
        <w:rPr>
          <w:rFonts w:ascii="Arial" w:cs="Arial" w:eastAsia="Arial" w:hAnsi="Arial"/>
          <w:sz w:val="18"/>
          <w:szCs w:val="18"/>
          <w:color w:val="auto"/>
        </w:rPr>
        <w:t>”), and this Release is incorporated therein by reference;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Executive and the Company desire to delineate their respective rights, duties and obligations attendant to such termination and desire to reach an accord and satisfaction of all claims arising from Executive’s employment, and the termination thereof, with appropriate releases, in accordance with the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desires to compensate Executive in accordance with the Agreement for service she has or will provide for the Company;</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premises and the agreements of the Parties set forth in this Release, and other good and valuable consideration, the receipt and sufficiency of which are hereby acknowledged, the Parties hereto, intending to be legally bound, hereby covenant and agree as follows:</w:t>
      </w:r>
    </w:p>
    <w:p>
      <w:pPr>
        <w:spacing w:after="0" w:line="181" w:lineRule="exact"/>
        <w:rPr>
          <w:sz w:val="20"/>
          <w:szCs w:val="20"/>
          <w:color w:val="auto"/>
        </w:rPr>
      </w:pPr>
    </w:p>
    <w:p>
      <w:pPr>
        <w:jc w:val="both"/>
        <w:ind w:firstLine="656"/>
        <w:spacing w:after="0" w:line="272" w:lineRule="auto"/>
        <w:tabs>
          <w:tab w:leader="none" w:pos="136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Claims Released Under This Agreement</w:t>
      </w:r>
      <w:r>
        <w:rPr>
          <w:rFonts w:ascii="Arial" w:cs="Arial" w:eastAsia="Arial" w:hAnsi="Arial"/>
          <w:sz w:val="17"/>
          <w:szCs w:val="17"/>
          <w:color w:val="auto"/>
        </w:rPr>
        <w:t>. In exchange for the opportunity to receive the severance benefits described in Section 2(b) of the Agreement and except as provided in Paragraph 2 below, subject to Executive’s fulfillment of Executive’s ongoing obligations under the Agreement, Executive hereby voluntarily and irrevocably waives, releases, dismisses with prejudice, and withdraws all claims, complaints, suits or demands of any kind whatsoever (whether known or unknown) which Executive ever had, may have, or now has against the Company and other current or former subsidiaries or affiliates of the Company and their past, present and future officers, directors, employees, agents, insurers and attorneys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arising out of or relating to (directly or indirectly) Executive’s employment or the termination of Executive’s employment with the Company, or any other event occurring prior to the execution of this Release, including, but not limited to:</w:t>
      </w:r>
    </w:p>
    <w:p>
      <w:pPr>
        <w:spacing w:after="0" w:line="231" w:lineRule="exact"/>
        <w:rPr>
          <w:rFonts w:ascii="Arial" w:cs="Arial" w:eastAsia="Arial" w:hAnsi="Arial"/>
          <w:sz w:val="17"/>
          <w:szCs w:val="17"/>
          <w:color w:val="auto"/>
        </w:rPr>
      </w:pPr>
    </w:p>
    <w:p>
      <w:pPr>
        <w:jc w:val="both"/>
        <w:ind w:firstLine="1305"/>
        <w:spacing w:after="0" w:line="293" w:lineRule="auto"/>
        <w:tabs>
          <w:tab w:leader="none" w:pos="2131" w:val="left"/>
        </w:tabs>
        <w:numPr>
          <w:ilvl w:val="1"/>
          <w:numId w:val="41"/>
        </w:numPr>
        <w:rPr>
          <w:rFonts w:ascii="Arial" w:cs="Arial" w:eastAsia="Arial" w:hAnsi="Arial"/>
          <w:sz w:val="16"/>
          <w:szCs w:val="16"/>
          <w:color w:val="auto"/>
        </w:rPr>
      </w:pPr>
      <w:r>
        <w:rPr>
          <w:rFonts w:ascii="Arial" w:cs="Arial" w:eastAsia="Arial" w:hAnsi="Arial"/>
          <w:sz w:val="16"/>
          <w:szCs w:val="16"/>
          <w:color w:val="auto"/>
        </w:rPr>
        <w:t>claims for violations of the Dodd-Frank Wall Street Reform and Consumer Protection Act of 2010, Title VII of the Civil Rights Act of 1964, the Age Discrimination in Employment Act of 1967, , the Civil Rights Act of 1866, the Civil Rights Act of 1991, the Older Workers’ Benefit Protection Act of 1990, the Americans With Disabilities Act, the Equal Pay Act of 1963, the Family and Medical Leave Act, 42 U.S.C. § 1981, the Worker Adjustment and Retraining Notification Act, the National Labor Relations Act, the Labor Management Relations Act, Executive Order 11246, Executive Order 11141, the Rehabilitation Act of 1973, or the Employee Retirement Income Security Act, the Tennessee Human Rights Act, the Tennessee Disability Act, the Genetic Information Nondiscrimination Act, or any other law relating to discrimination or retaliation in employment (in each case, as amended);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2100" w:hanging="795"/>
        <w:spacing w:after="0"/>
        <w:tabs>
          <w:tab w:leader="none" w:pos="2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claims for violations of any other federal or state statute or regulation or local ordinance;</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21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claims for lost or unpaid wages, compensation or benefits, defamation, intentional or negligent infliction of emotional distress, assault, battery, wrongful or constructive discharge, negligent hiring, retention or supervision, misrepresentation, conversion, tortious interference, breach of contract or breach of fiduciary duty;</w:t>
      </w:r>
    </w:p>
    <w:p>
      <w:pPr>
        <w:spacing w:after="0" w:line="235" w:lineRule="exact"/>
        <w:rPr>
          <w:rFonts w:ascii="Arial" w:cs="Arial" w:eastAsia="Arial" w:hAnsi="Arial"/>
          <w:sz w:val="18"/>
          <w:szCs w:val="18"/>
          <w:color w:val="auto"/>
        </w:rPr>
      </w:pPr>
    </w:p>
    <w:p>
      <w:pPr>
        <w:ind w:firstLine="1305"/>
        <w:spacing w:after="0" w:line="277" w:lineRule="auto"/>
        <w:tabs>
          <w:tab w:leader="none" w:pos="2236" w:val="left"/>
        </w:tabs>
        <w:numPr>
          <w:ilvl w:val="1"/>
          <w:numId w:val="42"/>
        </w:numPr>
        <w:rPr>
          <w:rFonts w:ascii="Arial" w:cs="Arial" w:eastAsia="Arial" w:hAnsi="Arial"/>
          <w:sz w:val="18"/>
          <w:szCs w:val="18"/>
          <w:color w:val="auto"/>
        </w:rPr>
      </w:pPr>
      <w:r>
        <w:rPr>
          <w:rFonts w:ascii="Arial" w:cs="Arial" w:eastAsia="Arial" w:hAnsi="Arial"/>
          <w:sz w:val="18"/>
          <w:szCs w:val="18"/>
          <w:color w:val="auto"/>
        </w:rPr>
        <w:t>claims to benefits under any bonus, severance, workforce reduction, early retirement, outplacement or any other similar type plan sponsored by the Company; or</w:t>
      </w:r>
    </w:p>
    <w:p>
      <w:pPr>
        <w:spacing w:after="0" w:line="224" w:lineRule="exact"/>
        <w:rPr>
          <w:rFonts w:ascii="Arial" w:cs="Arial" w:eastAsia="Arial" w:hAnsi="Arial"/>
          <w:sz w:val="18"/>
          <w:szCs w:val="18"/>
          <w:color w:val="auto"/>
        </w:rPr>
      </w:pPr>
    </w:p>
    <w:p>
      <w:pPr>
        <w:ind w:left="2100" w:hanging="795"/>
        <w:spacing w:after="0"/>
        <w:tabs>
          <w:tab w:leader="none" w:pos="2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claims under state law arising in tort or contract.</w:t>
      </w:r>
    </w:p>
    <w:p>
      <w:pPr>
        <w:spacing w:after="0" w:line="279" w:lineRule="exact"/>
        <w:rPr>
          <w:rFonts w:ascii="Arial" w:cs="Arial" w:eastAsia="Arial" w:hAnsi="Arial"/>
          <w:sz w:val="18"/>
          <w:szCs w:val="18"/>
          <w:color w:val="auto"/>
        </w:rPr>
      </w:pPr>
    </w:p>
    <w:p>
      <w:pPr>
        <w:jc w:val="both"/>
        <w:ind w:firstLine="656"/>
        <w:spacing w:after="0" w:line="287" w:lineRule="auto"/>
        <w:tabs>
          <w:tab w:leader="none" w:pos="153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Claims Not Released Under This Agreement</w:t>
      </w:r>
      <w:r>
        <w:rPr>
          <w:rFonts w:ascii="Arial" w:cs="Arial" w:eastAsia="Arial" w:hAnsi="Arial"/>
          <w:sz w:val="16"/>
          <w:szCs w:val="16"/>
          <w:color w:val="auto"/>
        </w:rPr>
        <w:t xml:space="preserve">. In signing this Release, Executive is not releasing any claims that (a) enforce Executive’s rights under the Agreement, (b) arise out of events occurring after the date Executive executes this Release, (c) arise under any written non-employment related contractual obligations between the Company or its affiliates and Executive which have not terminated as of the execution date of this Release by their express terms, (d) arise under a policy or policies of insurance (including director and officer liability insurance) maintained by the Company or its affiliates on behalf of Executive, (e) relate to any indemnification obligations to Executive under the Company’s bylaws, certificate of incorporation, Tennessee law or otherwise, or (f) if Executive’s date of termination of employment occurs prior to a Change in Control, claims for additional severance entitlements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Agreement if a Change in Control occurs within 180 days following such date. However, Executive understands and acknowledges that nothing herein is intended to or shall be construed to require the Company to institute or continue in effect any particular plan or benefit sponsored by the Company, and the Company hereby reserves the right to amend or terminate any of its benefit programs at any time in accordance with the procedures set forth in such plans. Nothing in this Release shall prohibit Executive from engaging in protected activities under applicable law or from communicating, either voluntarily or otherwise, with any governmental agency concerning any potential violation of law.</w:t>
      </w:r>
    </w:p>
    <w:p>
      <w:pPr>
        <w:spacing w:after="0" w:line="226" w:lineRule="exact"/>
        <w:rPr>
          <w:rFonts w:ascii="Arial" w:cs="Arial" w:eastAsia="Arial" w:hAnsi="Arial"/>
          <w:sz w:val="16"/>
          <w:szCs w:val="16"/>
          <w:color w:val="auto"/>
        </w:rPr>
      </w:pPr>
    </w:p>
    <w:p>
      <w:pPr>
        <w:ind w:firstLine="656"/>
        <w:spacing w:after="0" w:line="277" w:lineRule="auto"/>
        <w:tabs>
          <w:tab w:leader="none" w:pos="153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Assignment of Claim</w:t>
      </w:r>
      <w:r>
        <w:rPr>
          <w:rFonts w:ascii="Arial" w:cs="Arial" w:eastAsia="Arial" w:hAnsi="Arial"/>
          <w:sz w:val="18"/>
          <w:szCs w:val="18"/>
          <w:color w:val="auto"/>
        </w:rPr>
        <w:t>. Executive hereby represents that Executive has not assigned or transferred, or purported to assign or transfer, any claims or any portion thereof or interest therein to any Party prior to the date of this Release.</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6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Release shall not in any way be construed as an admission by the Company or Executive of any improper actions or liability whatsoever as to one another, and each specifically disclaims any liability to or improper actions against the other or any other person, on the part of the Company or Executive, or the Company’s or Executive’s representatives, employees or agents.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8" w:name="page49"/>
    <w:bookmarkEnd w:id="48"/>
    <w:p>
      <w:pPr>
        <w:jc w:val="both"/>
        <w:ind w:firstLine="656"/>
        <w:spacing w:after="0" w:line="259" w:lineRule="auto"/>
        <w:tabs>
          <w:tab w:leader="none" w:pos="149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Current Claims.</w:t>
      </w:r>
      <w:r>
        <w:rPr>
          <w:rFonts w:ascii="Arial" w:cs="Arial" w:eastAsia="Arial" w:hAnsi="Arial"/>
          <w:sz w:val="18"/>
          <w:szCs w:val="18"/>
          <w:color w:val="auto"/>
        </w:rPr>
        <w:t xml:space="preserve"> Executive represents and warrants that Executive has not filed any complaint(s) or charge(s) against the Company or the other Released Parties with the EEOC or the state commission empowered to investigate claims of employment discrimination, the United States Department of Labor, or with any other local, state, or federal agency or court or that Executive has disclosed in writing to the Company any such complaint(s) or charge(s).</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51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Executive acknowledges and warrants that, that except as previously discussed (whether orally or in writing) with the Board or internal or external Company counsel, Executive is not aware of any matters for which Executive was responsible or which came to Executive’s attention as an employee of the Company that might give rise to, evidence or support any claim of illegal conduct, regulatory violation, unlawful discrimination, retaliation or other cause of action against the Company.</w:t>
      </w:r>
    </w:p>
    <w:p>
      <w:pPr>
        <w:spacing w:after="0" w:line="240" w:lineRule="exact"/>
        <w:rPr>
          <w:rFonts w:ascii="Arial" w:cs="Arial" w:eastAsia="Arial" w:hAnsi="Arial"/>
          <w:sz w:val="18"/>
          <w:szCs w:val="18"/>
          <w:color w:val="auto"/>
        </w:rPr>
      </w:pPr>
    </w:p>
    <w:p>
      <w:pPr>
        <w:jc w:val="both"/>
        <w:ind w:firstLine="656"/>
        <w:spacing w:after="0" w:line="276" w:lineRule="auto"/>
        <w:tabs>
          <w:tab w:leader="none" w:pos="152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Company Property</w:t>
      </w:r>
      <w:r>
        <w:rPr>
          <w:rFonts w:ascii="Arial" w:cs="Arial" w:eastAsia="Arial" w:hAnsi="Arial"/>
          <w:sz w:val="17"/>
          <w:szCs w:val="17"/>
          <w:color w:val="auto"/>
        </w:rPr>
        <w:t>. All records, files, lists, including computer generated lists, data, drawings, documents, equipment and similar items relating to the Company’s business that Executive generated or received from the Company remains the Company’s sole and exclusive property. Executive agrees to promptly return to the Company all property of the Company in Executive’s possession. Executive further represents that Executive has not copied or caused to be copied, printed out, or caused to be printed out any documents or other material originating with or belonging to the Company. Executive additionally agrees not to retain in Executive’s possession any such documents or other materials.</w:t>
      </w:r>
    </w:p>
    <w:p>
      <w:pPr>
        <w:spacing w:after="0" w:line="226" w:lineRule="exact"/>
        <w:rPr>
          <w:rFonts w:ascii="Arial" w:cs="Arial" w:eastAsia="Arial" w:hAnsi="Arial"/>
          <w:sz w:val="17"/>
          <w:szCs w:val="17"/>
          <w:color w:val="auto"/>
        </w:rPr>
      </w:pPr>
    </w:p>
    <w:p>
      <w:pPr>
        <w:jc w:val="both"/>
        <w:ind w:firstLine="656"/>
        <w:spacing w:after="0" w:line="290" w:lineRule="auto"/>
        <w:tabs>
          <w:tab w:leader="none" w:pos="16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Executive will provide reasonable cooperation to the Company, all Released Parties and their respective counsel at all times in any internal or external claims, charges, audits, investigations, and/or lawsuits involving the Company and/or any other Released Party of which Executive may have knowledge or in which Executive may be a witness, it being understood that requests for reasonable cooperation shall not unreasonably interfere with Executive’s personal or other professional responsibilities. Such reasonable cooperation includes meeting with the Company’s representatives and counsel to disclose such facts as Executive may know; preparing with the Company’s counsel for any deposition, trial, hearing, or other proceeding; attending any deposition, trial, hearing or other proceeding to provide truthful testimony. The Company agrees to reimburse the Executive for reasonable out-of-pocket expenses incurred by the Executive in the course of complying with this obligation. Nothing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should be construed in any way as prohibiting or discouraging the Executive from testifying truthfully under oath as part of, or in connection with, any such proceeding.</w:t>
      </w:r>
    </w:p>
    <w:p>
      <w:pPr>
        <w:spacing w:after="0" w:line="220" w:lineRule="exact"/>
        <w:rPr>
          <w:rFonts w:ascii="Arial" w:cs="Arial" w:eastAsia="Arial" w:hAnsi="Arial"/>
          <w:sz w:val="16"/>
          <w:szCs w:val="16"/>
          <w:color w:val="auto"/>
        </w:rPr>
      </w:pPr>
    </w:p>
    <w:p>
      <w:pPr>
        <w:jc w:val="both"/>
        <w:ind w:firstLine="656"/>
        <w:spacing w:after="0" w:line="270" w:lineRule="auto"/>
        <w:tabs>
          <w:tab w:leader="none" w:pos="181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Acknowledgement of Waiver of Claims under ADEA</w:t>
      </w:r>
      <w:r>
        <w:rPr>
          <w:rFonts w:ascii="Arial" w:cs="Arial" w:eastAsia="Arial" w:hAnsi="Arial"/>
          <w:sz w:val="17"/>
          <w:szCs w:val="17"/>
          <w:color w:val="auto"/>
        </w:rPr>
        <w:t xml:space="preserve">. Executive acknowledges that this Release waives any and all claims that Executive may have under </w:t>
      </w:r>
      <w:r>
        <w:rPr>
          <w:rFonts w:ascii="Arial" w:cs="Arial" w:eastAsia="Arial" w:hAnsi="Arial"/>
          <w:sz w:val="17"/>
          <w:szCs w:val="17"/>
          <w:b w:val="1"/>
          <w:bCs w:val="1"/>
          <w:color w:val="auto"/>
        </w:rPr>
        <w:t>the ADEA</w:t>
      </w:r>
      <w:r>
        <w:rPr>
          <w:rFonts w:ascii="Arial" w:cs="Arial" w:eastAsia="Arial" w:hAnsi="Arial"/>
          <w:sz w:val="17"/>
          <w:szCs w:val="17"/>
          <w:color w:val="auto"/>
        </w:rPr>
        <w:t xml:space="preserve"> for claims arising prior to the execution of this Release and that Executive’s agreement to waive such claims and all other claims released under the terms of this Release is made knowingly and voluntarily. Executive acknowledges that Executive would not be entitled to the severance benefits but for Executive’s non-revoked execution of this Release. Executive further acknowledges that (a) Executive has been advised </w:t>
      </w:r>
      <w:r>
        <w:rPr>
          <w:rFonts w:ascii="Arial" w:cs="Arial" w:eastAsia="Arial" w:hAnsi="Arial"/>
          <w:sz w:val="17"/>
          <w:szCs w:val="17"/>
          <w:b w:val="1"/>
          <w:bCs w:val="1"/>
          <w:color w:val="auto"/>
        </w:rPr>
        <w:t>that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Executive should consult with an attorney </w:t>
      </w:r>
      <w:r>
        <w:rPr>
          <w:rFonts w:ascii="Arial" w:cs="Arial" w:eastAsia="Arial" w:hAnsi="Arial"/>
          <w:sz w:val="17"/>
          <w:szCs w:val="17"/>
          <w:color w:val="auto"/>
        </w:rPr>
        <w:t>prior to executing this Release, (b) Executive has been given</w:t>
      </w:r>
      <w:r>
        <w:rPr>
          <w:rFonts w:ascii="Arial" w:cs="Arial" w:eastAsia="Arial" w:hAnsi="Arial"/>
          <w:sz w:val="17"/>
          <w:szCs w:val="17"/>
          <w:b w:val="1"/>
          <w:bCs w:val="1"/>
          <w:color w:val="auto"/>
        </w:rPr>
        <w:t xml:space="preserve"> twenty-one (21) days within which to consider this Release </w:t>
      </w:r>
      <w:r>
        <w:rPr>
          <w:rFonts w:ascii="Arial" w:cs="Arial" w:eastAsia="Arial" w:hAnsi="Arial"/>
          <w:sz w:val="17"/>
          <w:szCs w:val="17"/>
          <w:color w:val="auto"/>
        </w:rPr>
        <w:t>before executing it, (c) Executive has been given at least</w:t>
      </w:r>
      <w:r>
        <w:rPr>
          <w:rFonts w:ascii="Arial" w:cs="Arial" w:eastAsia="Arial" w:hAnsi="Arial"/>
          <w:sz w:val="17"/>
          <w:szCs w:val="17"/>
          <w:b w:val="1"/>
          <w:bCs w:val="1"/>
          <w:color w:val="auto"/>
        </w:rPr>
        <w:t xml:space="preserve"> seven (7) days </w:t>
      </w:r>
      <w:r>
        <w:rPr>
          <w:rFonts w:ascii="Arial" w:cs="Arial" w:eastAsia="Arial" w:hAnsi="Arial"/>
          <w:sz w:val="17"/>
          <w:szCs w:val="17"/>
          <w:color w:val="auto"/>
        </w:rPr>
        <w:t>following the execution of this Release</w:t>
      </w:r>
      <w:r>
        <w:rPr>
          <w:rFonts w:ascii="Arial" w:cs="Arial" w:eastAsia="Arial" w:hAnsi="Arial"/>
          <w:sz w:val="17"/>
          <w:szCs w:val="17"/>
          <w:b w:val="1"/>
          <w:bCs w:val="1"/>
          <w:color w:val="auto"/>
        </w:rPr>
        <w:t xml:space="preserve"> to revoke this Release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Revocation Period</w:t>
      </w:r>
      <w:r>
        <w:rPr>
          <w:rFonts w:ascii="Arial" w:cs="Arial" w:eastAsia="Arial" w:hAnsi="Arial"/>
          <w:sz w:val="17"/>
          <w:szCs w:val="17"/>
          <w:color w:val="auto"/>
        </w:rPr>
        <w:t>”) by providing written notice of revocation in accordance with Section 6 of the Agreement, and (d) Executive was not coerced, threatened or otherwise forced to sign this Release, and that Executive’s signature appearing hereinafter is knowing and voluntary. Executive further acknowledges that upon expiration of the Revocation Period, this Release will be binding upon Executive and Executive’s heirs, administrators, representatives, executors, successors and assigns, and this Release will become irrevocable.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9" w:name="page50"/>
    <w:bookmarkEnd w:id="49"/>
    <w:p>
      <w:pPr>
        <w:jc w:val="both"/>
        <w:ind w:firstLine="656"/>
        <w:spacing w:after="0" w:line="255" w:lineRule="auto"/>
        <w:tabs>
          <w:tab w:leader="none" w:pos="149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All provisions of this Release are intended to be severable. In the event any provision or restriction contained herein is held to be invalid or unenforceable in any respect, in whole or in part, such finding shall in no way affect the validity or enforceability of any other provision of this Release. The Parties further agree that any such invalid or unenforceable provision shall be deemed modified so that it shall be enforced to the greatest extent permissible under law, and to the extent that any court or arbitrator of competent jurisdiction determines any restriction herein to be unreasonable in any respect, such court or arbitrator may limit this Release to render it reasonable in the light of the circumstances in which it was entered into and specifically enforce this Release as limited.</w:t>
      </w:r>
    </w:p>
    <w:p>
      <w:pPr>
        <w:spacing w:after="0" w:line="247" w:lineRule="exact"/>
        <w:rPr>
          <w:rFonts w:ascii="Arial" w:cs="Arial" w:eastAsia="Arial" w:hAnsi="Arial"/>
          <w:sz w:val="18"/>
          <w:szCs w:val="18"/>
          <w:color w:val="auto"/>
        </w:rPr>
      </w:pPr>
    </w:p>
    <w:p>
      <w:pPr>
        <w:ind w:right="20" w:firstLine="656"/>
        <w:spacing w:after="0" w:line="342" w:lineRule="auto"/>
        <w:tabs>
          <w:tab w:leader="none" w:pos="156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If a court of competent jurisdiction determines that Executive has breached or failed to perform any part of this Release, the Executive agrees that Company shall be entitled to seek injunctive relief to enforce this Release, to the extent permitted by applicable law.</w:t>
      </w:r>
    </w:p>
    <w:p>
      <w:pPr>
        <w:spacing w:after="0" w:line="177" w:lineRule="exact"/>
        <w:rPr>
          <w:rFonts w:ascii="Arial" w:cs="Arial" w:eastAsia="Arial" w:hAnsi="Arial"/>
          <w:sz w:val="16"/>
          <w:szCs w:val="16"/>
          <w:color w:val="auto"/>
        </w:rPr>
      </w:pPr>
    </w:p>
    <w:p>
      <w:pPr>
        <w:jc w:val="both"/>
        <w:ind w:firstLine="656"/>
        <w:spacing w:after="0" w:line="264" w:lineRule="auto"/>
        <w:tabs>
          <w:tab w:leader="none" w:pos="149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Executive acknowledges that Executive entered into restrictive covenants in Section 3 of the Agreement, and that in accordance with the terms of the Agreement, Executive is subject to those obligations as they remain in full force and effect following Executive’s separation of employment with the Company.</w:t>
      </w:r>
    </w:p>
    <w:p>
      <w:pPr>
        <w:spacing w:after="0" w:line="235" w:lineRule="exact"/>
        <w:rPr>
          <w:rFonts w:ascii="Arial" w:cs="Arial" w:eastAsia="Arial" w:hAnsi="Arial"/>
          <w:sz w:val="18"/>
          <w:szCs w:val="18"/>
          <w:color w:val="auto"/>
        </w:rPr>
      </w:pPr>
    </w:p>
    <w:p>
      <w:pPr>
        <w:jc w:val="both"/>
        <w:ind w:firstLine="656"/>
        <w:spacing w:after="0" w:line="259" w:lineRule="auto"/>
        <w:tabs>
          <w:tab w:leader="none" w:pos="161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Should the Company fail to require strict compliance with any term or condition of the Agreement or this Release, such failure shall not be deemed a waiver of such terms or conditions, nor shall the Company’s failure to enforce any right it may have preclude it from thereafter enforcing its rights under the Agreement or this Release. Waiver of any one breach shall not be deemed a waiver of any other breach of the same or any other provision of the Agreement or this Release.</w:t>
      </w:r>
    </w:p>
    <w:p>
      <w:pPr>
        <w:spacing w:after="0" w:line="240" w:lineRule="exact"/>
        <w:rPr>
          <w:rFonts w:ascii="Arial" w:cs="Arial" w:eastAsia="Arial" w:hAnsi="Arial"/>
          <w:sz w:val="18"/>
          <w:szCs w:val="18"/>
          <w:color w:val="auto"/>
        </w:rPr>
      </w:pPr>
    </w:p>
    <w:p>
      <w:pPr>
        <w:jc w:val="both"/>
        <w:ind w:firstLine="656"/>
        <w:spacing w:after="0" w:line="264" w:lineRule="auto"/>
        <w:tabs>
          <w:tab w:leader="none" w:pos="176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Release constitutes the entire understanding of the Parties regarding the subject matter of this Release, supersedes all prior oral or written agreements on the subject matter of this Release and cannot be modified except by a writing signed by all Parties in accordance with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below.</w:t>
      </w:r>
    </w:p>
    <w:p>
      <w:pPr>
        <w:spacing w:after="0" w:line="235" w:lineRule="exact"/>
        <w:rPr>
          <w:rFonts w:ascii="Arial" w:cs="Arial" w:eastAsia="Arial" w:hAnsi="Arial"/>
          <w:sz w:val="18"/>
          <w:szCs w:val="18"/>
          <w:color w:val="auto"/>
        </w:rPr>
      </w:pPr>
    </w:p>
    <w:p>
      <w:pPr>
        <w:ind w:left="1480" w:hanging="824"/>
        <w:spacing w:after="0"/>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Release inures to the benefit of, and is binding upon, the Parties and their respective successors and assigns.</w:t>
      </w:r>
    </w:p>
    <w:p>
      <w:pPr>
        <w:spacing w:after="0" w:line="290" w:lineRule="exact"/>
        <w:rPr>
          <w:rFonts w:ascii="Arial" w:cs="Arial" w:eastAsia="Arial" w:hAnsi="Arial"/>
          <w:sz w:val="17"/>
          <w:szCs w:val="17"/>
          <w:color w:val="auto"/>
        </w:rPr>
      </w:pPr>
    </w:p>
    <w:p>
      <w:pPr>
        <w:ind w:left="1480" w:hanging="824"/>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to the various sections of this Release are for convenience only and are not part of this Release.</w:t>
      </w:r>
    </w:p>
    <w:p>
      <w:pPr>
        <w:spacing w:after="0" w:line="279" w:lineRule="exact"/>
        <w:rPr>
          <w:rFonts w:ascii="Arial" w:cs="Arial" w:eastAsia="Arial" w:hAnsi="Arial"/>
          <w:sz w:val="18"/>
          <w:szCs w:val="18"/>
          <w:color w:val="auto"/>
        </w:rPr>
      </w:pPr>
    </w:p>
    <w:p>
      <w:pPr>
        <w:ind w:right="20" w:firstLine="656"/>
        <w:spacing w:after="0" w:line="277" w:lineRule="auto"/>
        <w:tabs>
          <w:tab w:leader="none" w:pos="158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Release may be executed in one or more counterparts, each of which will be deemed an original, but all of which together will constitute the same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0" w:name="page51"/>
    <w:bookmarkEnd w:id="50"/>
    <w:p>
      <w:pPr>
        <w:ind w:firstLine="656"/>
        <w:spacing w:after="0" w:line="277" w:lineRule="auto"/>
        <w:tabs>
          <w:tab w:leader="none" w:pos="157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Any amendment to this Release must be in writing and signed by duly authorized representatives of each of the Parties hereto and must expressly state that it is the intention of each of the Parties hereto to amend the Release.</w:t>
      </w:r>
    </w:p>
    <w:p>
      <w:pPr>
        <w:spacing w:after="0" w:line="224" w:lineRule="exact"/>
        <w:rPr>
          <w:rFonts w:ascii="Arial" w:cs="Arial" w:eastAsia="Arial" w:hAnsi="Arial"/>
          <w:sz w:val="18"/>
          <w:szCs w:val="18"/>
          <w:color w:val="auto"/>
        </w:rPr>
      </w:pPr>
    </w:p>
    <w:p>
      <w:pPr>
        <w:ind w:right="20" w:firstLine="656"/>
        <w:spacing w:after="0" w:line="277" w:lineRule="auto"/>
        <w:tabs>
          <w:tab w:leader="none" w:pos="146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Release shall be governed by and construed in accordance with the laws of the State of Tennessee without reference to principles of conflict of laws.</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53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Exclusive Jurisdiction and Venue</w:t>
      </w:r>
      <w:r>
        <w:rPr>
          <w:rFonts w:ascii="Arial" w:cs="Arial" w:eastAsia="Arial" w:hAnsi="Arial"/>
          <w:sz w:val="18"/>
          <w:szCs w:val="18"/>
          <w:color w:val="auto"/>
        </w:rPr>
        <w:t>. The appropriate state or federal court in Wilson County, Tennessee will be the exclusive jurisdiction and venue for any dispute arising out of this Release. The parties voluntarily submit to the jurisdiction of these courts for any litigation arising out of or concerning the application, interpretation or any alleged breach of this Release.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Release as of the day and year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57283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28335" cy="17145"/>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152400</wp:posOffset>
            </wp:positionV>
            <wp:extent cx="49999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49999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999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4999990" cy="17145"/>
                    </a:xfrm>
                    <a:prstGeom prst="rect">
                      <a:avLst/>
                    </a:prstGeom>
                    <a:noFill/>
                  </pic:spPr>
                </pic:pic>
              </a:graphicData>
            </a:graphic>
          </wp:anchor>
        </w:drawing>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999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4999990" cy="17145"/>
                    </a:xfrm>
                    <a:prstGeom prst="rect">
                      <a:avLst/>
                    </a:prstGeom>
                    <a:noFill/>
                  </pic:spPr>
                </pic:pic>
              </a:graphicData>
            </a:graphic>
          </wp:anchor>
        </w:drawing>
      </w:r>
    </w:p>
    <w:p>
      <w:pPr>
        <w:spacing w:after="0" w:line="25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 UNDERSTAND THAT BY SIGNING THIS RELEASE, I AM GIVING UP RIGHTS I MAY HAVE. I UNDERSTAND THAT I DO NOT HAVE TO SIGN THIS RELEASE.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65258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1" w:name="page52"/>
    <w:bookmarkEnd w:id="51"/>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56"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This CHANGE OF CONTROL AGREEMENT by and between CRACKER BARREL OLD COUNTRY STORE, Inc., a Tennessee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___________</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is dated as of _________________.</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NE S S E T H</w:t>
      </w:r>
    </w:p>
    <w:p>
      <w:pPr>
        <w:spacing w:after="0" w:line="252"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WHEREAS, the Company wishes to attract and retain well-qualified executives and key personnel and help ensure continuity of management in the event of any actual or threatened Change of Control (as defined below) of the Company;</w:t>
      </w:r>
    </w:p>
    <w:p>
      <w:pPr>
        <w:spacing w:after="0" w:line="197"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WHEREAS, to achieve this purpose,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and “</w:t>
      </w:r>
      <w:r>
        <w:rPr>
          <w:rFonts w:ascii="Arial" w:cs="Arial" w:eastAsia="Arial" w:hAnsi="Arial"/>
          <w:sz w:val="18"/>
          <w:szCs w:val="18"/>
          <w:u w:val="single" w:color="auto"/>
          <w:color w:val="auto"/>
        </w:rPr>
        <w:t>Board</w:t>
      </w:r>
      <w:r>
        <w:rPr>
          <w:rFonts w:ascii="Arial" w:cs="Arial" w:eastAsia="Arial" w:hAnsi="Arial"/>
          <w:sz w:val="18"/>
          <w:szCs w:val="18"/>
          <w:color w:val="auto"/>
        </w:rPr>
        <w:t>”, respectively) has approved this Agreement as being in the best interests of the Company and its shareholders.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mutually agreed as follows:</w:t>
      </w:r>
    </w:p>
    <w:p>
      <w:pPr>
        <w:spacing w:after="0" w:line="252" w:lineRule="exact"/>
        <w:rPr>
          <w:sz w:val="20"/>
          <w:szCs w:val="20"/>
          <w:color w:val="auto"/>
        </w:rPr>
      </w:pPr>
    </w:p>
    <w:p>
      <w:pPr>
        <w:jc w:val="both"/>
        <w:ind w:firstLine="670"/>
        <w:spacing w:after="0" w:line="290" w:lineRule="auto"/>
        <w:tabs>
          <w:tab w:leader="none" w:pos="153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Operation and Term of Agreement</w:t>
      </w:r>
      <w:r>
        <w:rPr>
          <w:rFonts w:ascii="Arial" w:cs="Arial" w:eastAsia="Arial" w:hAnsi="Arial"/>
          <w:sz w:val="16"/>
          <w:szCs w:val="16"/>
          <w:color w:val="auto"/>
        </w:rPr>
        <w:t>. The “</w:t>
      </w:r>
      <w:r>
        <w:rPr>
          <w:rFonts w:ascii="Arial" w:cs="Arial" w:eastAsia="Arial" w:hAnsi="Arial"/>
          <w:sz w:val="16"/>
          <w:szCs w:val="16"/>
          <w:u w:val="single" w:color="auto"/>
          <w:color w:val="auto"/>
        </w:rPr>
        <w:t>Effective Date of this Agreement</w:t>
      </w:r>
      <w:r>
        <w:rPr>
          <w:rFonts w:ascii="Arial" w:cs="Arial" w:eastAsia="Arial" w:hAnsi="Arial"/>
          <w:sz w:val="16"/>
          <w:szCs w:val="16"/>
          <w:color w:val="auto"/>
        </w:rPr>
        <w:t>” or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be the business day immediately preceding the date on which a Change of Control occurs. This Agreement shall be of indefinite term, but the Company may terminate this Agreement at its discretion and without liability to Executive if (i) the Company provides Executive with written notice at least one year prior to the effective date of termination, (ii) at the time such notice is given, neither the Company nor the Board has received any proposal or indication of interest from a party regarding, nor is the Company or the Board then pursuing, considering, or negotiating, any transaction which, if consummated, would be reasonably likely to result in a Change of Control; and (iii) the termination applies not only to this Agreement, but to all similar agreements that the Company has in place with all officers of the Company at the same level as Executive (i.e., Vice President, Senior Vice President, Executive Vice President, President or Chief Operating Officer). Following a termination of this Agreement in accordance with this Section 1, this Agreement shall thereafter be null and void and of no further effect.</w:t>
      </w:r>
    </w:p>
    <w:p>
      <w:pPr>
        <w:spacing w:after="0" w:line="193" w:lineRule="exact"/>
        <w:rPr>
          <w:rFonts w:ascii="Arial" w:cs="Arial" w:eastAsia="Arial" w:hAnsi="Arial"/>
          <w:sz w:val="16"/>
          <w:szCs w:val="16"/>
          <w:color w:val="auto"/>
        </w:rPr>
      </w:pPr>
    </w:p>
    <w:p>
      <w:pPr>
        <w:ind w:left="1380" w:hanging="710"/>
        <w:spacing w:after="0"/>
        <w:tabs>
          <w:tab w:leader="none" w:pos="13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For the purpose of this Agreement, a “Change of Control” shall mean:</w:t>
      </w:r>
    </w:p>
    <w:p>
      <w:pPr>
        <w:spacing w:after="0" w:line="279" w:lineRule="exact"/>
        <w:rPr>
          <w:rFonts w:ascii="Arial" w:cs="Arial" w:eastAsia="Arial" w:hAnsi="Arial"/>
          <w:sz w:val="18"/>
          <w:szCs w:val="18"/>
          <w:color w:val="auto"/>
        </w:rPr>
      </w:pPr>
    </w:p>
    <w:p>
      <w:pPr>
        <w:jc w:val="both"/>
        <w:ind w:firstLine="1305"/>
        <w:spacing w:after="0" w:line="276" w:lineRule="auto"/>
        <w:tabs>
          <w:tab w:leader="none" w:pos="2212"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 acquisition of any shares of stock of the Company by any “Person” (as the term “person” is used for purposes of Section 13(d) or 14(d) of the Securities Exchange Act of 1934, as amended (the “1934 Act”)), other than the Company or a wholly-owned subsidiary thereof or any employee benefit plan (or related trust) of the Company or any of its subsidiaries, immediately after which such Person has “Beneficial Ownership” (within the meaning of Rule 13d-3 promulgated under the 1934 Act) of 30% or more of the then outstanding voting securities or the combined voting power of the then outstanding voting securities of the Company (or any successor to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2" w:name="page53"/>
    <w:bookmarkEnd w:id="52"/>
    <w:p>
      <w:pPr>
        <w:jc w:val="both"/>
        <w:ind w:firstLine="1305"/>
        <w:spacing w:after="0" w:line="255" w:lineRule="auto"/>
        <w:tabs>
          <w:tab w:leader="none" w:pos="2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individuals who, as of the Effective Date, are members of the Board (the “Incumbent Board”) cease for any reason to constitute a majority of the Board; provided, however, that if the election, or the nomination for election by the Company’s shareholders, of any new director was approved by a vote of at least 2/3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1934 Act) or other actual or threatened solicitation of proxies or consents by or on behalf of a person other than the Board (a “Proxy Contest”) including by reason of any agreement intended to avoid or settle any Election Contest or Proxy Contest;</w:t>
      </w:r>
    </w:p>
    <w:p>
      <w:pPr>
        <w:spacing w:after="0" w:line="243" w:lineRule="exact"/>
        <w:rPr>
          <w:rFonts w:ascii="Arial" w:cs="Arial" w:eastAsia="Arial" w:hAnsi="Arial"/>
          <w:sz w:val="18"/>
          <w:szCs w:val="18"/>
          <w:color w:val="auto"/>
        </w:rPr>
      </w:pPr>
    </w:p>
    <w:p>
      <w:pPr>
        <w:jc w:val="both"/>
        <w:ind w:firstLine="1305"/>
        <w:spacing w:after="0" w:line="269" w:lineRule="auto"/>
        <w:tabs>
          <w:tab w:leader="none" w:pos="2347" w:val="left"/>
        </w:tabs>
        <w:numPr>
          <w:ilvl w:val="1"/>
          <w:numId w:val="48"/>
        </w:numPr>
        <w:rPr>
          <w:rFonts w:ascii="Arial" w:cs="Arial" w:eastAsia="Arial" w:hAnsi="Arial"/>
          <w:sz w:val="17"/>
          <w:szCs w:val="17"/>
          <w:color w:val="auto"/>
        </w:rPr>
      </w:pPr>
      <w:r>
        <w:rPr>
          <w:rFonts w:ascii="Arial" w:cs="Arial" w:eastAsia="Arial" w:hAnsi="Arial"/>
          <w:sz w:val="17"/>
          <w:szCs w:val="17"/>
          <w:color w:val="auto"/>
        </w:rPr>
        <w:t>Consummation of any reorganization, merger, cash tender or exchange offer, or other business combination to which the Company is a party or a sale or other disposition of all or substantially all of the assets of the Company (a “Business Combination”), unless, following such Business Combination: (1) the beneficial owners of the Company’s outstanding voting securities immediately prior to such Business Combination are the beneficial owners, directly or indirectly, of more than fifty percent (50%) of the combined voting power of the outstanding voting securities of the corporation resulting from the Business Combination (including, without limitation, a corporation which as a result of such transaction owns the Company or all or substantially all of the Company’s assets either directly or through one or more subsidiaries) (the “Successor Entity”); (2) no Person (excluding any Successor Entity or any employee benefit plan or related trust of the Company, such Successor Entity, or any of their affiliates) is the beneficial owner, directly or indirectly, of thirty percent (30%) or more of the combined voting power of the then outstanding voting securities entitled to vote generally in the election of directors of the Successor Entity, except to the extent that such ownership existed prior to the Business Combination; and (3) the individuals who were members of the Incumbent Board (excluding, for the avoidance of doubt, any person who would not be considered a member of the Incumbent Board pursuant to Section 1.3(b) above) immediately prior to the execution of the initial agreement, or to the action of the Board, providing for such Business Combination constitute at least a majority of the members of the board of directors of the Successor Entity; or</w:t>
      </w:r>
    </w:p>
    <w:p>
      <w:pPr>
        <w:spacing w:after="0" w:line="233" w:lineRule="exact"/>
        <w:rPr>
          <w:rFonts w:ascii="Arial" w:cs="Arial" w:eastAsia="Arial" w:hAnsi="Arial"/>
          <w:sz w:val="17"/>
          <w:szCs w:val="17"/>
          <w:color w:val="auto"/>
        </w:rPr>
      </w:pPr>
    </w:p>
    <w:p>
      <w:pPr>
        <w:ind w:left="2100" w:hanging="795"/>
        <w:spacing w:after="0"/>
        <w:tabs>
          <w:tab w:leader="none" w:pos="2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52" w:lineRule="exact"/>
        <w:rPr>
          <w:rFonts w:ascii="Arial" w:cs="Arial" w:eastAsia="Arial" w:hAnsi="Arial"/>
          <w:sz w:val="18"/>
          <w:szCs w:val="18"/>
          <w:color w:val="auto"/>
        </w:rPr>
      </w:pPr>
    </w:p>
    <w:p>
      <w:pPr>
        <w:ind w:left="1380" w:hanging="710"/>
        <w:spacing w:after="0"/>
        <w:tabs>
          <w:tab w:leader="none" w:pos="13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305"/>
        <w:spacing w:after="0" w:line="268" w:lineRule="auto"/>
        <w:tabs>
          <w:tab w:leader="none" w:pos="21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Company hereby agrees to continue Executive in its employ during the entirety of the Employment Period (defined below), to exercise such authority and perform such executive duties as are commensurate with the authority being exercised and duties being performed by Executive during the 90-day period immediately prior to the Effective Date of this Agreement. During the Employment Period, and excluding any periods of vacation and sick leave to which Executive is entitled, Executive agrees to devote reasonable attention and time during normal business hours to the business and affairs of the Company and, to the extent necessary to discharge the responsibilities assigned to Executive hereunder, to use Executive’s reasonable best efforts to perform faithfully and efficiently such responsibilities. During the Employment Period, so long as such activities do not significantly interfere with the performance of Executive’s responsibilities as an employee of the Company in accordance with this Agreement or cause Executive to be in violation of any formal policy of the Company (including, but not limited to, the Code of Business Conduct and Ethics of the Company), it shall not be a violation of this Agreement for Executive to (A) serve on corporate, civic or charitable boards or committees, (B) deliver lectures, fulfill speaking engagements or teach at educational institutions and (C) manage personal investments. It is expressly understood and agreed that to the extent that any such activities have been conducted by Executive prior to the Effective Date of this Agreement, the continued conduct of such activities (or the conduct of activities similar in nature and scope thereto) subsequent to the Effective Date of this Agreement shall not thereafter be deemed to interfere with the performance of Executive’s responsibilities to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3" w:name="page54"/>
    <w:bookmarkEnd w:id="53"/>
    <w:p>
      <w:pPr>
        <w:jc w:val="both"/>
        <w:ind w:firstLine="1305"/>
        <w:spacing w:after="0" w:line="273" w:lineRule="auto"/>
        <w:tabs>
          <w:tab w:leader="none" w:pos="2055" w:val="left"/>
        </w:tabs>
        <w:numPr>
          <w:ilvl w:val="1"/>
          <w:numId w:val="50"/>
        </w:numPr>
        <w:rPr>
          <w:rFonts w:ascii="Arial" w:cs="Arial" w:eastAsia="Arial" w:hAnsi="Arial"/>
          <w:sz w:val="17"/>
          <w:szCs w:val="17"/>
          <w:color w:val="auto"/>
        </w:rPr>
      </w:pPr>
      <w:r>
        <w:rPr>
          <w:rFonts w:ascii="Arial" w:cs="Arial" w:eastAsia="Arial" w:hAnsi="Arial"/>
          <w:sz w:val="17"/>
          <w:szCs w:val="17"/>
          <w:color w:val="auto"/>
        </w:rPr>
        <w:t>Executive and the Company acknowledge that, except as may otherwise be provided under any other written agreement between Executive and the Company, the employment of Executive by the Company is “at will” and, prior to the Effective Date of this Agreement and except as otherwise provided herein, may be terminated by either Executive or the Company at any time. Moreover, except as provided in Section 5(c) below, if prior to the Effective Date of this Agreement, Executive’s employment with the Company terminates, then Executive shall have no further rights under this Agreement. In addition, no reference in this Agreement regarding Executive holding any future position or title within the Company shall imply any obligation on the part of the Company, the Committee or the Board to grant such position or title to Executive.</w:t>
      </w:r>
    </w:p>
    <w:p>
      <w:pPr>
        <w:spacing w:after="0" w:line="232" w:lineRule="exact"/>
        <w:rPr>
          <w:rFonts w:ascii="Arial" w:cs="Arial" w:eastAsia="Arial" w:hAnsi="Arial"/>
          <w:sz w:val="17"/>
          <w:szCs w:val="17"/>
          <w:color w:val="auto"/>
        </w:rPr>
      </w:pPr>
    </w:p>
    <w:p>
      <w:pPr>
        <w:ind w:firstLine="1318"/>
        <w:spacing w:after="0" w:line="277" w:lineRule="auto"/>
        <w:tabs>
          <w:tab w:leader="none" w:pos="22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Period</w:t>
      </w:r>
      <w:r>
        <w:rPr>
          <w:rFonts w:ascii="Arial" w:cs="Arial" w:eastAsia="Arial" w:hAnsi="Arial"/>
          <w:sz w:val="18"/>
          <w:szCs w:val="18"/>
          <w:color w:val="auto"/>
        </w:rPr>
        <w:t>” shall mean the period commencing on the Effective Date of this Agreement and ending on the second anniversary of the date the Change of Control occurs.</w:t>
      </w:r>
    </w:p>
    <w:p>
      <w:pPr>
        <w:spacing w:after="0" w:line="197" w:lineRule="exact"/>
        <w:rPr>
          <w:rFonts w:ascii="Arial" w:cs="Arial" w:eastAsia="Arial" w:hAnsi="Arial"/>
          <w:sz w:val="18"/>
          <w:szCs w:val="18"/>
          <w:color w:val="auto"/>
        </w:rPr>
      </w:pPr>
    </w:p>
    <w:p>
      <w:pPr>
        <w:ind w:left="1380" w:hanging="710"/>
        <w:spacing w:after="0"/>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Compensation, Compensation Plans, Benefits and Perquisites</w:t>
      </w:r>
      <w:r>
        <w:rPr>
          <w:rFonts w:ascii="Arial" w:cs="Arial" w:eastAsia="Arial" w:hAnsi="Arial"/>
          <w:sz w:val="16"/>
          <w:szCs w:val="16"/>
          <w:color w:val="auto"/>
        </w:rPr>
        <w:t>. During the Employment Period, Executive shall be compensated as follows:</w:t>
      </w:r>
    </w:p>
    <w:p>
      <w:pPr>
        <w:spacing w:after="0" w:line="302" w:lineRule="exact"/>
        <w:rPr>
          <w:rFonts w:ascii="Arial" w:cs="Arial" w:eastAsia="Arial" w:hAnsi="Arial"/>
          <w:sz w:val="16"/>
          <w:szCs w:val="16"/>
          <w:color w:val="auto"/>
        </w:rPr>
      </w:pPr>
    </w:p>
    <w:p>
      <w:pPr>
        <w:jc w:val="both"/>
        <w:ind w:firstLine="1305"/>
        <w:spacing w:after="0" w:line="259" w:lineRule="auto"/>
        <w:tabs>
          <w:tab w:leader="none" w:pos="21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 shall receive an annual salary at a monthly rate at least equal to the highest monthly base salary paid or payable to Executive by the Company during the 24 calendar months immediately prior to the Effective Date, with the opportunity for increases, from time to time thereafter, which are in accordance with the Company’s regular practices. Annual salary shall not be reduced after any such increase, and the term “salary” as utilized in this Agreement shall refer to such annual salary as increased.</w:t>
      </w:r>
    </w:p>
    <w:p>
      <w:pPr>
        <w:spacing w:after="0" w:line="240" w:lineRule="exact"/>
        <w:rPr>
          <w:rFonts w:ascii="Arial" w:cs="Arial" w:eastAsia="Arial" w:hAnsi="Arial"/>
          <w:sz w:val="18"/>
          <w:szCs w:val="18"/>
          <w:color w:val="auto"/>
        </w:rPr>
      </w:pPr>
    </w:p>
    <w:p>
      <w:pPr>
        <w:jc w:val="both"/>
        <w:ind w:firstLine="1305"/>
        <w:spacing w:after="0" w:line="270" w:lineRule="auto"/>
        <w:tabs>
          <w:tab w:leader="none" w:pos="233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Executive shall be eligible to participate, at the highest target percentage rate or target participation level in which he/she participated during the 12 months immediately prior to the Effective Date, in the Company’s bonus and other cash and equity incentive compensation plans (whether now or hereinafter in effect). The Company shall not terminate or eliminate an incentive compensation plan applicable to Executive during the 12-month period immediately prior to the Effective Date (notwithstanding any terms of such plan that otherwise allows the same to be terminated or eliminated) unless the Company replaces it with an incentive compensation plan pursuant to which Executive’s target incentive compensation opportunity and reasonable expectation of realizing the same will be at least equal to his/her opportunity and expectation under the terminated or eliminated plan. Similarly, the Company shall not modify any incentive compensation plan applicable to Executive during the 12 month period immediately prior to the Effective Date (notwithstanding any terms of such plan that otherwise allows the same to be modified) if the modification would materially diminish Executive’s ability to earn target incentive compensation at least equal to his/her target incentive compensation opportunity (and the same reasonable expectation of realizing the same) as was in effect during the 12 month period immediately prior to the Effective Date.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both"/>
        <w:ind w:firstLine="1305"/>
        <w:spacing w:after="0" w:line="269" w:lineRule="auto"/>
        <w:tabs>
          <w:tab w:leader="none" w:pos="1991" w:val="left"/>
        </w:tabs>
        <w:numPr>
          <w:ilvl w:val="1"/>
          <w:numId w:val="52"/>
        </w:numPr>
        <w:rPr>
          <w:rFonts w:ascii="Arial" w:cs="Arial" w:eastAsia="Arial" w:hAnsi="Arial"/>
          <w:sz w:val="17"/>
          <w:szCs w:val="17"/>
          <w:color w:val="auto"/>
        </w:rPr>
      </w:pPr>
      <w:r>
        <w:rPr>
          <w:rFonts w:ascii="Arial" w:cs="Arial" w:eastAsia="Arial" w:hAnsi="Arial"/>
          <w:sz w:val="17"/>
          <w:szCs w:val="17"/>
          <w:color w:val="auto"/>
        </w:rPr>
        <w:t>Executive shall be entitled to receive, at no greater cost to Executive than the cost paid or payable by him/her immediately prior to the Effective Date, at least the same employee benefits and perquisites that he/she was receiving (or was authorized to receive but elected not to receive), and to participate in any benefit or perquisite plan in which he/she was participating (or in which he/she was authorized to participate but elected not to do so), in each case at any time during the 12 month period immediately prior to the Effective Date. For as long as Executive is entitled to receive an employee benefit or perquisite under this Agreement, the Company shall not modify or terminate any benefit or perquisite plan applicable to Executive (notwithstanding any terms of such plan that otherwise allows the same to be modified or terminated) unless (A) the Company replaces the plan so modified or terminated with a plan under which Executive, at no greater cost to Executive, receives and/or is eligible to receive the benefits and perquisites at least equal in all respects to those provided to him/her under the modified or terminated plan, (B) in the case of a modified plan, the modification results in Executive, at no greater cost to him/her, receiving and/or being eligible to receive benefits and perquisites at least equal to those provided to him/her prior to such modification. For the avoidance of doubt, the Company shall not be permitted to pay Executive cash or other consideration in lieu of a benefit or perquisite as required under this paragraph without Executive’s prior express consent in each instance.</w:t>
      </w:r>
    </w:p>
    <w:p>
      <w:pPr>
        <w:spacing w:after="0" w:line="209" w:lineRule="exact"/>
        <w:rPr>
          <w:rFonts w:ascii="Arial" w:cs="Arial" w:eastAsia="Arial" w:hAnsi="Arial"/>
          <w:sz w:val="17"/>
          <w:szCs w:val="17"/>
          <w:color w:val="auto"/>
        </w:rPr>
      </w:pPr>
    </w:p>
    <w:p>
      <w:pPr>
        <w:ind w:left="1380" w:hanging="710"/>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1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w:t>
      </w:r>
      <w:r>
        <w:rPr>
          <w:rFonts w:ascii="Arial" w:cs="Arial" w:eastAsia="Arial" w:hAnsi="Arial"/>
          <w:sz w:val="18"/>
          <w:szCs w:val="18"/>
          <w:color w:val="auto"/>
        </w:rPr>
        <w:t>” shall mean termination by the Company of the employment of Executive with the Company for any reason other than death, Disability or Cause (as defined below), or, subject to Section 5(b), resignation by Executive upon the occurrence of any of the following events (“</w:t>
      </w:r>
      <w:r>
        <w:rPr>
          <w:rFonts w:ascii="Arial" w:cs="Arial" w:eastAsia="Arial" w:hAnsi="Arial"/>
          <w:sz w:val="18"/>
          <w:szCs w:val="18"/>
          <w:u w:val="single" w:color="auto"/>
          <w:color w:val="auto"/>
        </w:rPr>
        <w:t>Good Reason Events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firstLine="1953"/>
        <w:spacing w:after="0" w:line="277" w:lineRule="auto"/>
        <w:tabs>
          <w:tab w:leader="none" w:pos="2736" w:val="left"/>
        </w:tabs>
        <w:numPr>
          <w:ilvl w:val="2"/>
          <w:numId w:val="53"/>
        </w:numPr>
        <w:rPr>
          <w:rFonts w:ascii="Arial" w:cs="Arial" w:eastAsia="Arial" w:hAnsi="Arial"/>
          <w:sz w:val="18"/>
          <w:szCs w:val="18"/>
          <w:color w:val="auto"/>
        </w:rPr>
      </w:pPr>
      <w:r>
        <w:rPr>
          <w:rFonts w:ascii="Arial" w:cs="Arial" w:eastAsia="Arial" w:hAnsi="Arial"/>
          <w:sz w:val="18"/>
          <w:szCs w:val="18"/>
          <w:color w:val="auto"/>
        </w:rPr>
        <w:t>A material adverse reduction in title or the nature or scope of Executive’s authority, duties or responsibilities from those referred to in Section 3 or as enjoyed or carried out by Executive in the 12 months prior to the Effective Date;</w:t>
      </w:r>
    </w:p>
    <w:p>
      <w:pPr>
        <w:spacing w:after="0" w:line="224" w:lineRule="exact"/>
        <w:rPr>
          <w:rFonts w:ascii="Arial" w:cs="Arial" w:eastAsia="Arial" w:hAnsi="Arial"/>
          <w:sz w:val="18"/>
          <w:szCs w:val="18"/>
          <w:color w:val="auto"/>
        </w:rPr>
      </w:pPr>
    </w:p>
    <w:p>
      <w:pPr>
        <w:jc w:val="both"/>
        <w:ind w:firstLine="1953"/>
        <w:spacing w:after="0" w:line="312" w:lineRule="auto"/>
        <w:tabs>
          <w:tab w:leader="none" w:pos="2826" w:val="left"/>
        </w:tabs>
        <w:numPr>
          <w:ilvl w:val="2"/>
          <w:numId w:val="53"/>
        </w:numPr>
        <w:rPr>
          <w:rFonts w:ascii="Arial" w:cs="Arial" w:eastAsia="Arial" w:hAnsi="Arial"/>
          <w:sz w:val="16"/>
          <w:szCs w:val="16"/>
          <w:color w:val="auto"/>
        </w:rPr>
      </w:pPr>
      <w:r>
        <w:rPr>
          <w:rFonts w:ascii="Arial" w:cs="Arial" w:eastAsia="Arial" w:hAnsi="Arial"/>
          <w:sz w:val="16"/>
          <w:szCs w:val="16"/>
          <w:color w:val="auto"/>
        </w:rPr>
        <w:t>A relocation of Executive or a relocation of the principal offices of Executive’s workplace to a location that requires Executive to commute more than one hour from Executive’s principal residence as of the Effective Date, or if Executive’s commute as of the Effective Date is already greater than one hour from his/her residence, that increases Executive’s average commute by more than an additional 15 minutes each way;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firstLine="1953"/>
        <w:spacing w:after="0" w:line="277" w:lineRule="auto"/>
        <w:tabs>
          <w:tab w:leader="none" w:pos="280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reduction in the compensation, compensation plans, benefits or perquisites from those to be provided to Executive under Section 4, or the breach by the Company of any other provision of this Agreement;</w:t>
      </w:r>
    </w:p>
    <w:p>
      <w:pPr>
        <w:spacing w:after="0" w:line="224" w:lineRule="exact"/>
        <w:rPr>
          <w:rFonts w:ascii="Arial" w:cs="Arial" w:eastAsia="Arial" w:hAnsi="Arial"/>
          <w:sz w:val="18"/>
          <w:szCs w:val="18"/>
          <w:color w:val="auto"/>
        </w:rPr>
      </w:pPr>
    </w:p>
    <w:p>
      <w:pPr>
        <w:ind w:left="2780" w:hanging="827"/>
        <w:spacing w:after="0"/>
        <w:tabs>
          <w:tab w:leader="none" w:pos="27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failure of any successor to the Company to assume this Agreement or a material breach of this Agreement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or its successors;</w:t>
      </w:r>
    </w:p>
    <w:p>
      <w:pPr>
        <w:spacing w:after="0" w:line="264" w:lineRule="exact"/>
        <w:rPr>
          <w:rFonts w:ascii="Arial" w:cs="Arial" w:eastAsia="Arial" w:hAnsi="Arial"/>
          <w:sz w:val="16"/>
          <w:szCs w:val="16"/>
          <w:color w:val="auto"/>
        </w:rPr>
      </w:pPr>
    </w:p>
    <w:p>
      <w:pPr>
        <w:ind w:right="20" w:firstLine="1953"/>
        <w:spacing w:after="0" w:line="277" w:lineRule="auto"/>
        <w:tabs>
          <w:tab w:leader="none" w:pos="28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change in organizational structure which results in Executive no longer serving in his/her role for the most senior parent company resulting from and immediately following a Change of Control; or</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270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As a result of a Change of Control, Executive is unable to exercise the authorities, powers, function or duties attached to his/her position in a manner commensurate with the authority being exercised and duties being performed by Executive during the 90-day period immediately prior to the Effective Date of this Agreement.</w:t>
      </w:r>
    </w:p>
    <w:p>
      <w:pPr>
        <w:spacing w:after="0" w:line="235" w:lineRule="exact"/>
        <w:rPr>
          <w:rFonts w:ascii="Arial" w:cs="Arial" w:eastAsia="Arial" w:hAnsi="Arial"/>
          <w:sz w:val="18"/>
          <w:szCs w:val="18"/>
          <w:color w:val="auto"/>
        </w:rPr>
      </w:pPr>
    </w:p>
    <w:p>
      <w:pPr>
        <w:jc w:val="both"/>
        <w:ind w:firstLine="1305"/>
        <w:spacing w:after="0" w:line="255" w:lineRule="auto"/>
        <w:tabs>
          <w:tab w:leader="none" w:pos="21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good-faith determination made by Executive that he/she is entitled to invoke any of the provisions of Section 5(a) shall be binding and conclusive for all purposes. Notwithstanding the foregoing, Executive shall not be entitled to invoke Termination rights (i) for the reasons set forth in Sections 5(a)(ii), 5(a)(iii), 5(a)(iv) or 5(a)(v) except in a written notice provided at least 15 days in advance of the effective date of Termination, or (ii) for the reasons set forth in Sections 5(a)(i) or 5(a)(vi) except in a written notice provided no earlier than 60 days following the Effective Date, and then giving the Company at least 30 days of notice between the date of such notice and the effective date of Termination. The Company may waive such 15 or 30 day notice periods, as the case may be, in whole or in part, at its discretion, in which case the Company shall not be obliged to pay Executive in respect of the time so waived.</w:t>
      </w:r>
    </w:p>
    <w:p>
      <w:pPr>
        <w:spacing w:after="0" w:line="243" w:lineRule="exact"/>
        <w:rPr>
          <w:rFonts w:ascii="Arial" w:cs="Arial" w:eastAsia="Arial" w:hAnsi="Arial"/>
          <w:sz w:val="18"/>
          <w:szCs w:val="18"/>
          <w:color w:val="auto"/>
        </w:rPr>
      </w:pPr>
    </w:p>
    <w:p>
      <w:pPr>
        <w:jc w:val="both"/>
        <w:ind w:firstLine="1305"/>
        <w:spacing w:after="0" w:line="276" w:lineRule="auto"/>
        <w:tabs>
          <w:tab w:leader="none" w:pos="24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Executive’s employment is terminated within the period beginning 90 days prior to the first public announcement of an intended Change of Control (or if none, then the date that is 90 days prior to the date the Change of Control occurs) and ending on the date the Change of Control occurs, and Executive reasonably demonstrates that such termination was in connection with the Change of Control, then for all purposes of this Agreement, a Termination shall be deemed to have occurred, and the date of the Change of Control shall be deemed to mean the date immediately prior to the date of such termination of employment.</w:t>
      </w:r>
    </w:p>
    <w:p>
      <w:pPr>
        <w:spacing w:after="0" w:line="226" w:lineRule="exact"/>
        <w:rPr>
          <w:rFonts w:ascii="Arial" w:cs="Arial" w:eastAsia="Arial" w:hAnsi="Arial"/>
          <w:sz w:val="17"/>
          <w:szCs w:val="17"/>
          <w:color w:val="auto"/>
        </w:rPr>
      </w:pPr>
    </w:p>
    <w:p>
      <w:pPr>
        <w:jc w:val="both"/>
        <w:ind w:firstLine="1305"/>
        <w:spacing w:after="0" w:line="259" w:lineRule="auto"/>
        <w:tabs>
          <w:tab w:leader="none" w:pos="2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Cause</w:t>
      </w:r>
      <w:r>
        <w:rPr>
          <w:rFonts w:ascii="Arial" w:cs="Arial" w:eastAsia="Arial" w:hAnsi="Arial"/>
          <w:sz w:val="18"/>
          <w:szCs w:val="18"/>
          <w:color w:val="auto"/>
        </w:rPr>
        <w:t>” means: (i) Executive’s personal dishonesty or willful misconduct in connection with any material aspect of his/her duties to the Company; (ii) Executive’s material breach of a fiduciary duty; (iii) Executive’s conviction for, or pleading guilty or no contest to, any felony or crime involving moral turpitude; or (iv) Executive’s willful or intentional misconduct that causes material and demonstrable injury, monetarily or otherwise, to the Company.</w:t>
      </w:r>
    </w:p>
    <w:p>
      <w:pPr>
        <w:spacing w:after="0" w:line="240" w:lineRule="exact"/>
        <w:rPr>
          <w:rFonts w:ascii="Arial" w:cs="Arial" w:eastAsia="Arial" w:hAnsi="Arial"/>
          <w:sz w:val="18"/>
          <w:szCs w:val="18"/>
          <w:color w:val="auto"/>
        </w:rPr>
      </w:pPr>
    </w:p>
    <w:p>
      <w:pPr>
        <w:jc w:val="both"/>
        <w:ind w:firstLine="1305"/>
        <w:spacing w:after="0" w:line="264" w:lineRule="auto"/>
        <w:tabs>
          <w:tab w:leader="none" w:pos="22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this Agreement, Executive shall be deemed to have a “</w:t>
      </w:r>
      <w:r>
        <w:rPr>
          <w:rFonts w:ascii="Arial" w:cs="Arial" w:eastAsia="Arial" w:hAnsi="Arial"/>
          <w:sz w:val="18"/>
          <w:szCs w:val="18"/>
          <w:u w:val="single" w:color="auto"/>
          <w:color w:val="auto"/>
        </w:rPr>
        <w:t>Disability</w:t>
      </w:r>
      <w:r>
        <w:rPr>
          <w:rFonts w:ascii="Arial" w:cs="Arial" w:eastAsia="Arial" w:hAnsi="Arial"/>
          <w:sz w:val="18"/>
          <w:szCs w:val="18"/>
          <w:color w:val="auto"/>
        </w:rPr>
        <w:t>” (and to be “</w:t>
      </w:r>
      <w:r>
        <w:rPr>
          <w:rFonts w:ascii="Arial" w:cs="Arial" w:eastAsia="Arial" w:hAnsi="Arial"/>
          <w:sz w:val="18"/>
          <w:szCs w:val="18"/>
          <w:u w:val="single" w:color="auto"/>
          <w:color w:val="auto"/>
        </w:rPr>
        <w:t>Disabled</w:t>
      </w:r>
      <w:r>
        <w:rPr>
          <w:rFonts w:ascii="Arial" w:cs="Arial" w:eastAsia="Arial" w:hAnsi="Arial"/>
          <w:sz w:val="18"/>
          <w:szCs w:val="18"/>
          <w:color w:val="auto"/>
        </w:rPr>
        <w:t>”) if he/she has been determined by the Incumbent Board based on competent medical evidence, to have a physical or mental disability that renders him/her incapable, after reasonable accommodation by the Company, of performing his/her duties under Section 3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6" w:name="page57"/>
    <w:bookmarkEnd w:id="56"/>
    <w:p>
      <w:pPr>
        <w:jc w:val="both"/>
        <w:ind w:firstLine="1305"/>
        <w:spacing w:after="0" w:line="255" w:lineRule="auto"/>
        <w:tabs>
          <w:tab w:leader="none" w:pos="24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During the 90 days following a Termination of Executive’s employment and provided that Company has performed all obligations required to have been performed during such time period and has acknowledged in writing that it will continue such performance, Executive shall provide such assistance and cooperation as the Company may reasonably require to transfer knowledge and otherwise assist in a transition of Executive’s responsibilities to one or more other individuals designated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 all such assistance and cooperation shall be provided at times that are mutually convenient to Executive and the Company, (ii) Executive shall not be required to spend more than 20 hours in the aggregate during the 90 day period providing such assistance.</w:t>
      </w:r>
    </w:p>
    <w:p>
      <w:pPr>
        <w:spacing w:after="0" w:line="220" w:lineRule="exact"/>
        <w:rPr>
          <w:rFonts w:ascii="Arial" w:cs="Arial" w:eastAsia="Arial" w:hAnsi="Arial"/>
          <w:sz w:val="18"/>
          <w:szCs w:val="18"/>
          <w:color w:val="auto"/>
        </w:rPr>
      </w:pPr>
    </w:p>
    <w:p>
      <w:pPr>
        <w:ind w:left="1380" w:hanging="710"/>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Payments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19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event of a Termination of Executive during the Employment Period, and in addition to paying Executive any salary, benefits and vacation time that are unpaid as of the Termination date, the Company shall pay to Executive and provide him with the following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firstLine="1953"/>
        <w:spacing w:after="0" w:line="277" w:lineRule="auto"/>
        <w:tabs>
          <w:tab w:leader="none" w:pos="272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lump-sum cash payment equal to (A) the sum of (X) Executive’s Base Salary (as defined below) plus (Y) Executive’s Annual Bonus (as defined below), multiplied by (B) the Applicable Factor (defined below);</w:t>
      </w:r>
    </w:p>
    <w:p>
      <w:pPr>
        <w:spacing w:after="0" w:line="224" w:lineRule="exact"/>
        <w:rPr>
          <w:rFonts w:ascii="Arial" w:cs="Arial" w:eastAsia="Arial" w:hAnsi="Arial"/>
          <w:sz w:val="18"/>
          <w:szCs w:val="18"/>
          <w:color w:val="auto"/>
        </w:rPr>
      </w:pPr>
    </w:p>
    <w:p>
      <w:pPr>
        <w:ind w:right="20" w:firstLine="1953"/>
        <w:spacing w:after="0" w:line="277" w:lineRule="auto"/>
        <w:tabs>
          <w:tab w:leader="none" w:pos="2921"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lump-sum cash payment equal to Executive’s Annual Bonus (as defined below) in respect of the fiscal year of termination, prorated based on the number of days worked by Executive during such fiscal year;</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2849"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A lump-sum cash payment equal to Executive’s actual bonus in respect of the fiscal year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the fiscal year of termination under the bonus plan applicable to such prior fiscal year (but subject to Section 4(b)), if and to the extent such bonus was not already paid to Executive; and</w:t>
      </w:r>
    </w:p>
    <w:p>
      <w:pPr>
        <w:spacing w:after="0" w:line="235" w:lineRule="exact"/>
        <w:rPr>
          <w:rFonts w:ascii="Arial" w:cs="Arial" w:eastAsia="Arial" w:hAnsi="Arial"/>
          <w:sz w:val="18"/>
          <w:szCs w:val="18"/>
          <w:color w:val="auto"/>
        </w:rPr>
      </w:pPr>
    </w:p>
    <w:p>
      <w:pPr>
        <w:jc w:val="both"/>
        <w:ind w:firstLine="1953"/>
        <w:spacing w:after="0" w:line="291" w:lineRule="auto"/>
        <w:tabs>
          <w:tab w:leader="none" w:pos="2907" w:val="left"/>
        </w:tabs>
        <w:numPr>
          <w:ilvl w:val="2"/>
          <w:numId w:val="57"/>
        </w:numPr>
        <w:rPr>
          <w:rFonts w:ascii="Arial" w:cs="Arial" w:eastAsia="Arial" w:hAnsi="Arial"/>
          <w:sz w:val="16"/>
          <w:szCs w:val="16"/>
          <w:color w:val="auto"/>
        </w:rPr>
      </w:pPr>
      <w:r>
        <w:rPr>
          <w:rFonts w:ascii="Arial" w:cs="Arial" w:eastAsia="Arial" w:hAnsi="Arial"/>
          <w:sz w:val="16"/>
          <w:szCs w:val="16"/>
          <w:color w:val="auto"/>
        </w:rPr>
        <w:t>Continued Benefits and Perquisites (as defined below) for the Applicable Continuation Period (as defined below) following the Termination. If applicable law or the express terms of a plan pursuant to which any Benefits and Perquisites is provided prohibit the Company from providing the same to Executive, or his/her dependents, beneficiaries and estate because he/she is no longer an employee of the Company, the Company itself shall, at a cost no greater to Executive, his/her dependents, beneficiaries or estate, arrange to provide such Benefits and Perquisites to Executive, his/her dependents, beneficiaries or estate through an alternate plan or arrangement reasonably acceptable to Executive, his/her dependents, beneficiaries or estate. For the avoidance of doubt, the Company shall not be permitted to pay Executive, his/her dependents, beneficiaries or estate cash or other consideration in lieu of such Benefits and Perquisites without Executive’s, his/her dependents’, beneficiaries’ or estate’s prior express consent in each instance.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7" w:name="page58"/>
    <w:bookmarkEnd w:id="57"/>
    <w:p>
      <w:pPr>
        <w:jc w:val="both"/>
        <w:ind w:firstLine="1305"/>
        <w:spacing w:after="0" w:line="269" w:lineRule="auto"/>
        <w:tabs>
          <w:tab w:leader="none" w:pos="205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Unless more favorable treatment is set forth in any applicable equity plans or award agreements related thereto, each Long-Term Incentive Award (defined below) previously granted to Executive that is unvested as of the Effective Date shall be determined and converted into cash on the Effective Date pursuant to the terms of Exhibit B. Such cash (together with interest that shall have accrued on such amount each month from the Effective Date to the payment date at a rate equal to one and one-half percent (1.5%) over the ten (10) year Treasury Bill rate (stated as a monthly rate) in effect as of the beginning of such calendar month, such amount to be compounded monthly) shall thereafter be paid out to Executive on earliest to occur of (i) the date of Executive’s Termination, (ii) the date(s) on which the underlying Long-Term Incentive Award would have otherwise vested or been paid (including if subject to a legally binding deferral election), or (iii) the date that is two (2) years following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in the case of (ii) and (iii), that Executive shall have remained employed with the Company or its Successor Entity at all times prior to such date(s) (unless, with respect to any Long-Term Incentive Award providing accelerated vesting in the event of a retirement, Executive retires), in each case subject to any applicable withholdings and Section 9(e) or any applicable deferral elections regarding Long-Term Incentive Awards subject to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shall be defined as follows:</w:t>
      </w:r>
    </w:p>
    <w:p>
      <w:pPr>
        <w:spacing w:after="0" w:line="279" w:lineRule="exact"/>
        <w:rPr>
          <w:rFonts w:ascii="Arial" w:cs="Arial" w:eastAsia="Arial" w:hAnsi="Arial"/>
          <w:sz w:val="18"/>
          <w:szCs w:val="18"/>
          <w:color w:val="auto"/>
        </w:rPr>
      </w:pPr>
    </w:p>
    <w:p>
      <w:pPr>
        <w:ind w:firstLine="1953"/>
        <w:spacing w:after="0" w:line="277" w:lineRule="auto"/>
        <w:tabs>
          <w:tab w:leader="none" w:pos="27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Executive’s annual salary in effect under and in accordance with Section 4(a) immediately prior to the date of Termination (or, if greater, before the occurrence of circumstances giving rise to Good Reason) ;</w:t>
      </w:r>
    </w:p>
    <w:p>
      <w:pPr>
        <w:spacing w:after="0" w:line="224" w:lineRule="exact"/>
        <w:rPr>
          <w:rFonts w:ascii="Arial" w:cs="Arial" w:eastAsia="Arial" w:hAnsi="Arial"/>
          <w:sz w:val="18"/>
          <w:szCs w:val="18"/>
          <w:color w:val="auto"/>
        </w:rPr>
      </w:pPr>
    </w:p>
    <w:p>
      <w:pPr>
        <w:ind w:firstLine="1953"/>
        <w:spacing w:after="0" w:line="277" w:lineRule="auto"/>
        <w:tabs>
          <w:tab w:leader="none" w:pos="27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means Executive’s target annual cash bonus in effect under and in accordance with Section 4(b) for the fiscal year of Termination (or, if greater, before the occurrence of circumstances giving rise to Good Reason);</w:t>
      </w:r>
    </w:p>
    <w:p>
      <w:pPr>
        <w:spacing w:after="0" w:line="224" w:lineRule="exact"/>
        <w:rPr>
          <w:rFonts w:ascii="Arial" w:cs="Arial" w:eastAsia="Arial" w:hAnsi="Arial"/>
          <w:sz w:val="18"/>
          <w:szCs w:val="18"/>
          <w:color w:val="auto"/>
        </w:rPr>
      </w:pPr>
    </w:p>
    <w:p>
      <w:pPr>
        <w:jc w:val="both"/>
        <w:ind w:firstLine="1953"/>
        <w:spacing w:after="0" w:line="259" w:lineRule="auto"/>
        <w:tabs>
          <w:tab w:leader="none" w:pos="27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means the benefits and perquisites which Executive was receiving or entitled to receive under and in accordance with Section 4(c) immediately prior to the date of Termination (or, if greater, before the occurrence of circumstances giving rise to Good Reason), and subject to the same limitations and restrictions (e.g., regarding the modification and termination of plans, benefits and perquisites) as set forth in Section 4(c);</w:t>
      </w:r>
    </w:p>
    <w:p>
      <w:pPr>
        <w:spacing w:after="0" w:line="240" w:lineRule="exact"/>
        <w:rPr>
          <w:rFonts w:ascii="Arial" w:cs="Arial" w:eastAsia="Arial" w:hAnsi="Arial"/>
          <w:sz w:val="18"/>
          <w:szCs w:val="18"/>
          <w:color w:val="auto"/>
        </w:rPr>
      </w:pPr>
    </w:p>
    <w:p>
      <w:pPr>
        <w:ind w:firstLine="1953"/>
        <w:spacing w:after="0" w:line="277" w:lineRule="auto"/>
        <w:tabs>
          <w:tab w:leader="none" w:pos="28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Factor</w:t>
      </w:r>
      <w:r>
        <w:rPr>
          <w:rFonts w:ascii="Arial" w:cs="Arial" w:eastAsia="Arial" w:hAnsi="Arial"/>
          <w:sz w:val="18"/>
          <w:szCs w:val="18"/>
          <w:color w:val="auto"/>
        </w:rPr>
        <w:t>” means the multiplier corresponding to Executive’s position within the Company at the date of Termination, as set forth in Exhibit A hereto;</w:t>
      </w:r>
    </w:p>
    <w:p>
      <w:pPr>
        <w:spacing w:after="0" w:line="224" w:lineRule="exact"/>
        <w:rPr>
          <w:rFonts w:ascii="Arial" w:cs="Arial" w:eastAsia="Arial" w:hAnsi="Arial"/>
          <w:sz w:val="18"/>
          <w:szCs w:val="18"/>
          <w:color w:val="auto"/>
        </w:rPr>
      </w:pPr>
    </w:p>
    <w:p>
      <w:pPr>
        <w:ind w:firstLine="1953"/>
        <w:spacing w:after="0" w:line="277" w:lineRule="auto"/>
        <w:tabs>
          <w:tab w:leader="none" w:pos="2749"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Continuation Period</w:t>
      </w:r>
      <w:r>
        <w:rPr>
          <w:rFonts w:ascii="Arial" w:cs="Arial" w:eastAsia="Arial" w:hAnsi="Arial"/>
          <w:sz w:val="18"/>
          <w:szCs w:val="18"/>
          <w:color w:val="auto"/>
        </w:rPr>
        <w:t>” means the period of time corresponding to Executive’s position within the Company at the date of Termination, as set forth in Exhibit A hereto; and</w:t>
      </w:r>
    </w:p>
    <w:p>
      <w:pPr>
        <w:spacing w:after="0" w:line="224" w:lineRule="exact"/>
        <w:rPr>
          <w:rFonts w:ascii="Arial" w:cs="Arial" w:eastAsia="Arial" w:hAnsi="Arial"/>
          <w:sz w:val="18"/>
          <w:szCs w:val="18"/>
          <w:color w:val="auto"/>
        </w:rPr>
      </w:pPr>
    </w:p>
    <w:p>
      <w:pPr>
        <w:jc w:val="both"/>
        <w:ind w:firstLine="1953"/>
        <w:spacing w:after="0" w:line="259" w:lineRule="auto"/>
        <w:tabs>
          <w:tab w:leader="none" w:pos="27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w:t>
      </w:r>
      <w:r>
        <w:rPr>
          <w:rFonts w:ascii="Arial" w:cs="Arial" w:eastAsia="Arial" w:hAnsi="Arial"/>
          <w:sz w:val="18"/>
          <w:szCs w:val="18"/>
          <w:color w:val="auto"/>
        </w:rPr>
        <w:t>” means any award of cash, stock or restricted stock, stock options, restricted stock units, phantom stock or stock appreciation rights, the vesting of which is subject to the passage of time of more than 12 months or the achievement of any performance criteria measured over a performance period of more than 12 months. For the avoidance of doubt, the Annual Bonus is not a Long-Term Incentive Award.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both"/>
        <w:ind w:firstLine="1305"/>
        <w:spacing w:after="0" w:line="255" w:lineRule="auto"/>
        <w:tabs>
          <w:tab w:leader="none" w:pos="20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Termination Payments and the vesting and payout of Long-Term Incentive Awards under this Agreement shall be in lieu of and subject to offset for any termination, severance or similar payments and benefits provided to Executive under any employment agreement or severance plan or policy of the Company to which Executive may be a party or under which he/she may be covered. Notwithstanding the foregoing and for the avoidance of doubt, nothing in this Agreement shall affect or limit Executive’s right to receive (i) payment of any compensation or the issuance of any securities which Executive deferred under any deferred compensation plan of the Company, or (ii) any amounts due or belonging to Executive under any retirement program, employee stock purchase plan, or 401(k) plan, each of which shall be subject to the terms of such arrangements, including any deferral elections made thereunder.</w:t>
      </w:r>
    </w:p>
    <w:p>
      <w:pPr>
        <w:spacing w:after="0" w:line="243" w:lineRule="exact"/>
        <w:rPr>
          <w:rFonts w:ascii="Arial" w:cs="Arial" w:eastAsia="Arial" w:hAnsi="Arial"/>
          <w:sz w:val="18"/>
          <w:szCs w:val="18"/>
          <w:color w:val="auto"/>
        </w:rPr>
      </w:pPr>
    </w:p>
    <w:p>
      <w:pPr>
        <w:jc w:val="both"/>
        <w:ind w:firstLine="1305"/>
        <w:spacing w:after="0" w:line="270" w:lineRule="auto"/>
        <w:tabs>
          <w:tab w:leader="none" w:pos="248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and Executive are parties to that certain Severance Agreement of even date herewith (the “</w:t>
      </w:r>
      <w:r>
        <w:rPr>
          <w:rFonts w:ascii="Arial" w:cs="Arial" w:eastAsia="Arial" w:hAnsi="Arial"/>
          <w:sz w:val="17"/>
          <w:szCs w:val="17"/>
          <w:u w:val="single" w:color="auto"/>
          <w:color w:val="auto"/>
        </w:rPr>
        <w:t>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which establishes certain obligations of the parties regarding termination payments and other benefits to which Executive would be entitled in connection with a Termination of Executive’s employment outside the Employment Period. The Company and Executive acknowledge and agree that it is the intent of the parties that this Agreement shall take precedence over the Severance Agreement in connection with the matters set forth herein. Without limiting the foregoing, if Executive is entitled to receive Termination Payments and other benefits pursuant to this Agreement in connection with the Termination of Executive’s employment with the Company during the Employment Period, then Executive shall be entitled to receive such Termination Payments and other benefits as set forth herein and not termination payments pursuant to the Severance Agreement, and neither party shall argue that the rights of the Company or Executive, nor any Termination Payments or other benefits to which the Executive may be entitled, pursuant to this Agreement shall be limited or superseded by anything set forth in the Severance Agreement.</w:t>
      </w:r>
    </w:p>
    <w:p>
      <w:pPr>
        <w:spacing w:after="0" w:line="236" w:lineRule="exact"/>
        <w:rPr>
          <w:sz w:val="20"/>
          <w:szCs w:val="20"/>
          <w:color w:val="auto"/>
        </w:rPr>
      </w:pPr>
    </w:p>
    <w:p>
      <w:pPr>
        <w:ind w:firstLine="1305"/>
        <w:spacing w:after="0" w:line="277" w:lineRule="auto"/>
        <w:tabs>
          <w:tab w:leader="none" w:pos="209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Unless otherwise required under Section 9(e) of this Agreement, all Termination Payments shall be made or commence within 30 days following the date of Termination.</w:t>
      </w:r>
    </w:p>
    <w:p>
      <w:pPr>
        <w:spacing w:after="0" w:line="224" w:lineRule="exact"/>
        <w:rPr>
          <w:rFonts w:ascii="Arial" w:cs="Arial" w:eastAsia="Arial" w:hAnsi="Arial"/>
          <w:sz w:val="18"/>
          <w:szCs w:val="18"/>
          <w:color w:val="auto"/>
        </w:rPr>
      </w:pPr>
    </w:p>
    <w:p>
      <w:pPr>
        <w:jc w:val="both"/>
        <w:ind w:firstLine="1305"/>
        <w:spacing w:after="0" w:line="257" w:lineRule="auto"/>
        <w:tabs>
          <w:tab w:leader="none" w:pos="21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 Change of Control occurs, which does not constitute a “change in control event” within the meaning of Treasury Regulation §1.409A-3(i)(5), or the lump sum payment of any portion of the Termination Payments is prohibited by Section 409A of the Code, then the portion of the Termination Payments that constitute deferred compensation subject to Section 409A of the Code shall be paid to Executive in installments over the same period as provided for in any severance agreement or policy applicable to Executive with regard to a Termination which occurs outside of the Employment Period.</w:t>
      </w:r>
    </w:p>
    <w:p>
      <w:pPr>
        <w:spacing w:after="0" w:line="242" w:lineRule="exact"/>
        <w:rPr>
          <w:rFonts w:ascii="Arial" w:cs="Arial" w:eastAsia="Arial" w:hAnsi="Arial"/>
          <w:sz w:val="18"/>
          <w:szCs w:val="18"/>
          <w:color w:val="auto"/>
        </w:rPr>
      </w:pPr>
    </w:p>
    <w:p>
      <w:pPr>
        <w:jc w:val="both"/>
        <w:ind w:firstLine="670"/>
        <w:spacing w:after="0" w:line="264" w:lineRule="auto"/>
        <w:tabs>
          <w:tab w:leader="none" w:pos="185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Obligations of Executive</w:t>
      </w:r>
      <w:r>
        <w:rPr>
          <w:rFonts w:ascii="Arial" w:cs="Arial" w:eastAsia="Arial" w:hAnsi="Arial"/>
          <w:sz w:val="18"/>
          <w:szCs w:val="18"/>
          <w:color w:val="auto"/>
        </w:rPr>
        <w:t>. In consideration for the benefits offered to Executive under this Agreement and in consideration of Executive’s continued employment with the Company as of the date of this Agreement’s execution, Executive hereby agrees to the following terms and conditions: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both"/>
        <w:ind w:firstLine="1305"/>
        <w:spacing w:after="0" w:line="253" w:lineRule="auto"/>
        <w:tabs>
          <w:tab w:leader="none" w:pos="2239"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 During Executive’s employment following the Effective Date and following any termination of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whatever reason thereafter, Executive shall strictly maintain the confidentiality of Company marketing, financial, strategic planning, proprietary or other information which is not generally known to the public. Executive acknowledges that, as a result of his/her employment by the Company, Executive has or will become familiar with and acquire knowledge of confidential information and certain trade secrets that are special, unique and extraordinarily valuable assets of the Company. Executive agrees that all such confidential information and trade secrets are the property of the Company and that following the termination of Executive’s employment for any reason, all confidential information and trade secrets shall be considered to be proprietary to the Company and kept as the private records of the Company and will not be divulged to any firm, individual, or institution, or used to the detriment of the Company. None of the foregoing confidentiality obligations are intended to, nor shall they, prohibit Executive from communicating with any governmental agency.</w:t>
      </w:r>
    </w:p>
    <w:p>
      <w:pPr>
        <w:spacing w:after="0" w:line="251" w:lineRule="exact"/>
        <w:rPr>
          <w:rFonts w:ascii="Arial" w:cs="Arial" w:eastAsia="Arial" w:hAnsi="Arial"/>
          <w:sz w:val="18"/>
          <w:szCs w:val="18"/>
          <w:color w:val="auto"/>
        </w:rPr>
      </w:pPr>
    </w:p>
    <w:p>
      <w:pPr>
        <w:jc w:val="both"/>
        <w:ind w:firstLine="1305"/>
        <w:spacing w:after="0" w:line="276" w:lineRule="auto"/>
        <w:tabs>
          <w:tab w:leader="none" w:pos="2182"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Return of Company Property</w:t>
      </w:r>
      <w:r>
        <w:rPr>
          <w:rFonts w:ascii="Arial" w:cs="Arial" w:eastAsia="Arial" w:hAnsi="Arial"/>
          <w:sz w:val="17"/>
          <w:szCs w:val="17"/>
          <w:color w:val="auto"/>
        </w:rPr>
        <w:t>. Upon termination of Executive’s employment for whatever reason following the Effective Date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shall return to the Company all Company property then in Executive’s possession or control, in good condition and repair (normal wear and tear excepted) including but not limited to keys, security cards and fobs, credit cards, furniture, equipment, automobiles, computer hardware and software, telephone equipment, and all documents, manuals, plans, equipment, training materials, business papers, personnel files, computer files or copies of the same relating to Company business which are in Executive’s possession or control.</w:t>
      </w:r>
    </w:p>
    <w:p>
      <w:pPr>
        <w:spacing w:after="0" w:line="226" w:lineRule="exact"/>
        <w:rPr>
          <w:rFonts w:ascii="Arial" w:cs="Arial" w:eastAsia="Arial" w:hAnsi="Arial"/>
          <w:sz w:val="17"/>
          <w:szCs w:val="17"/>
          <w:color w:val="auto"/>
        </w:rPr>
      </w:pPr>
    </w:p>
    <w:p>
      <w:pPr>
        <w:jc w:val="both"/>
        <w:ind w:firstLine="1305"/>
        <w:spacing w:after="0" w:line="269" w:lineRule="auto"/>
        <w:tabs>
          <w:tab w:leader="none" w:pos="2279"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Non-Compete</w:t>
      </w:r>
      <w:r>
        <w:rPr>
          <w:rFonts w:ascii="Arial" w:cs="Arial" w:eastAsia="Arial" w:hAnsi="Arial"/>
          <w:sz w:val="17"/>
          <w:szCs w:val="17"/>
          <w:color w:val="auto"/>
        </w:rPr>
        <w:t>. During Executive’s employment following the Effective Date and for the shorter of (i) six months or (ii) the</w:t>
      </w:r>
      <w:r>
        <w:rPr>
          <w:rFonts w:ascii="Arial" w:cs="Arial" w:eastAsia="Arial" w:hAnsi="Arial"/>
          <w:sz w:val="17"/>
          <w:szCs w:val="17"/>
          <w:i w:val="1"/>
          <w:iCs w:val="1"/>
          <w:color w:val="auto"/>
        </w:rPr>
        <w:t xml:space="preserve"> </w:t>
      </w:r>
      <w:r>
        <w:rPr>
          <w:rFonts w:ascii="Arial" w:cs="Arial" w:eastAsia="Arial" w:hAnsi="Arial"/>
          <w:sz w:val="17"/>
          <w:szCs w:val="17"/>
          <w:color w:val="auto"/>
        </w:rPr>
        <w:t>length of the Applicable Continuation Period following any termination of Executive’s employment for whatever reason after the Effective Date, Executive shall not directly or indirectly own any interest in, manage, control, participate in, consult with, render services for, be employed in an executive, managerial or administrative capacity by, or in any manner engage in, any business within the United States that is engaging in the multi-unit restaurant business that offers full service family dining (“</w:t>
      </w:r>
      <w:r>
        <w:rPr>
          <w:rFonts w:ascii="Arial" w:cs="Arial" w:eastAsia="Arial" w:hAnsi="Arial"/>
          <w:sz w:val="17"/>
          <w:szCs w:val="17"/>
          <w:u w:val="single" w:color="auto"/>
          <w:color w:val="auto"/>
        </w:rPr>
        <w:t>Restricted Business</w:t>
      </w:r>
      <w:r>
        <w:rPr>
          <w:rFonts w:ascii="Arial" w:cs="Arial" w:eastAsia="Arial" w:hAnsi="Arial"/>
          <w:sz w:val="17"/>
          <w:szCs w:val="17"/>
          <w:color w:val="auto"/>
        </w:rPr>
        <w:t>”). Executive acknowledges that during the course of Executive’s employment with the Company, as a result of Executive’s position within the Company, Executive has and will become familiar with the Company’s trade secrets, personnel and other confidential information concerning the Company at a very high level and that Executive’s services have been and shall continue to be of special, unique, and extraordinary value to the Company. Nothing herein shall prohibit Executive from (i) being a passive owner of not more than 2% of the outstanding stock of any class of a corporation that is publicly traded, so long as Executive has no active participation in the business of such corporation; or (ii) becoming employed, engaged, associated or otherwise participating with a separately managed division or subsidiary of a competitive business that does not engage in the Restricted Business (provided that Executive’s services are provided only to such division or subsidiary); or (iii) accepting employment with any federal or state government or governmental subdivision or agency.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0" w:name="page61"/>
    <w:bookmarkEnd w:id="60"/>
    <w:p>
      <w:pPr>
        <w:jc w:val="both"/>
        <w:ind w:firstLine="1305"/>
        <w:spacing w:after="0" w:line="269" w:lineRule="auto"/>
        <w:tabs>
          <w:tab w:leader="none" w:pos="2344" w:val="left"/>
        </w:tabs>
        <w:numPr>
          <w:ilvl w:val="2"/>
          <w:numId w:val="63"/>
        </w:numPr>
        <w:rPr>
          <w:rFonts w:ascii="Arial" w:cs="Arial" w:eastAsia="Arial" w:hAnsi="Arial"/>
          <w:sz w:val="17"/>
          <w:szCs w:val="17"/>
          <w:color w:val="auto"/>
        </w:rPr>
      </w:pPr>
      <w:r>
        <w:rPr>
          <w:rFonts w:ascii="Arial" w:cs="Arial" w:eastAsia="Arial" w:hAnsi="Arial"/>
          <w:sz w:val="17"/>
          <w:szCs w:val="17"/>
          <w:i w:val="1"/>
          <w:iCs w:val="1"/>
          <w:color w:val="auto"/>
        </w:rPr>
        <w:t>Non-Solicit</w:t>
      </w:r>
      <w:r>
        <w:rPr>
          <w:rFonts w:ascii="Arial" w:cs="Arial" w:eastAsia="Arial" w:hAnsi="Arial"/>
          <w:sz w:val="17"/>
          <w:szCs w:val="17"/>
          <w:color w:val="auto"/>
        </w:rPr>
        <w:t>. During Executive’s employment following the Effective Date and, following any termination of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for whatever reason thereafter, for the shorter of (A) twelve months or (B) the length of the Applicable Continuation Period, Executive shall not directly or indirectly through another Person (i) induce or attempt to induce any employee of the Company to leave the employ of the Company, or in any way interfere with the relationship between the Company and any employee thereof; (ii) hire any Person who was an employee of the Company at any time during the twelve-month period immediately following the termination of Executive’s employment with the Company; or (iii) induce or attempt to induce any customer, supplier, licensee or other business relation of the Company to cease or materially reduce doing business with the Company, or in any way interfere with the relationship between any such customer, supplier, licensee or business relation and the Company (including, without limitation, making any negative or disparaging statements or communications regarding the Company, its products or its personnel). Notwithstanding the foregoing, nothing in this Agreement shall prohibit Executive from employing an individual (i) with the consent of the Company or (ii) who responds to general solicitations in publications or on websites, or through the use of search firms, so long as such general solicitations or search firm activities are not targeted specifically at an employee (or former employee, as described above) of the Company.</w:t>
      </w:r>
    </w:p>
    <w:p>
      <w:pPr>
        <w:spacing w:after="0" w:line="236" w:lineRule="exact"/>
        <w:rPr>
          <w:rFonts w:ascii="Arial" w:cs="Arial" w:eastAsia="Arial" w:hAnsi="Arial"/>
          <w:sz w:val="17"/>
          <w:szCs w:val="17"/>
          <w:color w:val="auto"/>
        </w:rPr>
      </w:pPr>
    </w:p>
    <w:p>
      <w:pPr>
        <w:jc w:val="both"/>
        <w:ind w:firstLine="1305"/>
        <w:spacing w:after="0" w:line="297" w:lineRule="auto"/>
        <w:tabs>
          <w:tab w:leader="none" w:pos="2293" w:val="left"/>
        </w:tabs>
        <w:numPr>
          <w:ilvl w:val="2"/>
          <w:numId w:val="63"/>
        </w:numPr>
        <w:rPr>
          <w:rFonts w:ascii="Arial" w:cs="Arial" w:eastAsia="Arial" w:hAnsi="Arial"/>
          <w:sz w:val="16"/>
          <w:szCs w:val="16"/>
          <w:color w:val="auto"/>
        </w:rPr>
      </w:pPr>
      <w:r>
        <w:rPr>
          <w:rFonts w:ascii="Arial" w:cs="Arial" w:eastAsia="Arial" w:hAnsi="Arial"/>
          <w:sz w:val="16"/>
          <w:szCs w:val="16"/>
          <w:color w:val="auto"/>
        </w:rPr>
        <w:t>Executive agrees and acknowledges that the covenants set forth in this Section 7 are reasonable in scope and duration and necessary to protect the legitimate business interests of the Company and that the compensation payable hereunder is sufficient consideration therefor. If any of the provisions of the covenants in this Section 7 is construed to be invalid or unenforceable in any respect, the same shall be modified as the court may direct in order to make such provision reasonable and enforceable, and such modification of the provision shall not affect the remainder of the provisions of the covenants, and such provision will be given the maximum possible effect and the modified Agreement will be fully enforceable.</w:t>
      </w:r>
    </w:p>
    <w:p>
      <w:pPr>
        <w:spacing w:after="0" w:line="212" w:lineRule="exact"/>
        <w:rPr>
          <w:rFonts w:ascii="Arial" w:cs="Arial" w:eastAsia="Arial" w:hAnsi="Arial"/>
          <w:sz w:val="16"/>
          <w:szCs w:val="16"/>
          <w:color w:val="auto"/>
        </w:rPr>
      </w:pPr>
    </w:p>
    <w:p>
      <w:pPr>
        <w:jc w:val="both"/>
        <w:ind w:firstLine="656"/>
        <w:spacing w:after="0" w:line="264" w:lineRule="auto"/>
        <w:tabs>
          <w:tab w:leader="none" w:pos="164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Obligation to Mitigate Damages</w:t>
      </w:r>
      <w:r>
        <w:rPr>
          <w:rFonts w:ascii="Arial" w:cs="Arial" w:eastAsia="Arial" w:hAnsi="Arial"/>
          <w:sz w:val="18"/>
          <w:szCs w:val="18"/>
          <w:color w:val="auto"/>
        </w:rPr>
        <w:t>. Executive shall not be obligated to seek other employment or otherwise take steps to mitigate or reduce the amounts payable or arrangements provided for under this Agreement, and the obtaining of any such other employment shall not reduce any of the Company’s obligations under this Agreement.</w:t>
      </w:r>
    </w:p>
    <w:p>
      <w:pPr>
        <w:spacing w:after="0" w:line="235" w:lineRule="exact"/>
        <w:rPr>
          <w:rFonts w:ascii="Arial" w:cs="Arial" w:eastAsia="Arial" w:hAnsi="Arial"/>
          <w:sz w:val="18"/>
          <w:szCs w:val="18"/>
          <w:color w:val="auto"/>
        </w:rPr>
      </w:pPr>
    </w:p>
    <w:p>
      <w:pPr>
        <w:ind w:left="1500" w:hanging="830"/>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Excise Tax Avoidance; Section 409A</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305"/>
        <w:spacing w:after="0" w:line="285" w:lineRule="auto"/>
        <w:tabs>
          <w:tab w:leader="none" w:pos="2090" w:val="left"/>
        </w:tabs>
        <w:numPr>
          <w:ilvl w:val="2"/>
          <w:numId w:val="64"/>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and except as set forth below, in the event it shall be determined that any payment, benefit, vesting or distribution to or for the benefit of Executive (whether paid or payable or distributed or distributable pursuant to the terms of this Agreement or otherwise) (a “</w:t>
      </w:r>
      <w:r>
        <w:rPr>
          <w:rFonts w:ascii="Arial" w:cs="Arial" w:eastAsia="Arial" w:hAnsi="Arial"/>
          <w:sz w:val="16"/>
          <w:szCs w:val="16"/>
          <w:u w:val="single" w:color="auto"/>
          <w:color w:val="auto"/>
        </w:rPr>
        <w:t>Payment</w:t>
      </w:r>
      <w:r>
        <w:rPr>
          <w:rFonts w:ascii="Arial" w:cs="Arial" w:eastAsia="Arial" w:hAnsi="Arial"/>
          <w:sz w:val="16"/>
          <w:szCs w:val="16"/>
          <w:color w:val="auto"/>
        </w:rPr>
        <w:t>”) would but for this Section 9 be subject to the excise tax imposed by §4999 of the Code, or any comparable successor provisions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Payments shall be either (i) provided to Executive in full, or (ii) provided to Executive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Executive on an after-tax basis, of the greatest amount of Payments, notwithstanding that all or some portion of such Payments may be subject to the Excise Tax. Any determination required under this Section 9 shall be made in writing in good faith by the Company's independent certified public accountants, appointed prior to any change in ownership (as defined under Code §280G(b)(2), and/or tax counsel selected by such accountants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in accordance with the principles of §280G of the Code. In the event of a reduction of Payments hereunder, the Payments shall be reduced as follows: (i) first from cash payments which are included in full as parachute payments, (ii) second from equity awards which are included in full as parachute payments, (iii) third from cash payments which are partially included as parachute payments, and (iv) fourth from equity awards that are partially included as parachute payments. In applying these principles, any reduction or elimination of the Payments shall be made in a manner consistent with the requirements of Code Section 409A and where two economically equivalent amounts are subject to reduction but payable at different times, such amounts shall be reduced on a pro rata basis but not below zero. For purposes of making the calculations required by this Section 9, the Accounting Firm may make reasonable assumptions and approximations concerning applicable taxes and may rely on reasonable, good faith interpretations concerning the application of the Code, and other applicable legal authority. The Company and Executive shall furnish to the Accounting Firm such information and documents as the Accounting Firm may reasonably request in order to make a determination under this Section 9. All fees and expenses of the Accounting Firm shall be borne solely by the Company.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1" w:name="page62"/>
    <w:bookmarkEnd w:id="61"/>
    <w:p>
      <w:pPr>
        <w:jc w:val="both"/>
        <w:ind w:firstLine="1305"/>
        <w:spacing w:after="0" w:line="271" w:lineRule="auto"/>
        <w:tabs>
          <w:tab w:leader="none" w:pos="20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notwithstanding any reduction described in this Section 9, the Internal Revenue Service (the “</w:t>
      </w:r>
      <w:r>
        <w:rPr>
          <w:rFonts w:ascii="Arial" w:cs="Arial" w:eastAsia="Arial" w:hAnsi="Arial"/>
          <w:sz w:val="17"/>
          <w:szCs w:val="17"/>
          <w:u w:val="single" w:color="auto"/>
          <w:color w:val="auto"/>
        </w:rPr>
        <w:t>IRS</w:t>
      </w:r>
      <w:r>
        <w:rPr>
          <w:rFonts w:ascii="Arial" w:cs="Arial" w:eastAsia="Arial" w:hAnsi="Arial"/>
          <w:sz w:val="17"/>
          <w:szCs w:val="17"/>
          <w:color w:val="auto"/>
        </w:rPr>
        <w:t>”) determines that Executive is liable for the Excise Tax as a result of the receipt of the Payments as described above, then Executive shall be obligated to pay back to the Company, within thirty (30) days after a final IRS determination or in the event that Executive challenges the final IRS determination, a final judicial determination, a portion of the Payments equal to the “</w:t>
      </w:r>
      <w:r>
        <w:rPr>
          <w:rFonts w:ascii="Arial" w:cs="Arial" w:eastAsia="Arial" w:hAnsi="Arial"/>
          <w:sz w:val="17"/>
          <w:szCs w:val="17"/>
          <w:u w:val="single" w:color="auto"/>
          <w:color w:val="auto"/>
        </w:rPr>
        <w:t>Repayment Amount</w:t>
      </w:r>
      <w:r>
        <w:rPr>
          <w:rFonts w:ascii="Arial" w:cs="Arial" w:eastAsia="Arial" w:hAnsi="Arial"/>
          <w:sz w:val="17"/>
          <w:szCs w:val="17"/>
          <w:color w:val="auto"/>
        </w:rPr>
        <w:t>.” The Repayment Amount with respect to the Payments shall be the smallest such amount, if any, as shall be required to be paid to the Company so that Executive's net after-tax proceeds with respect to the Payments (after taking into account the payment of the Excise Tax and all other applicable taxes imposed on such payment) shall be maximized. The Repayment Amount with respect to the Payments shall be zero if a Repayment Amount of more than zero would not result in Executive's net after-tax proceeds with respect to the Payments being maximized. If the Excise Tax is not eliminated pursuant to this paragraph, Executive shall pay the Excise Tax.</w:t>
      </w:r>
    </w:p>
    <w:p>
      <w:pPr>
        <w:spacing w:after="0" w:line="205" w:lineRule="exact"/>
        <w:rPr>
          <w:rFonts w:ascii="Arial" w:cs="Arial" w:eastAsia="Arial" w:hAnsi="Arial"/>
          <w:sz w:val="17"/>
          <w:szCs w:val="17"/>
          <w:color w:val="auto"/>
        </w:rPr>
      </w:pPr>
    </w:p>
    <w:p>
      <w:pPr>
        <w:jc w:val="both"/>
        <w:ind w:firstLine="1305"/>
        <w:spacing w:after="0" w:line="257" w:lineRule="auto"/>
        <w:tabs>
          <w:tab w:leader="none" w:pos="1983"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9, if (i) there is a reduction in the Payments as described in this Section 9, (ii) the IRS later determines that Executive is liable for the Excise Tax, the payment of which would result in the maximization of Executive's net after-tax proceeds (calculated as if Executive's Payments had not previously been reduced), and (iii) Executive pays the Excise Tax, then the Company shall pay to Executive those Payments which were reduced pursuant to this subsection as soon as administratively possible after Executive pays the Excise Tax so that Executive's net after-tax proceeds with respect to the Payments are maximized.</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21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the avoidance of doubt, Executive acknowledges he/she is solely responsible for the payment of any Excise Tax and that the Company will not reimburse or otherwise indemnify him for such amount. Any reimbursements or repayments provided under this subsection shall be made strictly in accordance with Section 409A of the Code, including Treasury Regulation 1.409A-3(i)(1)(v).</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both"/>
        <w:ind w:firstLine="1305"/>
        <w:spacing w:after="0" w:line="287" w:lineRule="auto"/>
        <w:tabs>
          <w:tab w:leader="none" w:pos="2279" w:val="left"/>
        </w:tabs>
        <w:numPr>
          <w:ilvl w:val="0"/>
          <w:numId w:val="66"/>
        </w:numPr>
        <w:rPr>
          <w:rFonts w:ascii="Arial" w:cs="Arial" w:eastAsia="Arial" w:hAnsi="Arial"/>
          <w:sz w:val="16"/>
          <w:szCs w:val="16"/>
          <w:color w:val="auto"/>
        </w:rPr>
      </w:pPr>
      <w:r>
        <w:rPr>
          <w:rFonts w:ascii="Arial" w:cs="Arial" w:eastAsia="Arial" w:hAnsi="Arial"/>
          <w:sz w:val="16"/>
          <w:szCs w:val="16"/>
          <w:color w:val="auto"/>
        </w:rPr>
        <w:t>It is intended that (i) each payment or installment of payments provided under this Agreement is a separate “payment” for purposes of Section 409A of the Code, and (ii) that the payments satisfy, to the greatest extent possible, the exemptions from the application of Section 409A of the Code, including those provided under Treasury Regulations 1.409A-1(b)(4) (regarding short-term deferrals), 1.409A-1(b)(9)(iii) (regarding the two-times, two (2) year exception) and 1.409A-1(b)(9)(v) (regarding reimbursements and other separation pay). Notwithstanding anything to the contrary herein, if (i) on the date of Executive’s “separation from service” (as such term is defined under Treasury Regulation 1.409A-1(h)), Executive is deemed to be a “specified employee” (as such term is defined under Treasury Regulation 1.409A-1(i)(1)) of the Company, as determined in accordance with the Company’s “specified employee” determination procedures, and (ii) any payments to be provided to Executive pursuant to this Agreement which constitute “deferred compensation” for purposes of Section 409A are or may become subject to the additional tax under Section 409A(a)(1)(B) of the Code or any other taxes or penalties imposed under Section 409A if provided at the time otherwise required under this Agreement, then such payments shall be delayed until the date that is six (6) months after the date of Executive’s “separation from service” (as such term is defined under Treasury Regulation 1.409A-1(h)) or, if sooner, the date of Executive’s death. Any payments delayed pursuant to this Section 9(e) shall be made in a lump sum on the first day of the seventh month following Executive’s “separation from service” (as such term is defined under Treasury Regulation 1.409A-1(h)) or, if sooner, the date of Executive’s death.</w:t>
      </w:r>
    </w:p>
    <w:p>
      <w:pPr>
        <w:spacing w:after="0" w:line="222" w:lineRule="exact"/>
        <w:rPr>
          <w:rFonts w:ascii="Arial" w:cs="Arial" w:eastAsia="Arial" w:hAnsi="Arial"/>
          <w:sz w:val="16"/>
          <w:szCs w:val="16"/>
          <w:color w:val="auto"/>
        </w:rPr>
      </w:pPr>
    </w:p>
    <w:p>
      <w:pPr>
        <w:jc w:val="both"/>
        <w:ind w:firstLine="1305"/>
        <w:spacing w:after="0" w:line="255" w:lineRule="auto"/>
        <w:tabs>
          <w:tab w:leader="none" w:pos="2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a termination of employment with the Company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247" w:lineRule="exact"/>
        <w:rPr>
          <w:rFonts w:ascii="Arial" w:cs="Arial" w:eastAsia="Arial" w:hAnsi="Arial"/>
          <w:sz w:val="18"/>
          <w:szCs w:val="18"/>
          <w:color w:val="auto"/>
        </w:rPr>
      </w:pPr>
    </w:p>
    <w:p>
      <w:pPr>
        <w:jc w:val="both"/>
        <w:ind w:firstLine="1305"/>
        <w:spacing w:after="0" w:line="290" w:lineRule="auto"/>
        <w:tabs>
          <w:tab w:leader="none" w:pos="237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extent that any expenses, reimbursement, fringe benefit or other, similar plan or arrangement in which Executive participates during the term of Executive’s employment under this Agreement or thereafter provides for a “deferral of compensation” within the meaning of Section 409A, then such amount shall be reimbursed in accordance with Section 1.409A-3(i)(1)(iv) of the Treasury Regulations, including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the right to any reimbursement or in-kind benefit is not subject to liquidation or exchange for another benefit.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3" w:name="page64"/>
    <w:bookmarkEnd w:id="63"/>
    <w:p>
      <w:pPr>
        <w:jc w:val="both"/>
        <w:ind w:firstLine="1305"/>
        <w:spacing w:after="0" w:line="264" w:lineRule="auto"/>
        <w:tabs>
          <w:tab w:leader="none" w:pos="2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3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Executive’s termination of employment or other event, shall be made on a date during such period as determined by the Company in its sole discretion, and in accordance with Section 409A.</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2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be interpreted in accordance with, and the Company and Executive will use their best efforts to achieve timely compliance with, Section 409A of the Code and the Treasury Regulations and other interpretive guidance promulgated thereunder, including without limitation any such regulations or other guidance that may be issued after the Effective Date of this Agreement.</w:t>
      </w:r>
    </w:p>
    <w:p>
      <w:pPr>
        <w:spacing w:after="0" w:line="235" w:lineRule="exact"/>
        <w:rPr>
          <w:sz w:val="20"/>
          <w:szCs w:val="20"/>
          <w:color w:val="auto"/>
        </w:rPr>
      </w:pPr>
    </w:p>
    <w:p>
      <w:pPr>
        <w:jc w:val="both"/>
        <w:ind w:firstLine="1305"/>
        <w:spacing w:after="0" w:line="293" w:lineRule="auto"/>
        <w:tabs>
          <w:tab w:leader="none" w:pos="2317" w:val="left"/>
        </w:tabs>
        <w:numPr>
          <w:ilvl w:val="1"/>
          <w:numId w:val="68"/>
        </w:numPr>
        <w:rPr>
          <w:rFonts w:ascii="Arial" w:cs="Arial" w:eastAsia="Arial" w:hAnsi="Arial"/>
          <w:sz w:val="16"/>
          <w:szCs w:val="16"/>
          <w:color w:val="auto"/>
        </w:rPr>
      </w:pPr>
      <w:r>
        <w:rPr>
          <w:rFonts w:ascii="Arial" w:cs="Arial" w:eastAsia="Arial" w:hAnsi="Arial"/>
          <w:sz w:val="16"/>
          <w:szCs w:val="16"/>
          <w:color w:val="auto"/>
        </w:rPr>
        <w:t>For purposes of the payment, provision of or reimbursement of medical benefits or premiums, the Company may treat the amounts paid by it for premiums as taxable to Executive or make such payments (less any required withholding) directly to Executive to the extent required to avoid adverse consequences to Executive or the Company under either Section 105(h) of the Code, or the Patient Protection and Affordable Care Act of 2010 as amended, and/or the Health Care and Education Reconciliation Act of 2010, as amended (to the extent applicable) (collectively, the “</w:t>
      </w:r>
      <w:r>
        <w:rPr>
          <w:rFonts w:ascii="Arial" w:cs="Arial" w:eastAsia="Arial" w:hAnsi="Arial"/>
          <w:sz w:val="16"/>
          <w:szCs w:val="16"/>
          <w:u w:val="single" w:color="auto"/>
          <w:color w:val="auto"/>
        </w:rPr>
        <w:t>PPACA</w:t>
      </w:r>
      <w:r>
        <w:rPr>
          <w:rFonts w:ascii="Arial" w:cs="Arial" w:eastAsia="Arial" w:hAnsi="Arial"/>
          <w:sz w:val="16"/>
          <w:szCs w:val="16"/>
          <w:color w:val="auto"/>
        </w:rPr>
        <w:t>”); provided, further, that the Company may modify or discontinue the continuation coverage contemplated by this Agreement to the extent reasonably necessary to avoid the imposition of any excise taxes on the Company for failure to comply with the nondiscrimination requirements of the PPACA (to the extent applicable).</w:t>
      </w:r>
    </w:p>
    <w:p>
      <w:pPr>
        <w:spacing w:after="0" w:line="218" w:lineRule="exact"/>
        <w:rPr>
          <w:rFonts w:ascii="Arial" w:cs="Arial" w:eastAsia="Arial" w:hAnsi="Arial"/>
          <w:sz w:val="16"/>
          <w:szCs w:val="16"/>
          <w:color w:val="auto"/>
        </w:rPr>
      </w:pPr>
    </w:p>
    <w:p>
      <w:pPr>
        <w:jc w:val="both"/>
        <w:ind w:firstLine="670"/>
        <w:spacing w:after="0" w:line="253" w:lineRule="auto"/>
        <w:tabs>
          <w:tab w:leader="none" w:pos="171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Set Off: Legal Fees</w:t>
      </w:r>
      <w:r>
        <w:rPr>
          <w:rFonts w:ascii="Arial" w:cs="Arial" w:eastAsia="Arial" w:hAnsi="Arial"/>
          <w:sz w:val="18"/>
          <w:szCs w:val="18"/>
          <w:color w:val="auto"/>
        </w:rPr>
        <w:t>. Except as provided in Section 6(d), the Company’s obligation to make the payments provided for in this Agreement and otherwise to perform its obligations hereunder shall not be affected by or subject to any set-off counterclaim, recoupment, defense or other claim, right or action which the Company may have against Executive or others. The Company shall pay and advance to Executive, to the full extent permitted by law, all legal fees and expenses which Executive may reasonably incur as a result of any contest (regardless of the outcome thereof) by the Company, Executive or others of the validity or enforceability or liability under, any provision of this Agreement or any guarantee of performance thereof (including as a result of any contest by Executive about the amount of any payment pursuant to this Agreement), plus in each case interest on any delayed payment at the applicable Federal rate provided for in Section 7872(f)(2)(A) of the Code. Notwithstanding the foregoing, in the event that the Company asserts a claim or counterclaim against Executive for Executive’s breach of the covenants set forth in Section 7 hereof, which claim is finally adjudicated in the Company’s favor, Executive shall reimburse Company any fees and expenses paid or advanced by the Company for Executive’s defense of such claim or counterclaim.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4" w:name="page65"/>
    <w:bookmarkEnd w:id="64"/>
    <w:p>
      <w:pPr>
        <w:jc w:val="both"/>
        <w:ind w:firstLine="670"/>
        <w:spacing w:after="0" w:line="264" w:lineRule="auto"/>
        <w:tabs>
          <w:tab w:leader="none" w:pos="148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if sent by registered or certified mail to Executive at the last address he/she has filed in writing with the Company or, in the case of the Company, at its principal executive offices.</w:t>
      </w:r>
    </w:p>
    <w:p>
      <w:pPr>
        <w:spacing w:after="0" w:line="235" w:lineRule="exact"/>
        <w:rPr>
          <w:rFonts w:ascii="Arial" w:cs="Arial" w:eastAsia="Arial" w:hAnsi="Arial"/>
          <w:sz w:val="18"/>
          <w:szCs w:val="18"/>
          <w:color w:val="auto"/>
        </w:rPr>
      </w:pPr>
    </w:p>
    <w:p>
      <w:pPr>
        <w:jc w:val="both"/>
        <w:ind w:firstLine="670"/>
        <w:spacing w:after="0" w:line="264" w:lineRule="auto"/>
        <w:tabs>
          <w:tab w:leader="none" w:pos="16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Non-Alienation</w:t>
      </w:r>
      <w:r>
        <w:rPr>
          <w:rFonts w:ascii="Arial" w:cs="Arial" w:eastAsia="Arial" w:hAnsi="Arial"/>
          <w:sz w:val="18"/>
          <w:szCs w:val="18"/>
          <w:color w:val="auto"/>
        </w:rPr>
        <w:t>. Executive shall not have any right to pledge, hypothecate, anticipate or in any way create a lien upon any amounts provided under this Agreement; and no benefits payable hereunder shall be assignable in anticipation of payment either by voluntary or involuntary acts, or by operation of law, except by will or the laws of descent and distribution.</w:t>
      </w:r>
    </w:p>
    <w:p>
      <w:pPr>
        <w:spacing w:after="0" w:line="235" w:lineRule="exact"/>
        <w:rPr>
          <w:rFonts w:ascii="Arial" w:cs="Arial" w:eastAsia="Arial" w:hAnsi="Arial"/>
          <w:sz w:val="18"/>
          <w:szCs w:val="18"/>
          <w:color w:val="auto"/>
        </w:rPr>
      </w:pPr>
    </w:p>
    <w:p>
      <w:pPr>
        <w:ind w:firstLine="670"/>
        <w:spacing w:after="0" w:line="277" w:lineRule="auto"/>
        <w:tabs>
          <w:tab w:leader="none" w:pos="16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this Agreement shall be construed in accordance with the laws of the State of Tennessee without regard to any conflict of laws provision thereof.</w:t>
      </w:r>
    </w:p>
    <w:p>
      <w:pPr>
        <w:spacing w:after="0" w:line="224" w:lineRule="exact"/>
        <w:rPr>
          <w:rFonts w:ascii="Arial" w:cs="Arial" w:eastAsia="Arial" w:hAnsi="Arial"/>
          <w:sz w:val="18"/>
          <w:szCs w:val="18"/>
          <w:color w:val="auto"/>
        </w:rPr>
      </w:pPr>
    </w:p>
    <w:p>
      <w:pPr>
        <w:jc w:val="both"/>
        <w:ind w:firstLine="670"/>
        <w:spacing w:after="0" w:line="257" w:lineRule="auto"/>
        <w:tabs>
          <w:tab w:leader="none" w:pos="165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Subject to Section 6(e), this Agreement contains the entire agreement of the parties relating to the subject matter herein and supersedes in full and in all respects any prior oral or written agreement, arrangement or understanding in connection with the matters set forth herein. This Agreement may only be amended or canceled by mutual agreement of the parties in writing without the consent of any other person, and, so long as Executive lives, no person, other than the parties hereto, shall have any rights under or interest in this Agreement or the subject matter hereof.</w:t>
      </w:r>
    </w:p>
    <w:p>
      <w:pPr>
        <w:spacing w:after="0" w:line="215" w:lineRule="exact"/>
        <w:rPr>
          <w:sz w:val="20"/>
          <w:szCs w:val="20"/>
          <w:color w:val="auto"/>
        </w:rPr>
      </w:pPr>
    </w:p>
    <w:p>
      <w:pPr>
        <w:jc w:val="both"/>
        <w:ind w:firstLine="662"/>
        <w:spacing w:after="0" w:line="286" w:lineRule="auto"/>
        <w:rPr>
          <w:sz w:val="20"/>
          <w:szCs w:val="20"/>
          <w:color w:val="auto"/>
        </w:rPr>
      </w:pPr>
      <w:r>
        <w:rPr>
          <w:rFonts w:ascii="Arial" w:cs="Arial" w:eastAsia="Arial" w:hAnsi="Arial"/>
          <w:sz w:val="16"/>
          <w:szCs w:val="16"/>
          <w:color w:val="auto"/>
        </w:rPr>
        <w:t>15</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Any dispute or controversy between the Company and Executive, whether arising out of or relating to this Agreement, the breach of this Agreement, or otherwise, shall be settled by arbitration administered in accordance with the Commercial Arbitration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then in effect, and judgment on the award rendered by the arbitrator may be entered in any court having jurisdiction. Any arbitration shall be held before a single arbitrator who shall be selected by the mutual agreement of the Company and Executive, unless the parties are unable to agree to an arbitrator, in which case, the arbitrator will be selected by the then President of the Tennessee Bar Association. The arbitrator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Except as necessary in court proceedings to enforce this arbitration provision or an award rendered hereunder, or to obtain interim relief or as required by law, neither a party nor an arbitrator may disclose the existence, content or results of any arbitration hereunder without the prior written consent of the Company and Executive. The Company and Executive acknowledge that this Agreement evidences a transaction involving interstate commerce. Notwithstanding any choice of law provision included in this Agreement the United States Federal Arbitration Act shall govern the interpretation and enforcement of this arbitration provision. The arbitration proceeding shall be conducted in Nashville, Tennessee or such other location to which the parties may agree. The Company shall pay the costs of the arbitration, including all fees and expenses of any arbitrator appointed hereunder.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5" w:name="page66"/>
    <w:bookmarkEnd w:id="65"/>
    <w:p>
      <w:pPr>
        <w:ind w:left="1380" w:hanging="724"/>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293"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This Agreement is personal to Executive and without the prior written consent of the Company shall not be assignable by Executive otherwise than by will or the laws of descent and distribution. This Agreement shall inure to the benefit of and be enforceable by Executive’s legal representatives.</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79" w:lineRule="exact"/>
        <w:rPr>
          <w:rFonts w:ascii="Arial" w:cs="Arial" w:eastAsia="Arial" w:hAnsi="Arial"/>
          <w:sz w:val="18"/>
          <w:szCs w:val="18"/>
          <w:color w:val="auto"/>
        </w:rPr>
      </w:pPr>
    </w:p>
    <w:p>
      <w:pPr>
        <w:jc w:val="both"/>
        <w:ind w:firstLine="1305"/>
        <w:spacing w:after="0" w:line="257" w:lineRule="auto"/>
        <w:tabs>
          <w:tab w:leader="none" w:pos="2171"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w:t>
      </w:r>
      <w:r>
        <w:rPr>
          <w:rFonts w:ascii="Arial" w:cs="Arial" w:eastAsia="Arial" w:hAnsi="Arial"/>
          <w:sz w:val="18"/>
          <w:szCs w:val="18"/>
          <w:u w:val="single" w:color="auto"/>
          <w:color w:val="auto"/>
        </w:rPr>
        <w:t>Company</w:t>
      </w:r>
      <w:r>
        <w:rPr>
          <w:rFonts w:ascii="Arial" w:cs="Arial" w:eastAsia="Arial" w:hAnsi="Arial"/>
          <w:sz w:val="18"/>
          <w:szCs w:val="18"/>
          <w:color w:val="auto"/>
        </w:rPr>
        <w:t>” shall mean the Company as hereinbefore defined and any successor to its business and/or assets as aforesaid which assumes and agrees to perform this Agreement by operation of law, or otherwise.</w:t>
      </w:r>
    </w:p>
    <w:p>
      <w:pPr>
        <w:spacing w:after="0" w:line="242" w:lineRule="exact"/>
        <w:rPr>
          <w:rFonts w:ascii="Arial" w:cs="Arial" w:eastAsia="Arial" w:hAnsi="Arial"/>
          <w:sz w:val="18"/>
          <w:szCs w:val="18"/>
          <w:color w:val="auto"/>
        </w:rPr>
      </w:pPr>
    </w:p>
    <w:p>
      <w:pPr>
        <w:ind w:firstLine="670"/>
        <w:spacing w:after="0" w:line="277" w:lineRule="auto"/>
        <w:tabs>
          <w:tab w:leader="none" w:pos="148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obligations of the parties pursuant to Sections 5, 6, 7, 8, 9, 10, 11, 12, 13, 14, 15, 17 and 18, as applicable, shall survive the termination of Executive’s employment and any termination of this Agreement.</w:t>
      </w:r>
    </w:p>
    <w:p>
      <w:pPr>
        <w:spacing w:after="0" w:line="224" w:lineRule="exact"/>
        <w:rPr>
          <w:rFonts w:ascii="Arial" w:cs="Arial" w:eastAsia="Arial" w:hAnsi="Arial"/>
          <w:sz w:val="18"/>
          <w:szCs w:val="18"/>
          <w:color w:val="auto"/>
        </w:rPr>
      </w:pPr>
    </w:p>
    <w:p>
      <w:pPr>
        <w:ind w:firstLine="670"/>
        <w:spacing w:after="0" w:line="277" w:lineRule="auto"/>
        <w:tabs>
          <w:tab w:leader="none" w:pos="163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portion of this Agreement shall he determined to be invalid or unenforceable for any reason, the remaining provisions of this Agreement shall he unaffected thereby and shall remain in full force and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IN WITNESS WHEREOF, as evidence of their mutual agreement Executive and Company have caused this Agreement to be executed as of the day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5"/>
          </w:tcPr>
          <w:p>
            <w:pPr>
              <w:spacing w:after="0"/>
              <w:rPr>
                <w:sz w:val="20"/>
                <w:szCs w:val="20"/>
                <w:color w:val="auto"/>
              </w:rPr>
            </w:pPr>
            <w:r>
              <w:rPr>
                <w:rFonts w:ascii="Arial" w:cs="Arial" w:eastAsia="Arial" w:hAnsi="Arial"/>
                <w:sz w:val="18"/>
                <w:szCs w:val="18"/>
                <w:color w:val="auto"/>
              </w:rPr>
              <w:t>Cracker Barrel Old Country Store, Inc.</w:t>
            </w: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w:t>
            </w:r>
          </w:p>
        </w:tc>
      </w:tr>
      <w:tr>
        <w:trPr>
          <w:trHeight w:val="453"/>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03"/>
        </w:trPr>
        <w:tc>
          <w:tcPr>
            <w:tcW w:w="580" w:type="dxa"/>
            <w:vAlign w:val="bottom"/>
            <w:gridSpan w:val="2"/>
          </w:tcPr>
          <w:p>
            <w:pPr>
              <w:spacing w:after="0" w:line="203" w:lineRule="exact"/>
              <w:rPr>
                <w:sz w:val="20"/>
                <w:szCs w:val="20"/>
                <w:color w:val="auto"/>
              </w:rPr>
            </w:pPr>
            <w:r>
              <w:rPr>
                <w:rFonts w:ascii="Arial" w:cs="Arial" w:eastAsia="Arial" w:hAnsi="Arial"/>
                <w:sz w:val="18"/>
                <w:szCs w:val="18"/>
                <w:color w:val="auto"/>
              </w:rPr>
              <w:t>Title:</w:t>
            </w:r>
          </w:p>
        </w:tc>
        <w:tc>
          <w:tcPr>
            <w:tcW w:w="4240" w:type="dxa"/>
            <w:vAlign w:val="bottom"/>
            <w:tcBorders>
              <w:top w:val="single" w:sz="8" w:color="auto"/>
            </w:tcBorders>
            <w:gridSpan w:val="2"/>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0" w:type="dxa"/>
            <w:vAlign w:val="bottom"/>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Applicable Factors and Applicable Continuation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Determination and Conversion to Cash of Long Term Incentive Awards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Change in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4"/>
              </w:rPr>
              <w:t>Exhibit A</w:t>
            </w: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0"/>
              </w:rPr>
              <w:t>Applicable Factors and Applicable Continuation Periods</w:t>
            </w: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9"/>
        </w:trPr>
        <w:tc>
          <w:tcPr>
            <w:tcW w:w="26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42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Applicable Factor</w:t>
            </w:r>
          </w:p>
        </w:tc>
        <w:tc>
          <w:tcPr>
            <w:tcW w:w="326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Applicable Continuation Period</w:t>
            </w:r>
          </w:p>
        </w:tc>
      </w:tr>
      <w:tr>
        <w:trPr>
          <w:trHeight w:val="20"/>
        </w:trPr>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53"/>
        </w:trPr>
        <w:tc>
          <w:tcPr>
            <w:tcW w:w="268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2000"/>
              <w:spacing w:after="0"/>
              <w:rPr>
                <w:sz w:val="20"/>
                <w:szCs w:val="20"/>
                <w:color w:val="auto"/>
              </w:rPr>
            </w:pPr>
            <w:r>
              <w:rPr>
                <w:rFonts w:ascii="Arial" w:cs="Arial" w:eastAsia="Arial" w:hAnsi="Arial"/>
                <w:sz w:val="18"/>
                <w:szCs w:val="18"/>
                <w:color w:val="auto"/>
                <w:w w:val="99"/>
              </w:rPr>
              <w:t>3X</w:t>
            </w:r>
          </w:p>
        </w:tc>
        <w:tc>
          <w:tcPr>
            <w:tcW w:w="260" w:type="dxa"/>
            <w:vAlign w:val="bottom"/>
          </w:tcPr>
          <w:p>
            <w:pPr>
              <w:spacing w:after="0"/>
              <w:rPr>
                <w:sz w:val="24"/>
                <w:szCs w:val="24"/>
                <w:color w:val="auto"/>
              </w:rPr>
            </w:pPr>
          </w:p>
        </w:tc>
        <w:tc>
          <w:tcPr>
            <w:tcW w:w="30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2 Years from Termination</w:t>
            </w: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2000"/>
              <w:spacing w:after="0"/>
              <w:rPr>
                <w:sz w:val="20"/>
                <w:szCs w:val="20"/>
                <w:color w:val="auto"/>
              </w:rPr>
            </w:pPr>
            <w:r>
              <w:rPr>
                <w:rFonts w:ascii="Arial" w:cs="Arial" w:eastAsia="Arial" w:hAnsi="Arial"/>
                <w:sz w:val="18"/>
                <w:szCs w:val="18"/>
                <w:color w:val="auto"/>
                <w:w w:val="99"/>
              </w:rPr>
              <w:t>2X</w:t>
            </w:r>
          </w:p>
        </w:tc>
        <w:tc>
          <w:tcPr>
            <w:tcW w:w="260" w:type="dxa"/>
            <w:vAlign w:val="bottom"/>
          </w:tcPr>
          <w:p>
            <w:pPr>
              <w:spacing w:after="0"/>
              <w:rPr>
                <w:sz w:val="24"/>
                <w:szCs w:val="24"/>
                <w:color w:val="auto"/>
              </w:rPr>
            </w:pPr>
          </w:p>
        </w:tc>
        <w:tc>
          <w:tcPr>
            <w:tcW w:w="30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2 Years from Termination</w:t>
            </w: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Sr. Vice President</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2000"/>
              <w:spacing w:after="0"/>
              <w:rPr>
                <w:sz w:val="20"/>
                <w:szCs w:val="20"/>
                <w:color w:val="auto"/>
              </w:rPr>
            </w:pPr>
            <w:r>
              <w:rPr>
                <w:rFonts w:ascii="Arial" w:cs="Arial" w:eastAsia="Arial" w:hAnsi="Arial"/>
                <w:sz w:val="18"/>
                <w:szCs w:val="18"/>
                <w:color w:val="auto"/>
                <w:w w:val="99"/>
              </w:rPr>
              <w:t>2X</w:t>
            </w:r>
          </w:p>
        </w:tc>
        <w:tc>
          <w:tcPr>
            <w:tcW w:w="260" w:type="dxa"/>
            <w:vAlign w:val="bottom"/>
          </w:tcPr>
          <w:p>
            <w:pPr>
              <w:spacing w:after="0"/>
              <w:rPr>
                <w:sz w:val="24"/>
                <w:szCs w:val="24"/>
                <w:color w:val="auto"/>
              </w:rPr>
            </w:pPr>
          </w:p>
        </w:tc>
        <w:tc>
          <w:tcPr>
            <w:tcW w:w="30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2 Years from Termination</w:t>
            </w:r>
          </w:p>
        </w:tc>
      </w:tr>
      <w:tr>
        <w:trPr>
          <w:trHeight w:val="432"/>
        </w:trPr>
        <w:tc>
          <w:tcPr>
            <w:tcW w:w="26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1980"/>
              <w:spacing w:after="0"/>
              <w:rPr>
                <w:sz w:val="20"/>
                <w:szCs w:val="20"/>
                <w:color w:val="auto"/>
              </w:rPr>
            </w:pPr>
            <w:r>
              <w:rPr>
                <w:rFonts w:ascii="Arial" w:cs="Arial" w:eastAsia="Arial" w:hAnsi="Arial"/>
                <w:sz w:val="18"/>
                <w:szCs w:val="18"/>
                <w:color w:val="auto"/>
                <w:w w:val="97"/>
              </w:rPr>
              <w:t>1.5X</w:t>
            </w:r>
          </w:p>
        </w:tc>
        <w:tc>
          <w:tcPr>
            <w:tcW w:w="260" w:type="dxa"/>
            <w:vAlign w:val="bottom"/>
          </w:tcPr>
          <w:p>
            <w:pPr>
              <w:spacing w:after="0"/>
              <w:rPr>
                <w:sz w:val="24"/>
                <w:szCs w:val="24"/>
                <w:color w:val="auto"/>
              </w:rPr>
            </w:pPr>
          </w:p>
        </w:tc>
        <w:tc>
          <w:tcPr>
            <w:tcW w:w="30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2 Years from Termination</w:t>
            </w:r>
          </w:p>
        </w:tc>
      </w:tr>
      <w:tr>
        <w:trPr>
          <w:trHeight w:val="582"/>
        </w:trPr>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2080"/>
              <w:spacing w:after="0"/>
              <w:rPr>
                <w:sz w:val="20"/>
                <w:szCs w:val="20"/>
                <w:color w:val="auto"/>
              </w:rPr>
            </w:pPr>
            <w:r>
              <w:rPr>
                <w:rFonts w:ascii="Arial" w:cs="Arial" w:eastAsia="Arial" w:hAnsi="Arial"/>
                <w:sz w:val="14"/>
                <w:szCs w:val="14"/>
                <w:color w:val="auto"/>
              </w:rPr>
              <w:t>A-1</w:t>
            </w: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and Conversion to Cash of Long Term Incentive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Exhibit B,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“Time-Based Award” means a Long-Term Incentive Award, the vesting or final calculation of which is contingent only on the passage of time.</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“Performance-Based Award” means a Long-Term Incentive Award, the vesting or final calculation of which is contingent, in whole or in part, on the Company’s achievement of one or more performance goals over a given performance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“Target Level” means (i) the target amount of cash, or the target number of stock options, stock appreciation rights, shares of stock, shares of restricted stock or restricted stock units, as the case may be, under a Performance-Based Award, and/or (ii) the target level of performance underlying a Performance-Based Award, in each case determined in accordance with the terms of the agreement, plan or award notice pursuant to which such Performance-Based Award was granted.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Time-Based Awards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The cash value of any Time-Based Award of stock options or stock appreciation rights to be converted to cash under this Agreement shall be the product of (i) the number of shares of the Company’s common stock that are subject to such stock options or stock appreciation rights, multiplied by</w:t>
      </w:r>
    </w:p>
    <w:p>
      <w:pPr>
        <w:jc w:val="both"/>
        <w:ind w:firstLine="8"/>
        <w:spacing w:after="0" w:line="254"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difference of: (a) the closing price of a share of the Company’s common stock on the principal trading market of such shares as reported by The Wall Street Journal as of the Effective Date (or, if the market is closed on that date, on the last preceding date on which the market was open for trading; or, if the stock of the Company is not publicly traded as of such date, the fair market value of such stock, as determined by the Board in good faith), minus (b) the applicable exercise prices of those stock options or stock appreciation rights.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Stock, Restricted Stock or Restricted Stock Units</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cash value of any Time-Based Award of shares of stock, restricted shares of stock, or restricted stock units to be converted to cash under this Agreement shall be the product of (i) the number of shares of the Company’s common stock represented by such award multiplied by (ii) the closing price of a share of the Company’s common stock on the principal trading market of such shares as reported by The Wall Street Journal as of the Effective Date (or, if the market is closed on that date, on the last preceding date on which the market was open for trading; or, if the stock of the Company is not publicly traded as of such date, the fair market value of such stock, as determined by the Board in good faith).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u w:val="single" w:color="auto"/>
          <w:color w:val="auto"/>
        </w:rPr>
        <w:t>Performance-Based Awards – Equity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the Effective Date Executive will vest in the Target Level of any Performance-Based Awards of stock options, stock appreciation rights, shares of stock, shares of restricted stock or restricted stock units which are then unvested, irrespective of whether or to what extent the performance goal underlying such award has been or is likely to be achieved.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cash value of any Performance-Based Award of stock options or stock appreciation rights which vest as provided above shall be the product of (i) the number of shares of the Company’s common stock that are subject to such stock options or stock appreciation rights, multiplied by (ii) the difference of: (a) the closing price of a share of the Company’s common stock on the principal trading market of such shares as reported by The Wall Street Journal as of the Effective Date (or, if the market is closed on that date, on the last preceding date on which the market was open for trading; or, if the stock of the Company is not publicly traded as of such date, the fair market value of such stock, as determined by the Board in good faith), minus (b) the applicable exercise prices of such stock options or stock appreciation rights.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Stock, Restricted Stock or Restricted Stock Units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cash value of any Performance-Based Award of stock, restricted stock, or restricted stock units which vest as provided above shall be the product of (i) the number of shares of the Company’s common stock represented by the award multiplied by (ii) the closing price of a share of the Company’s common stock on the principal trading market of such shares as reported by The Wall Street Journal as of the Effective Date (or, if the market is closed on that date, on the last preceding date on which the market was open for trading; or, if the stock of the Company is not publicly traded as of such date, the fair market value of such stock, as determined by the Board in good faith).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Performance-Based Awards – Cash</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the Effective Date Executive will vest in any Performance-Based Awards of cash which are then unvested. If and to the extent that the amount of a Performance-Based Award of cash was determined prior to the Effective Date but remains subject to further adjustment based on the achievement of performance goals over a performance period concluding after the Effective Date, such performance goals will be deemed to have been achieved at the Target Level, irrespective of whether or to what extent such goals are likely to be achieved, and the cash payment to Executive shall be equal to the amount determined prior to the Effective Date. If and to the extent that the amount of a Performance-Based Award of cash was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determined prior to the Effective Date, such Performance-Based Award shall be deemed to have been earned at the Target Level in all respects, irrespective of whether or to what extent the underlying performance goals have been or are likely to be achieved.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Right of Board/Compensation Committee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in this Exhibit B seemingly to the contrary, the Board or the Compensation Committee thereof may, in its sole and absolute discretion (but subject to any limitations otherwise imposed under any plan approved by the Company’s shareholders), modify the calculation or determination of any award described in this Exhibit B so long as such modification is at least as beneficial to Executive as the calculation or determination provided for under this Exhibit B.</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71" w:name="page72"/>
    <w:bookmarkEnd w:id="71"/>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April 27, 2018,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29, 2018</w:t>
            </w:r>
          </w:p>
        </w:tc>
        <w:tc>
          <w:tcPr>
            <w:tcW w:w="9980" w:type="dxa"/>
            <w:vAlign w:val="bottom"/>
            <w:gridSpan w:val="3"/>
          </w:tcPr>
          <w:p>
            <w:pPr>
              <w:ind w:left="428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2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April 27, 2018,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Arial" w:cs="Arial" w:eastAsia="Arial" w:hAnsi="Arial"/>
                <w:sz w:val="18"/>
                <w:szCs w:val="18"/>
                <w:color w:val="auto"/>
                <w:w w:val="90"/>
              </w:rPr>
              <w:t>Date: May 29, 2018</w:t>
            </w:r>
          </w:p>
        </w:tc>
        <w:tc>
          <w:tcPr>
            <w:tcW w:w="9980" w:type="dxa"/>
            <w:vAlign w:val="bottom"/>
            <w:gridSpan w:val="3"/>
          </w:tcPr>
          <w:p>
            <w:pPr>
              <w:ind w:left="428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2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1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2"/>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1."/>
      <w:numFmt w:val="decimal"/>
      <w:start w:val="4"/>
    </w:lvl>
  </w:abstractNum>
  <w:abstractNum w:abstractNumId="7">
    <w:nsid w:val="2A487CB0"/>
    <w:multiLevelType w:val="hybridMultilevel"/>
    <w:lvl w:ilvl="0">
      <w:lvlJc w:val="left"/>
      <w:lvlText w:val="%1."/>
      <w:numFmt w:val="decimal"/>
      <w:start w:val="5"/>
    </w:lvl>
  </w:abstractNum>
  <w:abstractNum w:abstractNumId="8">
    <w:nsid w:val="1D4ED43B"/>
    <w:multiLevelType w:val="hybridMultilevel"/>
    <w:lvl w:ilvl="0">
      <w:lvlJc w:val="left"/>
      <w:lvlText w:val="%1."/>
      <w:numFmt w:val="decimal"/>
      <w:start w:val="6"/>
    </w:lvl>
  </w:abstractNum>
  <w:abstractNum w:abstractNumId="9">
    <w:nsid w:val="725A06FB"/>
    <w:multiLevelType w:val="hybridMultilevel"/>
    <w:lvl w:ilvl="0">
      <w:lvlJc w:val="left"/>
      <w:lvlText w:val="%1."/>
      <w:numFmt w:val="decimal"/>
      <w:start w:val="7"/>
    </w:lvl>
  </w:abstractNum>
  <w:abstractNum w:abstractNumId="10">
    <w:nsid w:val="2CD89A32"/>
    <w:multiLevelType w:val="hybridMultilevel"/>
    <w:lvl w:ilvl="0">
      <w:lvlJc w:val="left"/>
      <w:lvlText w:val="%1."/>
      <w:numFmt w:val="decimal"/>
      <w:start w:val="8"/>
    </w:lvl>
  </w:abstractNum>
  <w:abstractNum w:abstractNumId="11">
    <w:nsid w:val="57E4CCAF"/>
    <w:multiLevelType w:val="hybridMultilevel"/>
    <w:lvl w:ilvl="0">
      <w:lvlJc w:val="left"/>
      <w:lvlText w:val="%1."/>
      <w:numFmt w:val="decimal"/>
      <w:start w:val="9"/>
    </w:lvl>
  </w:abstractNum>
  <w:abstractNum w:abstractNumId="12">
    <w:nsid w:val="7A6D8D3C"/>
    <w:multiLevelType w:val="hybridMultilevel"/>
    <w:lvl w:ilvl="0">
      <w:lvlJc w:val="left"/>
      <w:lvlText w:val="%1."/>
      <w:numFmt w:val="decimal"/>
      <w:start w:val="10"/>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1"/>
    </w:lvl>
  </w:abstractNum>
  <w:abstractNum w:abstractNumId="15">
    <w:nsid w:val="6DE91B18"/>
    <w:multiLevelType w:val="hybridMultilevel"/>
    <w:lvl w:ilvl="0">
      <w:lvlJc w:val="left"/>
      <w:lvlText w:val="%1."/>
      <w:numFmt w:val="decimal"/>
      <w:start w:val="12"/>
    </w:lvl>
  </w:abstractNum>
  <w:abstractNum w:abstractNumId="16">
    <w:nsid w:val="38437FDB"/>
    <w:multiLevelType w:val="hybridMultilevel"/>
    <w:lvl w:ilvl="0">
      <w:lvlJc w:val="left"/>
      <w:lvlText w:val="%1."/>
      <w:numFmt w:val="decimal"/>
      <w:start w:val="13"/>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bullet"/>
      <w:start w:val="1"/>
    </w:lvl>
  </w:abstractNum>
  <w:abstractNum w:abstractNumId="23">
    <w:nsid w:val="1BA026F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4">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
    <w:nsid w:val="75C6C3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
    <w:nsid w:val="12E685FB"/>
    <w:multiLevelType w:val="hybridMultilevel"/>
    <w:lvl w:ilvl="0">
      <w:lvlJc w:val="left"/>
      <w:lvlText w:val="(%1)"/>
      <w:numFmt w:val="upperLetter"/>
      <w:start w:val="1"/>
    </w:lvl>
  </w:abstractNum>
  <w:abstractNum w:abstractNumId="27">
    <w:nsid w:val="70C6A529"/>
    <w:multiLevelType w:val="hybridMultilevel"/>
    <w:lvl w:ilvl="0">
      <w:lvlJc w:val="left"/>
      <w:lvlText w:val="(%1)"/>
      <w:numFmt w:val="upperLetter"/>
      <w:start w:val="2"/>
    </w:lvl>
  </w:abstractNum>
  <w:abstractNum w:abstractNumId="28">
    <w:nsid w:val="520EEDD1"/>
    <w:multiLevelType w:val="hybridMultilevel"/>
    <w:lvl w:ilvl="0">
      <w:lvlJc w:val="left"/>
      <w:lvlText w:val="(%1)"/>
      <w:numFmt w:val="lowerRoman"/>
      <w:start w:val="2"/>
    </w:lvl>
  </w:abstractNum>
  <w:abstractNum w:abstractNumId="29">
    <w:nsid w:val="374A3FE6"/>
    <w:multiLevelType w:val="hybridMultilevel"/>
    <w:lvl w:ilvl="0">
      <w:lvlJc w:val="left"/>
      <w:lvlText w:val="(%1)"/>
      <w:numFmt w:val="upperLetter"/>
      <w:start w:val="1"/>
    </w:lvl>
  </w:abstractNum>
  <w:abstractNum w:abstractNumId="30">
    <w:nsid w:val="4F4EF005"/>
    <w:multiLevelType w:val="hybridMultilevel"/>
    <w:lvl w:ilvl="0">
      <w:lvlJc w:val="left"/>
      <w:lvlText w:val="%1"/>
      <w:numFmt w:val="lowerRoman"/>
      <w:start w:val="1"/>
    </w:lvl>
    <w:lvl w:ilvl="1">
      <w:lvlJc w:val="left"/>
      <w:lvlText w:val="(%2)"/>
      <w:numFmt w:val="upperLetter"/>
      <w:start w:val="2"/>
    </w:lvl>
  </w:abstractNum>
  <w:abstractNum w:abstractNumId="31">
    <w:nsid w:val="23F9C13C"/>
    <w:multiLevelType w:val="hybridMultilevel"/>
    <w:lvl w:ilvl="0">
      <w:lvlJc w:val="left"/>
      <w:lvlText w:val="(%1)"/>
      <w:numFmt w:val="lowerRoman"/>
      <w:start w:val="3"/>
    </w:lvl>
    <w:lvl w:ilvl="1">
      <w:lvlJc w:val="left"/>
      <w:lvlText w:val="%2"/>
      <w:numFmt w:val="upperLetter"/>
      <w:start w:val="1"/>
    </w:lvl>
  </w:abstractNum>
  <w:abstractNum w:abstractNumId="32">
    <w:nsid w:val="649BB77C"/>
    <w:multiLevelType w:val="hybridMultilevel"/>
    <w:lvl w:ilvl="0">
      <w:lvlJc w:val="left"/>
      <w:lvlText w:val="(%1)"/>
      <w:numFmt w:val="lowerLetter"/>
      <w:start w:val="4"/>
    </w:lvl>
    <w:lvl w:ilvl="1">
      <w:lvlJc w:val="left"/>
      <w:lvlText w:val="(%2)"/>
      <w:numFmt w:val="lowerRoman"/>
      <w:start w:val="1"/>
    </w:lvl>
  </w:abstractNum>
  <w:abstractNum w:abstractNumId="33">
    <w:nsid w:val="275AC794"/>
    <w:multiLevelType w:val="hybridMultilevel"/>
    <w:lvl w:ilvl="0">
      <w:lvlJc w:val="left"/>
      <w:lvlText w:val="%1."/>
      <w:numFmt w:val="decimal"/>
      <w:start w:val="3"/>
    </w:lvl>
    <w:lvl w:ilvl="1">
      <w:lvlJc w:val="left"/>
      <w:lvlText w:val="(%2)"/>
      <w:numFmt w:val="lowerLetter"/>
      <w:start w:val="1"/>
    </w:lvl>
  </w:abstractNum>
  <w:abstractNum w:abstractNumId="34">
    <w:nsid w:val="39386575"/>
    <w:multiLevelType w:val="hybridMultilevel"/>
    <w:lvl w:ilvl="0">
      <w:lvlJc w:val="left"/>
      <w:lvlText w:val="%1"/>
      <w:numFmt w:val="decimal"/>
      <w:start w:val="1"/>
    </w:lvl>
    <w:lvl w:ilvl="1">
      <w:lvlJc w:val="left"/>
      <w:lvlText w:val="(%2)"/>
      <w:numFmt w:val="lowerLetter"/>
      <w:start w:val="4"/>
    </w:lvl>
  </w:abstractNum>
  <w:abstractNum w:abstractNumId="35">
    <w:nsid w:val="1CF10FD8"/>
    <w:multiLevelType w:val="hybridMultilevel"/>
    <w:lvl w:ilvl="0">
      <w:lvlJc w:val="left"/>
      <w:lvlText w:val="%1."/>
      <w:numFmt w:val="decimal"/>
      <w:start w:val="4"/>
    </w:lvl>
    <w:lvl w:ilvl="1">
      <w:lvlJc w:val="left"/>
      <w:lvlText w:val="%2"/>
      <w:numFmt w:val="lowerLetter"/>
      <w:start w:val="1"/>
    </w:lvl>
  </w:abstractNum>
  <w:abstractNum w:abstractNumId="36">
    <w:nsid w:val="180115B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4"/>
    </w:lvl>
  </w:abstractNum>
  <w:abstractNum w:abstractNumId="37">
    <w:nsid w:val="235BA861"/>
    <w:multiLevelType w:val="hybridMultilevel"/>
    <w:lvl w:ilvl="0">
      <w:lvlJc w:val="left"/>
      <w:lvlText w:val="%1"/>
      <w:numFmt w:val="decimal"/>
      <w:start w:val="1"/>
    </w:lvl>
    <w:lvl w:ilvl="1">
      <w:lvlJc w:val="left"/>
      <w:lvlText w:val="(%2)"/>
      <w:numFmt w:val="lowerLetter"/>
      <w:start w:val="5"/>
    </w:lvl>
  </w:abstractNum>
  <w:abstractNum w:abstractNumId="38">
    <w:nsid w:val="47398C89"/>
    <w:multiLevelType w:val="hybridMultilevel"/>
    <w:lvl w:ilvl="0">
      <w:lvlJc w:val="left"/>
      <w:lvlText w:val="%1."/>
      <w:numFmt w:val="decimal"/>
      <w:start w:val="6"/>
    </w:lvl>
    <w:lvl w:ilvl="1">
      <w:lvlJc w:val="left"/>
      <w:lvlText w:val="%2"/>
      <w:numFmt w:val="lowerLetter"/>
      <w:start w:val="1"/>
    </w:lvl>
  </w:abstractNum>
  <w:abstractNum w:abstractNumId="39">
    <w:nsid w:val="354FE9F9"/>
    <w:multiLevelType w:val="hybridMultilevel"/>
    <w:lvl w:ilvl="0">
      <w:lvlJc w:val="left"/>
      <w:lvlText w:val="%1."/>
      <w:numFmt w:val="decimal"/>
      <w:start w:val="11"/>
    </w:lvl>
    <w:lvl w:ilvl="1">
      <w:lvlJc w:val="left"/>
      <w:lvlText w:val="%2."/>
      <w:numFmt w:val="decimal"/>
      <w:start w:val="11"/>
    </w:lvl>
    <w:lvl w:ilvl="2">
      <w:lvlJc w:val="left"/>
      <w:lvlText w:val="(%3)"/>
      <w:numFmt w:val="lowerLetter"/>
      <w:start w:val="1"/>
    </w:lvl>
  </w:abstractNum>
  <w:abstractNum w:abstractNumId="40">
    <w:nsid w:val="15B5AF5C"/>
    <w:multiLevelType w:val="hybridMultilevel"/>
    <w:lvl w:ilvl="0">
      <w:lvlJc w:val="left"/>
      <w:lvlText w:val="%1."/>
      <w:numFmt w:val="decimal"/>
      <w:start w:val="1"/>
    </w:lvl>
    <w:lvl w:ilvl="1">
      <w:lvlJc w:val="left"/>
      <w:lvlText w:val="(%2)"/>
      <w:numFmt w:val="lowerLetter"/>
      <w:start w:val="1"/>
    </w:lvl>
  </w:abstractNum>
  <w:abstractNum w:abstractNumId="41">
    <w:nsid w:val="741226BB"/>
    <w:multiLevelType w:val="hybridMultilevel"/>
    <w:lvl w:ilvl="0">
      <w:lvlJc w:val="left"/>
      <w:lvlText w:val="%1"/>
      <w:numFmt w:val="decimal"/>
      <w:start w:val="1"/>
    </w:lvl>
    <w:lvl w:ilvl="1">
      <w:lvlJc w:val="left"/>
      <w:lvlText w:val="(%2)"/>
      <w:numFmt w:val="lowerLetter"/>
      <w:start w:val="2"/>
    </w:lvl>
  </w:abstractNum>
  <w:abstractNum w:abstractNumId="42">
    <w:nsid w:val="D34B6A8"/>
    <w:multiLevelType w:val="hybridMultilevel"/>
    <w:lvl w:ilvl="0">
      <w:lvlJc w:val="left"/>
      <w:lvlText w:val="%1."/>
      <w:numFmt w:val="decimal"/>
      <w:start w:val="2"/>
    </w:lvl>
    <w:lvl w:ilvl="1">
      <w:lvlJc w:val="left"/>
      <w:lvlText w:val="%2"/>
      <w:numFmt w:val="lowerLetter"/>
      <w:start w:val="1"/>
    </w:lvl>
  </w:abstractNum>
  <w:abstractNum w:abstractNumId="43">
    <w:nsid w:val="10233C99"/>
    <w:multiLevelType w:val="hybridMultilevel"/>
    <w:lvl w:ilvl="0">
      <w:lvlJc w:val="left"/>
      <w:lvlText w:val="%1."/>
      <w:numFmt w:val="decimal"/>
      <w:start w:val="5"/>
    </w:lvl>
  </w:abstractNum>
  <w:abstractNum w:abstractNumId="44">
    <w:nsid w:val="3F6AB60F"/>
    <w:multiLevelType w:val="hybridMultilevel"/>
    <w:lvl w:ilvl="0">
      <w:lvlJc w:val="left"/>
      <w:lvlText w:val="%1."/>
      <w:numFmt w:val="decimal"/>
      <w:start w:val="10"/>
    </w:lvl>
  </w:abstractNum>
  <w:abstractNum w:abstractNumId="45">
    <w:nsid w:val="61574095"/>
    <w:multiLevelType w:val="hybridMultilevel"/>
    <w:lvl w:ilvl="0">
      <w:lvlJc w:val="left"/>
      <w:lvlText w:val="%1."/>
      <w:numFmt w:val="decimal"/>
      <w:start w:val="18"/>
    </w:lvl>
  </w:abstractNum>
  <w:abstractNum w:abstractNumId="46">
    <w:nsid w:val="7E0C57B1"/>
    <w:multiLevelType w:val="hybridMultilevel"/>
    <w:lvl w:ilvl="0">
      <w:lvlJc w:val="left"/>
      <w:lvlText w:val="%1."/>
      <w:numFmt w:val="decimal"/>
      <w:start w:val="1"/>
    </w:lvl>
    <w:lvl w:ilvl="1">
      <w:lvlJc w:val="left"/>
      <w:lvlText w:val="(%2)"/>
      <w:numFmt w:val="lowerLetter"/>
      <w:start w:val="1"/>
    </w:lvl>
  </w:abstractNum>
  <w:abstractNum w:abstractNumId="47">
    <w:nsid w:val="77AE35EB"/>
    <w:multiLevelType w:val="hybridMultilevel"/>
    <w:lvl w:ilvl="0">
      <w:lvlJc w:val="left"/>
      <w:lvlText w:val="%1"/>
      <w:numFmt w:val="decimal"/>
      <w:start w:val="1"/>
    </w:lvl>
    <w:lvl w:ilvl="1">
      <w:lvlJc w:val="left"/>
      <w:lvlText w:val="(%2)"/>
      <w:numFmt w:val="lowerLetter"/>
      <w:start w:val="2"/>
    </w:lvl>
  </w:abstractNum>
  <w:abstractNum w:abstractNumId="48">
    <w:nsid w:val="579BE4F1"/>
    <w:multiLevelType w:val="hybridMultilevel"/>
    <w:lvl w:ilvl="0">
      <w:lvlJc w:val="left"/>
      <w:lvlText w:val="%1."/>
      <w:numFmt w:val="decimal"/>
      <w:start w:val="3"/>
    </w:lvl>
    <w:lvl w:ilvl="1">
      <w:lvlJc w:val="left"/>
      <w:lvlText w:val="(%2)"/>
      <w:numFmt w:val="lowerLetter"/>
      <w:start w:val="1"/>
    </w:lvl>
  </w:abstractNum>
  <w:abstractNum w:abstractNumId="49">
    <w:nsid w:val="310C50B3"/>
    <w:multiLevelType w:val="hybridMultilevel"/>
    <w:lvl w:ilvl="0">
      <w:lvlJc w:val="left"/>
      <w:lvlText w:val="%1"/>
      <w:numFmt w:val="decimal"/>
      <w:start w:val="1"/>
    </w:lvl>
    <w:lvl w:ilvl="1">
      <w:lvlJc w:val="left"/>
      <w:lvlText w:val="(%2)"/>
      <w:numFmt w:val="lowerLetter"/>
      <w:start w:val="2"/>
    </w:lvl>
  </w:abstractNum>
  <w:abstractNum w:abstractNumId="50">
    <w:nsid w:val="5FF87E05"/>
    <w:multiLevelType w:val="hybridMultilevel"/>
    <w:lvl w:ilvl="0">
      <w:lvlJc w:val="left"/>
      <w:lvlText w:val="%1."/>
      <w:numFmt w:val="decimal"/>
      <w:start w:val="4"/>
    </w:lvl>
    <w:lvl w:ilvl="1">
      <w:lvlJc w:val="left"/>
      <w:lvlText w:val="(%2)"/>
      <w:numFmt w:val="lowerLetter"/>
      <w:start w:val="1"/>
    </w:lvl>
  </w:abstractNum>
  <w:abstractNum w:abstractNumId="51">
    <w:nsid w:val="2F305DE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1DBABF00"/>
    <w:multiLevelType w:val="hybridMultilevel"/>
    <w:lvl w:ilvl="0">
      <w:lvlJc w:val="left"/>
      <w:lvlText w:val="%1"/>
      <w:numFmt w:val="lowerLetter"/>
      <w:start w:val="1"/>
    </w:lvl>
    <w:lvl w:ilvl="1">
      <w:lvlJc w:val="left"/>
      <w:lvlText w:val="(%2)"/>
      <w:numFmt w:val="lowerRoman"/>
      <w:start w:val="3"/>
    </w:lvl>
  </w:abstractNum>
  <w:abstractNum w:abstractNumId="54">
    <w:nsid w:val="4AD084E9"/>
    <w:multiLevelType w:val="hybridMultilevel"/>
    <w:lvl w:ilvl="0">
      <w:lvlJc w:val="left"/>
      <w:lvlText w:val="(%1)"/>
      <w:numFmt w:val="lowerLetter"/>
      <w:start w:val="2"/>
    </w:lvl>
    <w:lvl w:ilvl="1">
      <w:lvlJc w:val="left"/>
      <w:lvlText w:val="%2"/>
      <w:numFmt w:val="lowerRoman"/>
      <w:start w:val="1"/>
    </w:lvl>
  </w:abstractNum>
  <w:abstractNum w:abstractNumId="55">
    <w:nsid w:val="1F48EAA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6">
    <w:nsid w:val="138182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5DB70AE5"/>
    <w:multiLevelType w:val="hybridMultilevel"/>
    <w:lvl w:ilvl="0">
      <w:lvlJc w:val="left"/>
      <w:lvlText w:val="(%1)"/>
      <w:numFmt w:val="lowerLetter"/>
      <w:start w:val="2"/>
    </w:lvl>
    <w:lvl w:ilvl="1">
      <w:lvlJc w:val="left"/>
      <w:lvlText w:val="(%2)"/>
      <w:numFmt w:val="lowerRoman"/>
      <w:start w:val="1"/>
    </w:lvl>
  </w:abstractNum>
  <w:abstractNum w:abstractNumId="58">
    <w:nsid w:val="100F8FCA"/>
    <w:multiLevelType w:val="hybridMultilevel"/>
    <w:lvl w:ilvl="0">
      <w:lvlJc w:val="left"/>
      <w:lvlText w:val="(%1)"/>
      <w:numFmt w:val="lowerLetter"/>
      <w:start w:val="4"/>
    </w:lvl>
  </w:abstractNum>
  <w:abstractNum w:abstractNumId="59">
    <w:nsid w:val="6590700B"/>
    <w:multiLevelType w:val="hybridMultilevel"/>
    <w:lvl w:ilvl="0">
      <w:lvlJc w:val="left"/>
      <w:lvlText w:val="%1"/>
      <w:numFmt w:val="decimal"/>
      <w:start w:val="1"/>
    </w:lvl>
    <w:lvl w:ilvl="1">
      <w:lvlJc w:val="left"/>
      <w:lvlText w:val="(%2)"/>
      <w:numFmt w:val="lowerLetter"/>
      <w:start w:val="5"/>
    </w:lvl>
  </w:abstractNum>
  <w:abstractNum w:abstractNumId="60">
    <w:nsid w:val="15014ACB"/>
    <w:multiLevelType w:val="hybridMultilevel"/>
    <w:lvl w:ilvl="0">
      <w:lvlJc w:val="left"/>
      <w:lvlText w:val="%1."/>
      <w:numFmt w:val="decimal"/>
      <w:start w:val="7"/>
    </w:lvl>
    <w:lvl w:ilvl="1">
      <w:lvlJc w:val="left"/>
      <w:lvlText w:val="%2"/>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3">
    <w:nsid w:val="799D0247"/>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64">
    <w:nsid w:val="6B94764"/>
    <w:multiLevelType w:val="hybridMultilevel"/>
    <w:lvl w:ilvl="0">
      <w:lvlJc w:val="left"/>
      <w:lvlText w:val="(%1)"/>
      <w:numFmt w:val="lowerLetter"/>
      <w:start w:val="2"/>
    </w:lvl>
  </w:abstractNum>
  <w:abstractNum w:abstractNumId="65">
    <w:nsid w:val="42C296BD"/>
    <w:multiLevelType w:val="hybridMultilevel"/>
    <w:lvl w:ilvl="0">
      <w:lvlJc w:val="left"/>
      <w:lvlText w:val="(%1)"/>
      <w:numFmt w:val="lowerLetter"/>
      <w:start w:val="5"/>
    </w:lvl>
  </w:abstractNum>
  <w:abstractNum w:abstractNumId="66">
    <w:nsid w:val="168E121F"/>
    <w:multiLevelType w:val="hybridMultilevel"/>
    <w:lvl w:ilvl="0">
      <w:lvlJc w:val="left"/>
      <w:lvlText w:val="(%1)"/>
      <w:numFmt w:val="lowerLetter"/>
      <w:start w:val="8"/>
    </w:lvl>
  </w:abstractNum>
  <w:abstractNum w:abstractNumId="67">
    <w:nsid w:val="1EBA5D23"/>
    <w:multiLevelType w:val="hybridMultilevel"/>
    <w:lvl w:ilvl="0">
      <w:lvlJc w:val="left"/>
      <w:lvlText w:val="%1"/>
      <w:numFmt w:val="decimal"/>
      <w:start w:val="1"/>
    </w:lvl>
    <w:lvl w:ilvl="1">
      <w:lvlJc w:val="left"/>
      <w:lvlText w:val="(%2)"/>
      <w:numFmt w:val="lowerLetter"/>
      <w:start w:val="10"/>
    </w:lvl>
  </w:abstractNum>
  <w:abstractNum w:abstractNumId="68">
    <w:nsid w:val="661E3F1E"/>
    <w:multiLevelType w:val="hybridMultilevel"/>
    <w:lvl w:ilvl="0">
      <w:lvlJc w:val="left"/>
      <w:lvlText w:val="%1."/>
      <w:numFmt w:val="decimal"/>
      <w:start w:val="10"/>
    </w:lvl>
    <w:lvl w:ilvl="1">
      <w:lvlJc w:val="left"/>
      <w:lvlText w:val="%2"/>
      <w:numFmt w:val="lowerLetter"/>
      <w:start w:val="1"/>
    </w:lvl>
  </w:abstractNum>
  <w:abstractNum w:abstractNumId="69">
    <w:nsid w:val="5DC79EA8"/>
    <w:multiLevelType w:val="hybridMultilevel"/>
    <w:lvl w:ilvl="0">
      <w:lvlJc w:val="left"/>
      <w:lvlText w:val="%1."/>
      <w:numFmt w:val="decimal"/>
      <w:start w:val="11"/>
    </w:lvl>
  </w:abstractNum>
  <w:abstractNum w:abstractNumId="70">
    <w:nsid w:val="540A471C"/>
    <w:multiLevelType w:val="hybridMultilevel"/>
    <w:lvl w:ilvl="0">
      <w:lvlJc w:val="left"/>
      <w:lvlText w:val="%1."/>
      <w:numFmt w:val="decimal"/>
      <w:start w:val="16"/>
    </w:lvl>
    <w:lvl w:ilvl="1">
      <w:lvlJc w:val="left"/>
      <w:lvlText w:val="%2."/>
      <w:numFmt w:val="decimal"/>
      <w:start w:val="16"/>
    </w:lvl>
    <w:lvl w:ilvl="2">
      <w:lvlJc w:val="left"/>
      <w:lvlText w:val="(%3)"/>
      <w:numFmt w:val="lowerLetter"/>
      <w:start w:val="1"/>
    </w:lvl>
  </w:abstractNum>
  <w:abstractNum w:abstractNumId="71">
    <w:nsid w:val="7BD3EE7B"/>
    <w:multiLevelType w:val="hybridMultilevel"/>
    <w:lvl w:ilvl="0">
      <w:lvlJc w:val="left"/>
      <w:lvlText w:val="(%1)"/>
      <w:numFmt w:val="lowerRoman"/>
      <w:start w:val="2"/>
    </w:lvl>
  </w:abstractNum>
  <w:abstractNum w:abstractNumId="72">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3">
    <w:nsid w:val="613EFDC5"/>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4">
    <w:nsid w:val="BF72B1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5">
    <w:nsid w:val="11447B7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41" Type="http://schemas.openxmlformats.org/officeDocument/2006/relationships/hyperlink" Target="http://www.sec.gov/Archives/edgar/data/1067294/000119312518111679/d56540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2019-12-28T21:50:17Z</dcterms:created>
  <dcterms:modified xsi:type="dcterms:W3CDTF">2019-12-28T21:50:17Z</dcterms:modified>
</cp:coreProperties>
</file>