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57" w:lineRule="exact"/>
        <w:rPr>
          <w:sz w:val="24"/>
          <w:szCs w:val="24"/>
          <w:color w:val="auto"/>
        </w:rPr>
      </w:pPr>
    </w:p>
    <w:p>
      <w:pPr>
        <w:jc w:val="center"/>
        <w:spacing w:after="0" w:line="368" w:lineRule="exact"/>
        <w:rPr>
          <w:sz w:val="20"/>
          <w:szCs w:val="20"/>
          <w:color w:val="auto"/>
        </w:rPr>
      </w:pPr>
      <w:r>
        <w:rPr>
          <w:rFonts w:ascii="Times New Roman" w:cs="Times New Roman" w:eastAsia="Times New Roman" w:hAnsi="Times New Roman"/>
          <w:sz w:val="32"/>
          <w:szCs w:val="32"/>
          <w:color w:val="auto"/>
        </w:rPr>
        <w:t>FORM 10</w:t>
      </w:r>
      <w:r>
        <w:rPr>
          <w:rFonts w:ascii="MS PGothic" w:cs="MS PGothic" w:eastAsia="MS PGothic" w:hAnsi="MS PGothic"/>
          <w:sz w:val="32"/>
          <w:szCs w:val="32"/>
          <w:color w:val="auto"/>
        </w:rPr>
        <w:t>‑</w:t>
      </w:r>
      <w:r>
        <w:rPr>
          <w:rFonts w:ascii="Times New Roman" w:cs="Times New Roman" w:eastAsia="Times New Roman" w:hAnsi="Times New Roman"/>
          <w:sz w:val="32"/>
          <w:szCs w:val="32"/>
          <w:color w:val="auto"/>
        </w:rPr>
        <w:t>Q</w:t>
      </w:r>
    </w:p>
    <w:p>
      <w:pPr>
        <w:spacing w:after="0" w:line="3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900" w:right="4120" w:hanging="244"/>
        <w:spacing w:after="0" w:line="266" w:lineRule="auto"/>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May 3, 2019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left="900" w:right="4140" w:hanging="244"/>
        <w:spacing w:after="0" w:line="280" w:lineRule="auto"/>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w:t>
      </w:r>
      <w:r>
        <w:rPr>
          <w:rFonts w:ascii="Times New Roman" w:cs="Times New Roman" w:eastAsia="Times New Roman" w:hAnsi="Times New Roman"/>
          <w:sz w:val="21"/>
          <w:szCs w:val="21"/>
          <w:color w:val="auto"/>
        </w:rPr>
        <w:t>___________</w:t>
      </w:r>
      <w:r>
        <w:rPr>
          <w:rFonts w:ascii="Times New Roman" w:cs="Times New Roman" w:eastAsia="Times New Roman" w:hAnsi="Times New Roman"/>
          <w:sz w:val="18"/>
          <w:szCs w:val="18"/>
          <w:color w:val="auto"/>
        </w:rPr>
        <w:t xml:space="preserve"> to ___________</w:t>
      </w:r>
    </w:p>
    <w:p>
      <w:pPr>
        <w:spacing w:after="0" w:line="177"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color w:val="auto"/>
        </w:rPr>
        <w:t>Commission file number: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189865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Cracker Barrel Old Country Store,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4" w:lineRule="exact"/>
        <w:rPr>
          <w:sz w:val="24"/>
          <w:szCs w:val="24"/>
          <w:color w:val="auto"/>
        </w:rPr>
      </w:pPr>
    </w:p>
    <w:tbl>
      <w:tblPr>
        <w:tblLayout w:type="fixed"/>
        <w:tblInd w:w="660" w:type="dxa"/>
        <w:tblCellMar>
          <w:top w:w="0" w:type="dxa"/>
          <w:left w:w="0" w:type="dxa"/>
          <w:bottom w:w="0" w:type="dxa"/>
          <w:right w:w="0" w:type="dxa"/>
        </w:tblCellMar>
      </w:tblPr>
      <w:tr>
        <w:trPr>
          <w:trHeight w:val="245"/>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Tennessee</w:t>
            </w:r>
          </w:p>
        </w:tc>
        <w:tc>
          <w:tcPr>
            <w:tcW w:w="4040" w:type="dxa"/>
            <w:vAlign w:val="bottom"/>
          </w:tcPr>
          <w:p>
            <w:pPr>
              <w:jc w:val="center"/>
              <w:ind w:left="990"/>
              <w:spacing w:after="0" w:line="207" w:lineRule="exact"/>
              <w:rPr>
                <w:sz w:val="20"/>
                <w:szCs w:val="20"/>
                <w:color w:val="auto"/>
              </w:rPr>
            </w:pPr>
            <w:r>
              <w:rPr>
                <w:rFonts w:ascii="Times New Roman" w:cs="Times New Roman" w:eastAsia="Times New Roman" w:hAnsi="Times New Roman"/>
                <w:sz w:val="18"/>
                <w:szCs w:val="18"/>
                <w:color w:val="auto"/>
              </w:rPr>
              <w:t>62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0812904</w:t>
            </w: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1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305 Hartmann Drive</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37087-4779</w:t>
            </w:r>
          </w:p>
        </w:tc>
      </w:tr>
      <w:tr>
        <w:trPr>
          <w:trHeight w:val="21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Lebanon, Tennessee</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40" w:type="dxa"/>
            <w:vAlign w:val="bottom"/>
          </w:tcPr>
          <w:p>
            <w:pPr>
              <w:spacing w:after="0"/>
              <w:rPr>
                <w:sz w:val="20"/>
                <w:szCs w:val="20"/>
                <w:color w:val="auto"/>
              </w:rPr>
            </w:pPr>
          </w:p>
        </w:tc>
      </w:tr>
    </w:tbl>
    <w:p>
      <w:pPr>
        <w:spacing w:after="0" w:line="22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color w:val="auto"/>
        </w:rPr>
        <w:t>Registrant's telephone number, including area code: (615) 444-5533</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420"/>
          </w:cols>
          <w:pgMar w:left="240" w:top="535" w:right="239" w:bottom="936" w:gutter="0" w:footer="0" w:header="0"/>
        </w:sectPr>
      </w:pPr>
    </w:p>
    <w:p>
      <w:pPr>
        <w:spacing w:after="0" w:line="22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Common Stock (Par Value $0.01)</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Rights to Purchase Series A Junior Participating</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CBRL</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60"/>
        <w:spacing w:after="0" w:line="257" w:lineRule="auto"/>
        <w:rPr>
          <w:sz w:val="20"/>
          <w:szCs w:val="20"/>
          <w:color w:val="auto"/>
        </w:rPr>
      </w:pPr>
      <w:r>
        <w:rPr>
          <w:rFonts w:ascii="Times New Roman" w:cs="Times New Roman" w:eastAsia="Times New Roman" w:hAnsi="Times New Roman"/>
          <w:sz w:val="18"/>
          <w:szCs w:val="18"/>
          <w:color w:val="auto"/>
        </w:rPr>
        <w:t>Name of each exchange on which registered The Nasdaq Stock Market LLC (Nasdaq Global Select Market)</w:t>
      </w:r>
    </w:p>
    <w:p>
      <w:pPr>
        <w:spacing w:after="0" w:line="2" w:lineRule="exact"/>
        <w:rPr>
          <w:sz w:val="24"/>
          <w:szCs w:val="24"/>
          <w:color w:val="auto"/>
        </w:rPr>
      </w:pPr>
    </w:p>
    <w:p>
      <w:pPr>
        <w:sectPr>
          <w:pgSz w:w="11900" w:h="16838" w:orient="portrait"/>
          <w:cols w:equalWidth="0" w:num="3">
            <w:col w:w="5100" w:space="720"/>
            <w:col w:w="1340" w:space="720"/>
            <w:col w:w="3540"/>
          </w:cols>
          <w:pgMar w:left="240" w:top="535" w:right="239" w:bottom="936" w:gutter="0" w:footer="0" w:header="0"/>
          <w:type w:val="continuous"/>
        </w:sectPr>
      </w:pPr>
    </w:p>
    <w:p>
      <w:pPr>
        <w:ind w:left="1520"/>
        <w:spacing w:after="0"/>
        <w:rPr>
          <w:sz w:val="20"/>
          <w:szCs w:val="20"/>
          <w:color w:val="auto"/>
        </w:rPr>
      </w:pPr>
      <w:r>
        <w:rPr>
          <w:rFonts w:ascii="Times New Roman" w:cs="Times New Roman" w:eastAsia="Times New Roman" w:hAnsi="Times New Roman"/>
          <w:sz w:val="17"/>
          <w:szCs w:val="17"/>
          <w:color w:val="auto"/>
        </w:rPr>
        <w:t>Preferred Stock (Par Value $0.01)</w:t>
      </w:r>
    </w:p>
    <w:p>
      <w:pPr>
        <w:sectPr>
          <w:pgSz w:w="11900" w:h="16838" w:orient="portrait"/>
          <w:cols w:equalWidth="0" w:num="1">
            <w:col w:w="11420"/>
          </w:cols>
          <w:pgMar w:left="240" w:top="535" w:right="239" w:bottom="936" w:gutter="0" w:footer="0" w:header="0"/>
          <w:type w:val="continuous"/>
        </w:sectPr>
      </w:pPr>
    </w:p>
    <w:p>
      <w:pPr>
        <w:spacing w:after="0" w:line="24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35" w:right="239" w:bottom="936" w:gutter="0" w:footer="0" w:header="0"/>
          <w:type w:val="continuous"/>
        </w:sectPr>
      </w:pPr>
    </w:p>
    <w:p>
      <w:pPr>
        <w:spacing w:after="0" w:line="17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240"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8" w:lineRule="exact"/>
        <w:rPr>
          <w:sz w:val="24"/>
          <w:szCs w:val="24"/>
          <w:color w:val="auto"/>
        </w:rPr>
      </w:pPr>
    </w:p>
    <w:p>
      <w:pPr>
        <w:sectPr>
          <w:pgSz w:w="11900" w:h="16838" w:orient="portrait"/>
          <w:cols w:equalWidth="0" w:num="6">
            <w:col w:w="1980" w:space="80"/>
            <w:col w:w="1180" w:space="720"/>
            <w:col w:w="1960" w:space="80"/>
            <w:col w:w="1080" w:space="720"/>
            <w:col w:w="1520" w:space="100"/>
            <w:col w:w="2000"/>
          </w:cols>
          <w:pgMar w:left="240" w:top="535" w:right="239" w:bottom="936" w:gutter="0" w:footer="0" w:header="0"/>
          <w:type w:val="continuous"/>
        </w:sectPr>
      </w:pPr>
    </w:p>
    <w:p>
      <w:pPr>
        <w:spacing w:after="0" w:line="2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24,044,402 Shares of Common Stock</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Outstanding as of May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93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0" w:type="dxa"/>
            <w:vAlign w:val="bottom"/>
            <w:gridSpan w:val="9"/>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60" w:type="dxa"/>
            <w:vAlign w:val="bottom"/>
            <w:gridSpan w:val="4"/>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ITEM 1. Condensed Consolidated Financial Statements (Unaudited)</w:t>
            </w:r>
          </w:p>
        </w:tc>
        <w:tc>
          <w:tcPr>
            <w:tcW w:w="16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80" w:type="dxa"/>
            <w:vAlign w:val="bottom"/>
            <w:gridSpan w:val="15"/>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 Condensed Consolidated Balance Sheets</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80" w:type="dxa"/>
            <w:vAlign w:val="bottom"/>
            <w:gridSpan w:val="15"/>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 Condensed Consolidated Statements of Income</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80" w:type="dxa"/>
            <w:vAlign w:val="bottom"/>
            <w:gridSpan w:val="15"/>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 Condensed Consolidated Statements of Comprehensive Income</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80" w:type="dxa"/>
            <w:vAlign w:val="bottom"/>
            <w:gridSpan w:val="15"/>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d) Condensed Consolidated Statements of Changes in Shareholders’ Equity</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80" w:type="dxa"/>
            <w:vAlign w:val="bottom"/>
            <w:gridSpan w:val="15"/>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e) Condensed Consolidated Statements of Cash Flows</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80" w:type="dxa"/>
            <w:vAlign w:val="bottom"/>
            <w:gridSpan w:val="15"/>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f) Notes to Condensed Consolidated Financial Statements</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ITEM 2.</w:t>
              </w:r>
            </w:hyperlink>
          </w:p>
        </w:tc>
        <w:tc>
          <w:tcPr>
            <w:tcW w:w="8420" w:type="dxa"/>
            <w:vAlign w:val="bottom"/>
            <w:gridSpan w:val="13"/>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3.</w:t>
              </w:r>
            </w:hyperlink>
          </w:p>
        </w:tc>
        <w:tc>
          <w:tcPr>
            <w:tcW w:w="8420" w:type="dxa"/>
            <w:vAlign w:val="bottom"/>
            <w:gridSpan w:val="13"/>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Quantitative and Qualitative Disclosures About Market Risk</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4.</w:t>
              </w:r>
            </w:hyperlink>
          </w:p>
        </w:tc>
        <w:tc>
          <w:tcPr>
            <w:tcW w:w="1820" w:type="dxa"/>
            <w:vAlign w:val="bottom"/>
            <w:tcBorders>
              <w:bottom w:val="single" w:sz="8" w:color="0000EE"/>
            </w:tcBorders>
            <w:gridSpan w:val="4"/>
            <w:shd w:val="clear" w:color="auto" w:fill="CCEEFF"/>
          </w:tcPr>
          <w:p>
            <w:pPr>
              <w:ind w:left="40"/>
              <w:spacing w:after="0" w:line="17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Controls and Procedures</w:t>
              </w:r>
            </w:hyperlink>
          </w:p>
        </w:tc>
        <w:tc>
          <w:tcPr>
            <w:tcW w:w="6600" w:type="dxa"/>
            <w:vAlign w:val="bottom"/>
            <w:tcBorders>
              <w:bottom w:val="single" w:sz="8" w:color="CCEEFF"/>
            </w:tcBorders>
            <w:gridSpan w:val="9"/>
            <w:shd w:val="clear" w:color="auto" w:fill="CCEEFF"/>
          </w:tcPr>
          <w:p>
            <w:pPr>
              <w:spacing w:after="0"/>
              <w:rPr>
                <w:sz w:val="17"/>
                <w:szCs w:val="17"/>
                <w:color w:val="auto"/>
              </w:rPr>
            </w:pPr>
          </w:p>
        </w:tc>
        <w:tc>
          <w:tcPr>
            <w:tcW w:w="19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4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1A. Risk Factors</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6.</w:t>
              </w:r>
            </w:hyperlink>
          </w:p>
        </w:tc>
        <w:tc>
          <w:tcPr>
            <w:tcW w:w="8420" w:type="dxa"/>
            <w:vAlign w:val="bottom"/>
            <w:gridSpan w:val="13"/>
            <w:shd w:val="clear" w:color="auto" w:fill="CCEEFF"/>
          </w:tcPr>
          <w:p>
            <w:pPr>
              <w:ind w:left="100"/>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Exhibits</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20" w:type="dxa"/>
            <w:vAlign w:val="bottom"/>
            <w:gridSpan w:val="1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SIGNATURES</w:t>
              </w:r>
            </w:hyperlink>
          </w:p>
        </w:tc>
        <w:tc>
          <w:tcPr>
            <w:tcW w:w="19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0" w:type="dxa"/>
            <w:vAlign w:val="bottom"/>
            <w:tcBorders>
              <w:top w:val="single" w:sz="8" w:color="CCEEFF"/>
            </w:tcBorders>
            <w:gridSpan w:val="10"/>
          </w:tcPr>
          <w:p>
            <w:pPr>
              <w:jc w:val="center"/>
              <w:ind w:left="4228"/>
              <w:spacing w:after="0"/>
              <w:rPr>
                <w:sz w:val="20"/>
                <w:szCs w:val="20"/>
                <w:color w:val="auto"/>
              </w:rPr>
            </w:pPr>
            <w:r>
              <w:rPr>
                <w:rFonts w:ascii="Times New Roman" w:cs="Times New Roman" w:eastAsia="Times New Roman" w:hAnsi="Times New Roman"/>
                <w:sz w:val="14"/>
                <w:szCs w:val="14"/>
                <w:color w:val="auto"/>
                <w:w w:val="85"/>
              </w:rPr>
              <w:t>2</w:t>
            </w:r>
          </w:p>
        </w:tc>
        <w:tc>
          <w:tcPr>
            <w:tcW w:w="156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(In thousands, except share data)</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May 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August 3,</w:t>
            </w:r>
          </w:p>
        </w:tc>
        <w:tc>
          <w:tcPr>
            <w:tcW w:w="0" w:type="dxa"/>
            <w:vAlign w:val="bottom"/>
          </w:tcPr>
          <w:p>
            <w:pPr>
              <w:spacing w:after="0"/>
              <w:rPr>
                <w:sz w:val="1"/>
                <w:szCs w:val="1"/>
                <w:color w:val="auto"/>
              </w:rPr>
            </w:pPr>
          </w:p>
        </w:tc>
      </w:tr>
      <w:tr>
        <w:trPr>
          <w:trHeight w:val="241"/>
        </w:trPr>
        <w:tc>
          <w:tcPr>
            <w:tcW w:w="8820" w:type="dxa"/>
            <w:vAlign w:val="bottom"/>
            <w:gridSpan w:val="3"/>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361,168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2,212,601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 and amortization of capital leases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1,124,724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1,595,070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1,527,355</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115,317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248,439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 100,000,000 shares of $.01 par value authorized; 300,000 shares designated as Series A Junior</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Participating Preferred Stock; no shares issued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400,000,000 shares of $.01 par value authorized; 24,044,402 shares issued and outstanding at May 3,</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2019, and 24,011,550 shares issued and outstanding at August 3, 2018</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1,595,070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1,527,355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ind w:right="160" w:firstLine="8"/>
        <w:spacing w:after="0" w:line="282" w:lineRule="auto"/>
        <w:tabs>
          <w:tab w:leader="none" w:pos="1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Condensed Consolidated Balance Sheet has been derived from the audited Consolidated Balance Sheet as of August 3, 2018, as filed with the Securities and Exchange Commission in the Company’s Annual Report on Form 10-K for the fiscal year ended August 3, 2018.</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739,603</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721,413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2,284,853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2,219,552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(exclusive of depreciation and rent)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217,719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704,545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257,360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802,574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461,976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441,843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315,758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190,837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48,747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158,376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186,266</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24,041,673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24,003,611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24,034,878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24,013,435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24,104,432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24,065,783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24,090,626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24,075,834</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per share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CRACKER BARREL OLD COUNTRY STORE, INC. CONDENSED CONSOLIDATED STATEMENTS OF COMPREHENSIVE INCOME </w:t>
      </w:r>
      <w:r>
        <w:rPr>
          <w:rFonts w:ascii="Times New Roman" w:cs="Times New Roman" w:eastAsia="Times New Roman" w:hAnsi="Times New Roman"/>
          <w:sz w:val="18"/>
          <w:szCs w:val="18"/>
          <w:color w:val="auto"/>
        </w:rPr>
        <w:t>(Unaudited and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50,414</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158,376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before income tax (benefit) expense: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4,330</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3,254</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line="62" w:lineRule="exact"/>
        <w:rPr>
          <w:sz w:val="20"/>
          <w:szCs w:val="20"/>
          <w:color w:val="auto"/>
        </w:rPr>
      </w:pPr>
    </w:p>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CRACKER BARREL OLD COUNTRY STORE, INC. CONDENSED CONSOLIDATED STATEMENTS OF CHANGES IN SHAREHOLDERS’ EQUITY </w:t>
      </w:r>
      <w:r>
        <w:rPr>
          <w:rFonts w:ascii="Times New Roman" w:cs="Times New Roman" w:eastAsia="Times New Roman" w:hAnsi="Times New Roman"/>
          <w:sz w:val="18"/>
          <w:szCs w:val="18"/>
          <w:color w:val="auto"/>
        </w:rPr>
        <w:t>(Unaudited and in thousands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Paid-In</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Retained</w:t>
            </w: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Capital</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January 26, 2018</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24,003,611</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240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41,849</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1,197</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572,339</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48,747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48,747</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 tax</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3,254</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48,747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declared - $1.20 per share</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(28,987)</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(28,987)</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share-based compensation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awards, net of shares withheld for</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taxes</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Purchases and retirement of common</w:t>
            </w: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Balances at April 27, 2018</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24,003,611</w:t>
            </w:r>
          </w:p>
        </w:tc>
        <w:tc>
          <w:tcPr>
            <w:tcW w:w="9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240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43,591</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4,451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592,099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640,381</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Paid-In</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Retained</w:t>
            </w: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Capital</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July 28, 2017</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24,055,682</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241</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55,659</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492,836</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186,266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186,266</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 tax</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8,680</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186,266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declared - $3.60 per share</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(87,003)</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(87,003)</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6,063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share-based compensation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awards, net of shares withheld for</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taxes</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47,929</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(3,360)</w:t>
            </w: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Purchases and retirement of common</w:t>
            </w: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(14,772)</w:t>
            </w: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Balances at April 27, 2018</w:t>
            </w: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24,003,611</w:t>
            </w:r>
          </w:p>
        </w:tc>
        <w:tc>
          <w:tcPr>
            <w:tcW w:w="9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240</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43,591</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4,451</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592,099</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640,381</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Paid-In</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Retained</w:t>
            </w: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Capital</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February 1, 2019</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24,041,374</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240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46,125</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580,314</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50,414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50,414</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 tax</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(2,220)</w:t>
            </w: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50,414</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declared - $1.25 per share</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(30,165)</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(30,165)</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share-based compensation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awards, net of shares withheld for</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taxes</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Purchases and retirement of common</w:t>
            </w: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Balances at May 3, 2019</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24,044,402</w:t>
            </w:r>
          </w:p>
        </w:tc>
        <w:tc>
          <w:tcPr>
            <w:tcW w:w="9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241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47,500</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600,563</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648,023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Paid-In</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Retained</w:t>
            </w: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Capital</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August 3, 2018</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24,011,550</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240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44,049</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4,685</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532,807</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158,376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158,376</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 tax</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(4,966)</w:t>
            </w: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158,376</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declared - $3.75 per share</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(90,620)</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(90,620)</w:t>
            </w: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1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5,672</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3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share-based compensation</w:t>
            </w: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awards, net of shares withheld for</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taxes</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32,852</w:t>
            </w:r>
          </w:p>
        </w:tc>
        <w:tc>
          <w:tcPr>
            <w:tcW w:w="6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5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(2,220)</w:t>
            </w:r>
          </w:p>
        </w:tc>
      </w:tr>
      <w:tr>
        <w:trPr>
          <w:trHeight w:val="198"/>
        </w:trPr>
        <w:tc>
          <w:tcPr>
            <w:tcW w:w="20" w:type="dxa"/>
            <w:vAlign w:val="bottom"/>
          </w:tcPr>
          <w:p>
            <w:pPr>
              <w:spacing w:after="0"/>
              <w:rPr>
                <w:sz w:val="17"/>
                <w:szCs w:val="17"/>
                <w:color w:val="auto"/>
              </w:rPr>
            </w:pPr>
          </w:p>
        </w:tc>
        <w:tc>
          <w:tcPr>
            <w:tcW w:w="33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Purchases and retirement of common</w:t>
            </w:r>
          </w:p>
        </w:tc>
        <w:tc>
          <w:tcPr>
            <w:tcW w:w="1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3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Balances at May 3, 2019</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24,044,402</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47,500</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600,563</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648,023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(Unaudited and in thousands)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assets and liabilities</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252,586</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220,975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(103,862)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insurance recoveries of property and equipment</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(Taxes withheld) and proceeds from issuance of share-based compensation awards, net</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under long-term debt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32,940</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 accrued in accounts payable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deferred tax asset for interest rate swaps</w:t>
            </w: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(In thousands, except percentages, share and per share data) (Unaudited)</w:t>
      </w:r>
    </w:p>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in accordance with accounting principles generally accepted in the United States of America and pursuant to the rules and regulations of the Securities and Exchange Commission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thereto contained in the Company's Annual Report on Form 10-K for the year ended August 3, 2018 (the “2018 Form 10-K”). The accounting policies used in preparing these condensed consolidated financial statements are the same as described in the 2018 Form 10-K except for the expanded accounting policy disclosure for revenue recognition discussed in Note 8. References to a year in these Notes to Condensed Consolidated Financial Statements are to the Company’s fiscal year unless otherwise noted.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The Company adopted this accounting guidance using the modified retrospective transition method. The adoption of this accounting guidance in the first quarter of 2019 did not have a material effect on the Company’s consolidated financial position or results of operations, and the Company did not record a cumulative catch-up adjustment to the opening balance of retained earnings. See Note 8 for further discussion on revenue recognition accounting policies and related disclosures.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Recognition of Breakage for Certain Prepaid Stored-Value Products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The Company adopted this accounting guidance using the modified retrospective transition method. The adoption of this accounting guidance in the first quarter of 2019 did not have a significant impact on the Company’s consolidated financial position or results of operations, and the Company did not record a cumulative catch-up adjustment to the opening balance of retained earnings.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Modification of Share-Based Payment Awards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2017, the FASB issued accounting guidance to provide clarity, reduce the diversity in practice and to simplify the accounting guidance related to a change to the terms or conditions of a share-based payment award. This new standard provides guidance for evaluating which changes to the terms or conditions of a share-based payment award are substantive and require modification accounting to be applied. The adoption of this accounting guidance in the first quarter of 2019 did not have a significant impact on the Company’s consolidated financial position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plans to apply the transition requirements at the effective date rather than at the beginning of the earliest comparative period presented. This election allows for a cumulative effective adjustment to the opening balance of retained earnings in the period of adoption, and prior periods will not be restated. The Company also plans to elect the transition package of practical expedients permitted under this guidance, which among other things, allows the carryforward of historical lease classifications. The Company is still evaluating other practical expedients and policy elections. The Company is implementing software to assist in the quantification of the impact on the Company’s consolidated financial position and results of operations related to the adoption of this accounting guidance in the first quarter of 2020. The Company is also evaluating additional changes to its processes and internal controls to ensure compliance with the reporting and disclosure requirements of the accounting guidance. The Company expects that the adoption of this accounting guidance will result in a material increase in lease-related assets and liabilities on the Company’s consolidated balance sheet. The Company currently does not expect that the adoption of this accounting guidance will have a material impact on the Company’s consolidated statements of income and cash flows.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Accounting for Hedging Activities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2017, the FASB issued accounting guidance which amends the recognition, presentation and disclosure requirements of hedge accounting in order to better portray the economics of entities’ risk management activities, increase transparency and understandability of hedging relationships and simplify the application of hedge accounting. This accounting guidance is effective for fiscal years beginning after December 15, 2018, and interim periods within those fiscal years. Early application is permitted. The recognition requirements for cash flow and net investment hedges existing at the date of adoption will be applied using a cumulative-effect adjustment to retained earnings. The amended presentation and disclosure requirements will be applied on a prospective basis. The Company currently does not expect that the adoption of this accounting guidance in the first quarter of 2020 will have a significant impact on the Company’s consolidated financial position or results of operations.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Reclassification of Certain Tax Effects from Accumulated Other Comprehensive Income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22, 2017, the U.S. government enacted P.L. 115-97, the Tax Cuts and Jobs Act (the “Tax Act”). In February 2018, the FASB issued accounting guidance which allows a reclassification from accumulated other comprehensive income to retained earnings for stranded tax effects resulting from the Tax Act. This accounting guidance is effective for fiscal years beginning after December 15, 2018, and interim periods within those fiscal years. If elected, this accounting guidance should be applied either in the period of adoption or retrospectively to each period in which the change in the U.S. federal corporate rate in the Tax Act is recognized. Early application is permitted. The Company currently does not expect to elect this reclassification option upon adoption of the accounting guidance in the first quarter of 2020.</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Share-Based Payment Arrangements With Nonemployees</w:t>
      </w:r>
    </w:p>
    <w:p>
      <w:pPr>
        <w:spacing w:after="0" w:line="2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June 2018, the FASB issued accounting guidance in order to simplify accounting for share-based payments granted to nonemployees for goods and services. This new guidance aligns most of the accounting requirements for share-based payments granted to nonemployees with the existing guidance for share-based payments granted to employees. This accounting guidance is effective for fiscal years beginning after December 15, 2018, and interim periods within those fiscal years, using a modified retrospective transition approach. Early adoption is permitted. The Company does not expect that the adoption of this accounting guidance in the first quarter of 2020 will have a significant impact on the Company’s consolidated financial position or results of operations.</w:t>
      </w:r>
    </w:p>
    <w:p>
      <w:pPr>
        <w:spacing w:after="0" w:line="200" w:lineRule="exact"/>
        <w:rPr>
          <w:sz w:val="20"/>
          <w:szCs w:val="20"/>
          <w:color w:val="auto"/>
        </w:rPr>
      </w:pPr>
    </w:p>
    <w:p>
      <w:pPr>
        <w:spacing w:after="0" w:line="22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assets and liabilities measured at fair value on a recurring basis at May 3, 2019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Total 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100,446</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5)</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100,446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 (see Note 5)</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1,684</w:t>
            </w:r>
          </w:p>
        </w:tc>
        <w:tc>
          <w:tcPr>
            <w:tcW w:w="10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1,684</w:t>
            </w:r>
          </w:p>
        </w:tc>
        <w:tc>
          <w:tcPr>
            <w:tcW w:w="10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August 3, 2018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Total 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38,446</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5)</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6,255</w:t>
            </w: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38,446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6,255</w:t>
            </w:r>
          </w:p>
        </w:tc>
        <w:tc>
          <w:tcPr>
            <w:tcW w:w="10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 (see Note 5)</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money market fund investments.</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money market fund investments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 The Company’s deferred compensation plan assets are measured based on net asset value per share as a practical expedient to estimate fair value.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May 3, 2019 and August 3, 2018.</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were comprised of the following at: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May 3, 2019</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August 3, 2018</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112,390</w:t>
            </w: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Restaurant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20,659</w:t>
            </w: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152,582</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156,253</w:t>
            </w: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5, 2018, the Company entered into a five-year $950,000 revolving credit facility (“2019 Revolving Credit Facility”). The 2019 Revolving Credit Facility also contains an option to increase the revolving credit facility by $300,000. The 2019 Revolving Credit Facility replaced the Company’s $750,000 revolving credit facility (“Prior Credit Facility”). Loan acquisition costs associated with the 2019 Revolving Credit Facility were capitalized in the amount of $3,022 and will be amortized over the five-year term of the 2019 Revolving Credit Facility. Loan acquisition costs of $166 associated with the Prior Credit Facility were written off in the first quarter of 2019 and are recorded in interest expense in the Condensed Consolidated Statement of Income.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both May 3, 2019 and August 3, 2018, the Company had $400,000 of outstanding borrowings under its credit facility. At May 3, 2019, the Company had $8,955 of standby letters of credit, which reduce the Company’s borrowing availability under the 2019 Revolving Credit Facility (see Note 12 for more information on the Company’s standby letters of credit). At May 3, 2019, the Company had $541,045 in borrowing availability under the 2019 Revolving Credit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2019 Revolving Credit Facility, outstanding borrowings bear interest, at the Company’s election, either at LIBOR or prime plus a percentage point spread based on certain specified financial ratios under the 2019 Revolving Credit Facility. At May 3, 2019, $350,000 of the Company’s outstanding borrowings were swapped at a weighted average interest rate of 3.74% (see Note 5 for information on the Company’s interest rate swaps). At May 3, 2019, the weighted average interest rate on the remaining $50,000 of the Company’s outstanding borrowings was 3.83%.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2019 Revolving Credit Facility contains customary financial covenants, which include maintenance of a maximum consolidated total leverage ratio and a minimum consolidated interest coverage ratio. At May 3, 2019, the Company was in compliance with all financial covenants.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2019 Revolving Credit Facility also imposes restrictions on the amount of dividends the Company is permitted to pay and the amount of shares the Company is permitted to repurchase. Under the 2019 Revolving Credit Facility, provided there is no default existing and the total of the Company’s availability under the 2019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8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cost-efficient manner, the Company uses derivative instruments, specifically interest rate swaps.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May 3, 2019 was 1.25%. All of the Company’s interest rate swaps are accounted for as cash flow hedges.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interest rate swaps at May 3, 2019 is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Term</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Fixed</w:t>
            </w:r>
          </w:p>
        </w:tc>
      </w:tr>
      <w:tr>
        <w:trPr>
          <w:trHeight w:val="241"/>
        </w:trPr>
        <w:tc>
          <w:tcPr>
            <w:tcW w:w="20" w:type="dxa"/>
            <w:vAlign w:val="bottom"/>
          </w:tcPr>
          <w:p>
            <w:pPr>
              <w:spacing w:after="0"/>
              <w:rPr>
                <w:sz w:val="20"/>
                <w:szCs w:val="20"/>
                <w:color w:val="auto"/>
              </w:rPr>
            </w:pPr>
          </w:p>
        </w:tc>
        <w:tc>
          <w:tcPr>
            <w:tcW w:w="22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Trade Date</w:t>
            </w:r>
          </w:p>
        </w:tc>
        <w:tc>
          <w:tcPr>
            <w:tcW w:w="29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Effective Date</w:t>
            </w:r>
          </w:p>
        </w:tc>
        <w:tc>
          <w:tcPr>
            <w:tcW w:w="13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6"/>
              </w:rPr>
              <w:t>(in Years)</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Notional Amount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2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May 3, 2019</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60,000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2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May 4, 2021</w:t>
            </w:r>
          </w:p>
        </w:tc>
        <w:tc>
          <w:tcPr>
            <w:tcW w:w="13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120,000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2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May 3, 2019</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60,000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2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May 4, 2021</w:t>
            </w:r>
          </w:p>
        </w:tc>
        <w:tc>
          <w:tcPr>
            <w:tcW w:w="13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80,000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16, 2019</w:t>
            </w:r>
          </w:p>
        </w:tc>
        <w:tc>
          <w:tcPr>
            <w:tcW w:w="2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May 3, 2019</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115,000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January 16, 2019</w:t>
            </w:r>
          </w:p>
        </w:tc>
        <w:tc>
          <w:tcPr>
            <w:tcW w:w="2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May 3, 2019</w:t>
            </w:r>
          </w:p>
        </w:tc>
        <w:tc>
          <w:tcPr>
            <w:tcW w:w="13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115,000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r>
    </w:tbl>
    <w:p>
      <w:pPr>
        <w:spacing w:after="0" w:line="2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8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of the Company’s derivative instruments as of May 3, 2019 and August 3, 2018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58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Balance Sheet Location</w:t>
            </w:r>
          </w:p>
        </w:tc>
        <w:tc>
          <w:tcPr>
            <w:tcW w:w="136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May 3, 2019</w:t>
            </w: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August 3, 2018</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58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5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58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1,684</w:t>
            </w:r>
          </w:p>
        </w:tc>
        <w:tc>
          <w:tcPr>
            <w:tcW w:w="5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1,684</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assets in the Condensed Consolidated Balance Sheets at May 3, 2019 and August 3,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Net Asset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Gross Asset Amounts</w:t>
            </w:r>
          </w:p>
        </w:tc>
        <w:tc>
          <w:tcPr>
            <w:tcW w:w="200" w:type="dxa"/>
            <w:vAlign w:val="bottom"/>
          </w:tcPr>
          <w:p>
            <w:pPr>
              <w:spacing w:after="0"/>
              <w:rPr>
                <w:sz w:val="20"/>
                <w:szCs w:val="20"/>
                <w:color w:val="auto"/>
              </w:rPr>
            </w:pPr>
          </w:p>
        </w:tc>
        <w:tc>
          <w:tcPr>
            <w:tcW w:w="26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Liability Amount Offset</w:t>
            </w: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the Balance Sheets</w:t>
            </w: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top w:val="single" w:sz="8" w:color="auto"/>
            </w:tcBorders>
          </w:tcPr>
          <w:p>
            <w:pPr>
              <w:jc w:val="center"/>
              <w:ind w:left="191"/>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August 3,</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3,</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3,</w:t>
            </w:r>
          </w:p>
        </w:tc>
        <w:tc>
          <w:tcPr>
            <w:tcW w:w="100" w:type="dxa"/>
            <w:vAlign w:val="bottom"/>
          </w:tcPr>
          <w:p>
            <w:pPr>
              <w:spacing w:after="0"/>
              <w:rPr>
                <w:sz w:val="17"/>
                <w:szCs w:val="17"/>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liabilities in the Condensed Consolidated Balance Sheets at May 3, 2019 and August 3,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Net Liability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Gross Liability Amounts</w:t>
            </w:r>
          </w:p>
        </w:tc>
        <w:tc>
          <w:tcPr>
            <w:tcW w:w="212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Asset Amount Offset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 the Balance Sheets</w:t>
            </w: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4"/>
              <w:spacing w:after="0" w:line="198" w:lineRule="exact"/>
              <w:rPr>
                <w:sz w:val="20"/>
                <w:szCs w:val="20"/>
                <w:color w:val="auto"/>
              </w:rPr>
            </w:pPr>
            <w:r>
              <w:rPr>
                <w:rFonts w:ascii="Times New Roman" w:cs="Times New Roman" w:eastAsia="Times New Roman" w:hAnsi="Times New Roman"/>
                <w:sz w:val="18"/>
                <w:szCs w:val="18"/>
                <w:color w:val="auto"/>
                <w:w w:val="99"/>
              </w:rPr>
              <w:t>August 3,</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left="92"/>
              <w:spacing w:after="0" w:line="198" w:lineRule="exact"/>
              <w:rPr>
                <w:sz w:val="20"/>
                <w:szCs w:val="20"/>
                <w:color w:val="auto"/>
              </w:rPr>
            </w:pPr>
            <w:r>
              <w:rPr>
                <w:rFonts w:ascii="Times New Roman" w:cs="Times New Roman" w:eastAsia="Times New Roman" w:hAnsi="Times New Roman"/>
                <w:sz w:val="18"/>
                <w:szCs w:val="18"/>
                <w:color w:val="auto"/>
                <w:w w:val="99"/>
              </w:rPr>
              <w:t>August 3,</w:t>
            </w:r>
          </w:p>
        </w:tc>
        <w:tc>
          <w:tcPr>
            <w:tcW w:w="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3,</w:t>
            </w:r>
          </w:p>
        </w:tc>
        <w:tc>
          <w:tcPr>
            <w:tcW w:w="100" w:type="dxa"/>
            <w:vAlign w:val="bottom"/>
          </w:tcPr>
          <w:p>
            <w:pPr>
              <w:spacing w:after="0"/>
              <w:rPr>
                <w:sz w:val="17"/>
                <w:szCs w:val="17"/>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200" w:type="dxa"/>
            <w:vAlign w:val="bottom"/>
          </w:tcPr>
          <w:p>
            <w:pPr>
              <w:spacing w:after="0"/>
              <w:rPr>
                <w:sz w:val="20"/>
                <w:szCs w:val="20"/>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10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estimated fair value of the Company’s interest rate swap assets and liabilities incorporate the Company’s non-performance risk (see Note 2). The adjustment related to the Company’s non-performance risk at May 3, 2019 and August 3, 2018 resulted in reductions of $62 and $213, respectively, in the fair value of the interest rate swap assets and liabilities. The offset to the interest rate swap assets and liabilities are recorded in accumulated other comprehensive income (loss) (“AOCIL”), net of the deferred tax asset, and will be reclassified into earnings over the term of the underlying debt. As of May 3, 2019, the estimated pre-tax portion of AOCIL that is expected to be reclassified into earnings over the next twelve months is $530. Cash flows related to the interest rate swaps are included in interest expense in the Condensed Consolidated Statements of Income and in operating activities in the Condensed Consolidated Statements of Cash Flows.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AOCIL for the nine months ended May 3, 2019 and the year ended August 3,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Amount of (Loss) Income Recognized in</w:t>
            </w:r>
          </w:p>
        </w:tc>
      </w:tr>
      <w:tr>
        <w:trPr>
          <w:trHeight w:val="241"/>
        </w:trPr>
        <w:tc>
          <w:tcPr>
            <w:tcW w:w="47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2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AOCIL on Derivatives (Effective Portion)</w:t>
            </w:r>
          </w:p>
        </w:tc>
      </w:tr>
      <w:tr>
        <w:trPr>
          <w:trHeight w:val="198"/>
        </w:trPr>
        <w:tc>
          <w:tcPr>
            <w:tcW w:w="47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720" w:type="dxa"/>
            <w:vAlign w:val="bottom"/>
            <w:tcBorders>
              <w:top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Year Ended</w:t>
            </w:r>
          </w:p>
        </w:tc>
        <w:tc>
          <w:tcPr>
            <w:tcW w:w="100" w:type="dxa"/>
            <w:vAlign w:val="bottom"/>
          </w:tcPr>
          <w:p>
            <w:pPr>
              <w:spacing w:after="0"/>
              <w:rPr>
                <w:sz w:val="17"/>
                <w:szCs w:val="17"/>
                <w:color w:val="auto"/>
              </w:rPr>
            </w:pPr>
          </w:p>
        </w:tc>
      </w:tr>
      <w:tr>
        <w:trPr>
          <w:trHeight w:val="241"/>
        </w:trPr>
        <w:tc>
          <w:tcPr>
            <w:tcW w:w="47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May 3, 2019</w:t>
            </w:r>
          </w:p>
        </w:tc>
        <w:tc>
          <w:tcPr>
            <w:tcW w:w="10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August 3, 2018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3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13,103</w:t>
            </w: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income for the quarters and nine-month periods ended May 3, 2019 and April 27,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7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Location of Loss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(Gain)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Reclassified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from AOCIL into</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7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Income (Effective</w:t>
            </w:r>
          </w:p>
        </w:tc>
        <w:tc>
          <w:tcPr>
            <w:tcW w:w="5120" w:type="dxa"/>
            <w:vAlign w:val="bottom"/>
            <w:gridSpan w:val="13"/>
          </w:tcPr>
          <w:p>
            <w:pPr>
              <w:jc w:val="center"/>
              <w:ind w:right="320"/>
              <w:spacing w:after="0"/>
              <w:rPr>
                <w:sz w:val="20"/>
                <w:szCs w:val="20"/>
                <w:color w:val="auto"/>
              </w:rPr>
            </w:pPr>
            <w:r>
              <w:rPr>
                <w:rFonts w:ascii="Times New Roman" w:cs="Times New Roman" w:eastAsia="Times New Roman" w:hAnsi="Times New Roman"/>
                <w:sz w:val="18"/>
                <w:szCs w:val="18"/>
                <w:color w:val="auto"/>
              </w:rPr>
              <w:t>Amount of Loss (Gain) Reclassified from AOCIL into Income</w:t>
            </w:r>
          </w:p>
        </w:tc>
      </w:tr>
      <w:tr>
        <w:trPr>
          <w:trHeight w:val="241"/>
        </w:trPr>
        <w:tc>
          <w:tcPr>
            <w:tcW w:w="4580" w:type="dxa"/>
            <w:vAlign w:val="bottom"/>
          </w:tcPr>
          <w:p>
            <w:pPr>
              <w:spacing w:after="0"/>
              <w:rPr>
                <w:sz w:val="20"/>
                <w:szCs w:val="20"/>
                <w:color w:val="auto"/>
              </w:rPr>
            </w:pPr>
          </w:p>
        </w:tc>
        <w:tc>
          <w:tcPr>
            <w:tcW w:w="1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Portion)</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(Effective Portion)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520" w:type="dxa"/>
            <w:vAlign w:val="bottom"/>
            <w:tcBorders>
              <w:top w:val="single" w:sz="8" w:color="auto"/>
            </w:tcBorders>
            <w:gridSpan w:val="6"/>
          </w:tcPr>
          <w:p>
            <w:pPr>
              <w:ind w:left="52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9"/>
                <w:szCs w:val="19"/>
                <w:color w:val="auto"/>
              </w:rPr>
            </w:pPr>
          </w:p>
        </w:tc>
      </w:tr>
      <w:tr>
        <w:trPr>
          <w:trHeight w:val="198"/>
        </w:trPr>
        <w:tc>
          <w:tcPr>
            <w:tcW w:w="4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8"/>
              </w:rPr>
              <w:t>April 27,</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8"/>
              </w:rPr>
              <w:t>April 27,</w:t>
            </w:r>
          </w:p>
        </w:tc>
        <w:tc>
          <w:tcPr>
            <w:tcW w:w="100" w:type="dxa"/>
            <w:vAlign w:val="bottom"/>
          </w:tcPr>
          <w:p>
            <w:pPr>
              <w:spacing w:after="0"/>
              <w:rPr>
                <w:sz w:val="17"/>
                <w:szCs w:val="17"/>
                <w:color w:val="auto"/>
              </w:rPr>
            </w:pPr>
          </w:p>
        </w:tc>
      </w:tr>
      <w:tr>
        <w:trPr>
          <w:trHeight w:val="241"/>
        </w:trPr>
        <w:tc>
          <w:tcPr>
            <w:tcW w:w="4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2,852</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portion of the fair value of the swaps determined to be ineffective will be recognized currently in earnings. No ineffectiveness has been recorded in the nine-month periods ended May 3, 2019 and April 27, 2018.</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AOCIL, net of tax, related to the Company’s interest rate swaps for the nine months ended May 3, 2019 (see Notes 2 and 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9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AOCIL</w:t>
            </w: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AOCIL balance at August 3, 2018</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5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(4,934)</w:t>
            </w: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20" w:type="dxa"/>
            <w:vAlign w:val="bottom"/>
          </w:tcPr>
          <w:p>
            <w:pPr>
              <w:spacing w:after="0"/>
              <w:rPr>
                <w:sz w:val="2"/>
                <w:szCs w:val="2"/>
                <w:color w:val="auto"/>
              </w:rPr>
            </w:pPr>
          </w:p>
        </w:tc>
        <w:tc>
          <w:tcPr>
            <w:tcW w:w="99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9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5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(4,966)</w:t>
            </w:r>
          </w:p>
        </w:tc>
      </w:tr>
      <w:tr>
        <w:trPr>
          <w:trHeight w:val="257"/>
        </w:trPr>
        <w:tc>
          <w:tcPr>
            <w:tcW w:w="20" w:type="dxa"/>
            <w:vAlign w:val="bottom"/>
          </w:tcPr>
          <w:p>
            <w:pPr>
              <w:spacing w:after="0"/>
              <w:rPr>
                <w:sz w:val="22"/>
                <w:szCs w:val="22"/>
                <w:color w:val="auto"/>
              </w:rPr>
            </w:pPr>
          </w:p>
        </w:tc>
        <w:tc>
          <w:tcPr>
            <w:tcW w:w="9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AOCIL balance at May 3, 2019</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reclassified out of AOCIL related to the Company’s interest rate swaps for the quarter and nine months ended May 3,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Amount Reclassified from AOCIL</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Affected Line Item in the</w:t>
            </w:r>
          </w:p>
        </w:tc>
      </w:tr>
      <w:tr>
        <w:trPr>
          <w:trHeight w:val="198"/>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Condensed Consolidated</w:t>
            </w: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Quarter Ended</w:t>
            </w: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Nine Months Ended</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Statements</w:t>
            </w: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 (loss) on cash flow hedges: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57"/>
        </w:trPr>
        <w:tc>
          <w:tcPr>
            <w:tcW w:w="20" w:type="dxa"/>
            <w:vAlign w:val="bottom"/>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the net income of the Company has been lower in the first and third quarters and higher in the second and fourth quarters. Management attributes these variations to the holiday shopping season and the summer vacation and travel season. The Company's retail sales, which are made substantially to the Company’s restaurant customers, historically have been highest in the Company's second quarter, which includes the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21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w:t>
      </w:r>
    </w:p>
    <w:p>
      <w:pPr>
        <w:spacing w:after="0" w:line="19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consists primarily of sales from restaurant and retail operations. The Company recognizes revenue when it satisfies a performance obligation by transferring control over a product or service to a restaurant guest, retail customer or other customer. The Company’s policy is to present sales in the Condensed Consolidated Statements of Income on a net presentation basis after deducting sales tax.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 was comprised of the following for the specified periods: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4"/>
                <w:szCs w:val="24"/>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100" w:type="dxa"/>
            <w:vAlign w:val="bottom"/>
          </w:tcPr>
          <w:p>
            <w:pPr>
              <w:spacing w:after="0"/>
              <w:rPr>
                <w:sz w:val="17"/>
                <w:szCs w:val="17"/>
                <w:color w:val="auto"/>
              </w:rPr>
            </w:pPr>
          </w:p>
        </w:tc>
      </w:tr>
      <w:tr>
        <w:trPr>
          <w:trHeight w:val="241"/>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610,120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592,677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1,832,273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1,774,112</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128,736</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452,580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445,440</w:t>
            </w:r>
          </w:p>
        </w:tc>
      </w:tr>
      <w:tr>
        <w:trPr>
          <w:trHeight w:val="257"/>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739,603</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721,413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Restaurant Revenue</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revenues from restaurant sales when payment is tendered at the point of sale, as the Company’s performance obligation to provide food and beverages is satisfied.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Revenue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revenues from retail sales when payment is tendered at the point of sale, as the Company’s performance obligation to provide merchandise is satisfied. Ecommerce sales, including shipping revenue, are recorded upon delivery to the customer. Additionally, estimated sales returns are calculated based on return history and sales levels.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Gift Card Breakage</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Included in restaurant and retail revenue is gift card breakage. Customer purchases of gift cards, to be utilized at the Company's stores, are not recognized as sales until the card is redeemed and the customer purchases food and/or merchandise. Gift cards do not carry an expiration date; therefore, customers can redeem their gift cards indefinitely. A certain number of gift cards will not be fully redeemed. Management estimates unredeemed balances and recognizes gift card breakage revenue for these amounts in the Company's Condensed Consolidated Statements of Income over the expected redemption period. Gift card breakage is recognized when the likelihood of a gift card being redeemed by the customer is remote and the Company determines that there is not a legal obligation to remit the unredeemed gift card balance to the relevant jurisdiction.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determination of the gift card breakage rate is based upon the Company’s specific historical redemption patterns. The Company recognizes gift card breakage by applying its estimate of the rate of gift card breakage over the period of estimated redemption. For the quarter and nine months ended May 3, 2019, respectively, gift card breakage was $1,699 and $5,355. For the quarter and nine months ended April 27, 2018, respectively, gift card breakage was $1,894 and $5,647.</w:t>
      </w:r>
    </w:p>
    <w:p>
      <w:pPr>
        <w:spacing w:after="0" w:line="207" w:lineRule="exact"/>
        <w:rPr>
          <w:sz w:val="20"/>
          <w:szCs w:val="20"/>
          <w:color w:val="auto"/>
        </w:rPr>
      </w:pPr>
    </w:p>
    <w:p>
      <w:pPr>
        <w:jc w:val="both"/>
        <w:ind w:left="80" w:firstLine="567"/>
        <w:spacing w:after="0" w:line="266" w:lineRule="auto"/>
        <w:rPr>
          <w:sz w:val="20"/>
          <w:szCs w:val="20"/>
          <w:color w:val="auto"/>
        </w:rPr>
      </w:pPr>
      <w:r>
        <w:rPr>
          <w:rFonts w:ascii="Times New Roman" w:cs="Times New Roman" w:eastAsia="Times New Roman" w:hAnsi="Times New Roman"/>
          <w:sz w:val="18"/>
          <w:szCs w:val="18"/>
          <w:color w:val="auto"/>
        </w:rPr>
        <w:t>Deferred revenue related to the Company’s gift cards was $86,261 and $76,199, respectively, at May 3, 2019 and August 3, 2018. Revenue recognized in the Condensed Consolidated Statements of Income for the nine months ended May 3, 2019 and April 27, 2018, respectively, for the redemption of gift cards which were included in the deferred revenue balance at the beginning of the fiscal year was $36,815 and $35,102.</w:t>
      </w:r>
    </w:p>
    <w:p>
      <w:pPr>
        <w:spacing w:after="0" w:line="19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is recorded in general and administrative expenses in the accompanying Condensed Consolidated Statements of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was comprised of the following for the specified periods: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market stock units (“MSU Grants”)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22, 2017, the U.S. government enacted the Tax Act. The Tax Act made broad and complex changes to the U.S. tax code, including, but not limited to, reducing the U.S. federal corporate tax rate from 35% to 21% effective January 1, 2018. The Company used a rate of 21% in fiscal 2019 to record federal corporate income taxes, and, in accordance with Section 15 of the Internal Revenue Code, a blended rate of 26.9% for fiscal 2018, by applying a prorated percentage of the number of days prior to and subsequent to the January 1, 2018 effective date of the Tax Act.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SEC’s Staff Accounting Bulletin No. 118 (“SAB 118”) provides guidance on accounting for tax effects of the Tax Act. SAB 118 provides a measurement period that should not extend beyond one year from the Tax Act enactment date for companies to complete the accounting guidance under FASB Accounting Standards Codification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the company must record a provisional estimate to be included in the financial statements. If a company cannot determine a provisional estimate to be included in the financial statements, it should continue to apply ASC 740 on the basis of the provision of the tax laws that were in effect immediately before the enactment of the Tax Act. Consequently, the Company recorded a provisional tax benefit for the re-measurement of deferred tax liabilities of $27,032 and $2,500 for long-term and short-term deferred tax liabilities, respectively, in the second quarter of 2018. The Company finalized its calculation of the re-measurement of deferred tax liabilities in the second quarter of 2019; the completion of the Company’s analysis resulted in no impact to Company’s consolidated financial statements.</w:t>
      </w:r>
    </w:p>
    <w:p>
      <w:pPr>
        <w:spacing w:after="0" w:line="20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nonvested stock awards and units and MSU Grants issued by the Company are calculated using the treasury stock method. The outstanding nonvested stock awards and units, MSU Grants and stock options issued by the Company represent the only dilutive effects on diluted consolidated net income per share.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0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reconciles the components of diluted earnings per share computations: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4"/>
                <w:szCs w:val="24"/>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numerator</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denominator:</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24,041,673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24,003,611</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24,034,878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24,013,435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potential dilution: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nonvested stock awards and MSU Grants</w:t>
            </w: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62,172</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55,748</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24,104,432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24,065,783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24,090,626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24,075,834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contingencies will not materially affect the Company’s financial statements.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Related to its workers’ compensation insurance coverage, the Company is contingently liable pursuant to standby letters of credit as credit guarantees to certain insurers. As of May 3, 2019, the Company had $8,955 of standby letters of credit related to securing reserved claims under workers’ compensation insurance. All standby letters of credit are renewable annually and reduce the Company’s borrowing availability under its 2019 Revolving Credit Facility (see Note 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May 3, 2019, the Company is secondarily liable for lease payments associated with two properties occupied by a third party. The Company is not aware of any non-performance under these lease arrangements that would result in the Company having to perform in accordance with the terms of these guarantees; and therefore, no provision has been recorded in the Condensed Consolidated Balance Sheets for amounts to be paid in case of non-performance by the primary obligor under such lease arrangements.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that no such liability has been recorded in the Condensed Consolidated Balance Sheet as of May 3, 2019.</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Cracker Barrel Old Country Store, Inc. and its subsidiaries (collectively, the “Company,” “our” or “we”) are principally engaged in the operation and development in the United States of the Cracker Barrel Old Country Store® (“Cracker Barrel”) concept. At May 3, 2019, we operated 659 Cracker Barrel stores in 45 states and seven Holler &amp; Dash Biscuit House</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locations in five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audited consolidated financial statements and the notes thereto included in the Company’s Annual Report on Form 10-K for the fiscal year ended August 3, 2018 (the “2018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2018 Form 10-K, as well as the factors described under “Critical Accounting Estimates” on pages 26-27 of this report or, from time to time, in our filings with the Securities and Exchange Commission (“SEC”), press releases and other communications.</w:t>
      </w:r>
    </w:p>
    <w:p>
      <w:pPr>
        <w:spacing w:after="0" w:line="21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Cracker Barrel brand remains one of the strongest and most differentiated brands in the restaurant industry, and we plan to continue to leverage that strength throughout 2019 to grow sales and profits. Our priorities for 2019 consist of the following:</w:t>
      </w:r>
    </w:p>
    <w:p>
      <w:pPr>
        <w:spacing w:after="0" w:line="189"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core business through a heightened focus on the guest experience, food and value, and the continued expansion of our off-premise business;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footprint in new and developing markets while replenishing our store opening pipeline. We anticipate opening eight Cracker Barrel stores during 2019, of which seven opened in the first nine months of 2019;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brand by optimizing long-term drivers, such as Holler &amp; Dash Biscuit House</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to further drive shareholder value.</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continued to be focused on the delivery of our 2019 priorities.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our operating results by percentage relationships to total revenue for the quarter and nine-month period ended May 3, 2019 as compared to the same periods in the prior year:</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72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color w:val="auto"/>
              </w:rPr>
              <w:t>Quarter Ended</w:t>
            </w:r>
          </w:p>
        </w:tc>
        <w:tc>
          <w:tcPr>
            <w:tcW w:w="274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120" w:type="dxa"/>
            <w:vAlign w:val="bottom"/>
            <w:tcBorders>
              <w:top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16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(exclusive of  depreciation and rent)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stores in operation at the beginning and end of the quarters and nine-month periods ended May 3, 2019 and April 27, 2018:</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5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Quarter Ended</w:t>
            </w:r>
          </w:p>
        </w:tc>
        <w:tc>
          <w:tcPr>
            <w:tcW w:w="25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00" w:type="dxa"/>
            <w:vAlign w:val="bottom"/>
            <w:tcBorders>
              <w:top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0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52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100" w:type="dxa"/>
            <w:vAlign w:val="bottom"/>
            <w:tcBorders>
              <w:top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at beginning of the period</w:t>
            </w: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664</w:t>
            </w:r>
          </w:p>
        </w:tc>
        <w:tc>
          <w:tcPr>
            <w:tcW w:w="1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Opened during the period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 during the period</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Open at end of the period</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666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for the third quarter and first nine months of 2019 increased 2.5% and 2.9%, respectively, compared to the same periods in the prior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61"/>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key components of revenue for the quarter and nine-month period ended May 3, 2019 as compared to the quarter and nine-month period ended April 27,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56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64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in dollars: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610,120</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592,677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1,832,273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1,774,112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129,483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128,736</w:t>
            </w: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452,580</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445,440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739,603</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721,413</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2,284,853</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2,219,552</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by percentage relationships: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Average unit volumes</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1,098.8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sales increase (decrease):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Restaurant and retail</w:t>
            </w: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Average unit volumes include sales of all stores.</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third quarter of 2019, our comparable store restaurant sales increase resulted from a 3.1% average check increase (including a 1.8% average menu price increase) partially offset by a 1.8% guest traffic decrease as compared to the prior year third quarter. For the third quarter of 2019, our comparable store retail sales decrease resulted primarily from lower performance in the décor, kitchen and dining, bed and bath, and accessories merchandise categories as compared to the prior year third quarter.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first nine months of 2019, our comparable store restaurant sales increase resulted from a 3.2% average check increase (including a 2.0% average menu price increase) partially offset by a 1.0% guest traffic decline as compared to the prior year period. For the first nine months of 2019, our comparable store retail sales were flat to the same period in the prior year primarily due to strong performance in the apparel and media merchandise categories being offset by lower performance in décor and food merchandise categories as compared to the prior year period.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Restaurant and retail sales from newly opened stores accounted for the remainder of the total revenue increase in the third quarter and first nine months of 2019 as compared to the same periods in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components of cost of goods sold (exclusive of depreciation and rent) in dollar amounts and as percentages of revenues for the third quarter and first nine months of 2019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5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160" w:type="dxa"/>
            <w:vAlign w:val="bottom"/>
          </w:tcPr>
          <w:p>
            <w:pPr>
              <w:spacing w:after="0"/>
              <w:rPr>
                <w:sz w:val="17"/>
                <w:szCs w:val="17"/>
                <w:color w:val="auto"/>
              </w:rPr>
            </w:pPr>
          </w:p>
        </w:tc>
      </w:tr>
      <w:tr>
        <w:trPr>
          <w:trHeight w:val="241"/>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 dollars: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2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468,996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453,016</w:t>
            </w:r>
          </w:p>
        </w:tc>
      </w:tr>
      <w:tr>
        <w:trPr>
          <w:trHeight w:val="22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65,766</w:t>
            </w:r>
          </w:p>
        </w:tc>
        <w:tc>
          <w:tcPr>
            <w:tcW w:w="200" w:type="dxa"/>
            <w:vAlign w:val="bottom"/>
          </w:tcPr>
          <w:p>
            <w:pPr>
              <w:spacing w:after="0"/>
              <w:rPr>
                <w:sz w:val="19"/>
                <w:szCs w:val="19"/>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235,549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236,404</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217,073</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217,719</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704,545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689,420</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by percentage of revenue:</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14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44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restaurant cost of goods sold as a percentage of restaurant revenue in the third quarter of 2019 as compared to the third quarter of 2018 was primarily the result of our menu price increase referenced above.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increase in restaurant cost of goods sold as a percentage of restaurant revenue in the first nine months of 2019 as compared to the same period in the prior year was primarily the result of commodity inflation and a shift to higher cost menu items partially offset by our menu price increase referenced above and lower food waste. Commodity inflation was 2.0% in the first nine months of 2019. Higher cost menu items accounted for an increase of 0.1% as a percentage of restaurant revenue for the first nine months of 2019 as compared to the same period in the prior year. Lower food waste accounted for a decrease of 0.1% in restaurant cost of goods sold as a percentage of restaurant revenue for the first nine months of 2019 as compared to the same period in the prior year.</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presently expect the rate of commodity inflation to be approximately 2.0% in 2019 as compared to 2018.</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retail cost of goods sold as a percentage of retail revenue in the third quarter of 2019 as compared to the prior year third quarter resulted from lower inventory shrinkage, lower markdowns and the change in the provision for obsolete inventory.</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Third Quarter</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700" w:type="dxa"/>
            <w:vAlign w:val="bottom"/>
            <w:gridSpan w:val="3"/>
          </w:tcPr>
          <w:p>
            <w:pPr>
              <w:jc w:val="center"/>
              <w:ind w:left="2350"/>
              <w:spacing w:after="0"/>
              <w:rPr>
                <w:sz w:val="20"/>
                <w:szCs w:val="20"/>
                <w:color w:val="auto"/>
              </w:rPr>
            </w:pPr>
            <w:r>
              <w:rPr>
                <w:rFonts w:ascii="Times New Roman" w:cs="Times New Roman" w:eastAsia="Times New Roman" w:hAnsi="Times New Roman"/>
                <w:sz w:val="18"/>
                <w:szCs w:val="18"/>
                <w:color w:val="auto"/>
              </w:rPr>
              <w:t>Decrease as a Percentage</w:t>
            </w: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Retail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shrinkage</w:t>
            </w:r>
          </w:p>
        </w:tc>
        <w:tc>
          <w:tcPr>
            <w:tcW w:w="26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Markdowns</w:t>
            </w:r>
          </w:p>
        </w:tc>
        <w:tc>
          <w:tcPr>
            <w:tcW w:w="4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4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retail cost of goods sold as a percentage of retail revenue in the first nine months of 2019 as compared to the same period in the prior year resulted from lower markdowns, the change in the provision for obsolete inventory and lower inventory shrinkage partially offset by lower initial margin.</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First 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(Decrease) Increase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Markdowns</w:t>
            </w:r>
          </w:p>
        </w:tc>
        <w:tc>
          <w:tcPr>
            <w:tcW w:w="25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4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shrinkage</w:t>
            </w:r>
          </w:p>
        </w:tc>
        <w:tc>
          <w:tcPr>
            <w:tcW w:w="4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Lower initial margin</w:t>
            </w:r>
          </w:p>
        </w:tc>
        <w:tc>
          <w:tcPr>
            <w:tcW w:w="4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Related Expenses</w:t>
      </w:r>
    </w:p>
    <w:p>
      <w:pPr>
        <w:spacing w:after="0" w:line="256" w:lineRule="exact"/>
        <w:rPr>
          <w:sz w:val="20"/>
          <w:szCs w:val="20"/>
          <w:color w:val="auto"/>
        </w:rPr>
      </w:pPr>
    </w:p>
    <w:p>
      <w:pPr>
        <w:ind w:firstLine="664"/>
        <w:spacing w:after="0" w:line="282" w:lineRule="auto"/>
        <w:rPr>
          <w:sz w:val="20"/>
          <w:szCs w:val="20"/>
          <w:color w:val="auto"/>
        </w:rPr>
      </w:pPr>
      <w:r>
        <w:rPr>
          <w:rFonts w:ascii="Times New Roman" w:cs="Times New Roman" w:eastAsia="Times New Roman" w:hAnsi="Times New Roman"/>
          <w:sz w:val="18"/>
          <w:szCs w:val="18"/>
          <w:color w:val="auto"/>
        </w:rPr>
        <w:t>Labor and related expenses include all direct and indirect labor and related costs incurred in store operations. The following table highlights labor and related expenses as a percentage of total revenue for the third quarter and first nine months of 2019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58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color w:val="auto"/>
              </w:rPr>
              <w:t>Quarter Ended</w:t>
            </w:r>
          </w:p>
        </w:tc>
        <w:tc>
          <w:tcPr>
            <w:tcW w:w="260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Nine Months Ended</w:t>
            </w:r>
          </w:p>
        </w:tc>
        <w:tc>
          <w:tcPr>
            <w:tcW w:w="1080" w:type="dxa"/>
            <w:vAlign w:val="bottom"/>
          </w:tcPr>
          <w:p>
            <w:pPr>
              <w:spacing w:after="0"/>
              <w:rPr>
                <w:sz w:val="20"/>
                <w:szCs w:val="20"/>
                <w:color w:val="auto"/>
              </w:rPr>
            </w:pPr>
          </w:p>
        </w:tc>
      </w:tr>
      <w:tr>
        <w:trPr>
          <w:trHeight w:val="198"/>
        </w:trPr>
        <w:tc>
          <w:tcPr>
            <w:tcW w:w="6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6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10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April 27,</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1"/>
        </w:trPr>
        <w:tc>
          <w:tcPr>
            <w:tcW w:w="6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7"/>
        </w:trPr>
        <w:tc>
          <w:tcPr>
            <w:tcW w:w="660" w:type="dxa"/>
            <w:vAlign w:val="bottom"/>
          </w:tcPr>
          <w:p>
            <w:pPr>
              <w:spacing w:after="0"/>
              <w:rPr>
                <w:sz w:val="22"/>
                <w:szCs w:val="22"/>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1080" w:type="dxa"/>
            <w:vAlign w:val="bottom"/>
          </w:tcPr>
          <w:p>
            <w:pPr>
              <w:spacing w:after="0"/>
              <w:rPr>
                <w:sz w:val="22"/>
                <w:szCs w:val="22"/>
                <w:color w:val="auto"/>
              </w:rPr>
            </w:pPr>
          </w:p>
        </w:tc>
      </w:tr>
      <w:tr>
        <w:trPr>
          <w:trHeight w:val="591"/>
        </w:trPr>
        <w:tc>
          <w:tcPr>
            <w:tcW w:w="660" w:type="dxa"/>
            <w:vAlign w:val="bottom"/>
          </w:tcPr>
          <w:p>
            <w:pPr>
              <w:spacing w:after="0"/>
              <w:rPr>
                <w:sz w:val="24"/>
                <w:szCs w:val="24"/>
                <w:color w:val="auto"/>
              </w:rPr>
            </w:pPr>
          </w:p>
        </w:tc>
        <w:tc>
          <w:tcPr>
            <w:tcW w:w="450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44"/>
        </w:trPr>
        <w:tc>
          <w:tcPr>
            <w:tcW w:w="66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percentage change from the third quarter of 2018 to the third quarter of 2019 resulted primarily from the following:</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Third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hourly labor</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wages</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management compensation</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Store bonus expense</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health care expenses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percentage change from the first nine months of 2018 to the first nine months of 2019 resulted from the following:</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First 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hourly labor</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Store bonus expense</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wages</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Store management compensation</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health care expenses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increases in store hourly labor costs as a percentage of total revenue for the third quarter and first nine months of 2019 as compared to the same periods in the prior year resulted primarily from wage inflation exceeding menu price increases.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increases in miscellaneous wages as a percentage of total revenue for the third quarter and first nine months of 2019 as compared to the same periods in the prior year resulted primarily from costs associated with our off-premise business and higher training costs. Additionally, costs associated with a store closure contributed to the increase in miscellaneous wages as a percentage of total revenue for the first nine months of 2019 as compared to the same period in the prior year.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increases in store bonus expense as a percentage of total revenue for the third quarter and first nine months of 2019 as compared to the same periods in the prior year resulted from better performance against financial objectives in the third quarter and first nine months of 2019 and as compared to the same periods in the prior year.</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increases in store management compensation as a percentage of total revenue for the third quarter and first nine months of 2019 as compared to the same periods in the prior year resulted primarily from higher staffing levels.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Lower employee health care expenses as a percentage of total revenue for the third quarter and first nine months of 2019 as compared to the same periods in the prior year resulted primarily from lower claims activity.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Store Operating Expenses</w:t>
      </w:r>
    </w:p>
    <w:p>
      <w:pPr>
        <w:spacing w:after="0" w:line="256" w:lineRule="exact"/>
        <w:rPr>
          <w:sz w:val="20"/>
          <w:szCs w:val="20"/>
          <w:color w:val="auto"/>
        </w:rPr>
      </w:pPr>
    </w:p>
    <w:p>
      <w:pPr>
        <w:jc w:val="both"/>
        <w:ind w:firstLine="664"/>
        <w:spacing w:after="0" w:line="261" w:lineRule="auto"/>
        <w:rPr>
          <w:sz w:val="20"/>
          <w:szCs w:val="20"/>
          <w:color w:val="auto"/>
        </w:rPr>
      </w:pPr>
      <w:r>
        <w:rPr>
          <w:rFonts w:ascii="Times New Roman" w:cs="Times New Roman" w:eastAsia="Times New Roman" w:hAnsi="Times New Roman"/>
          <w:sz w:val="18"/>
          <w:szCs w:val="18"/>
          <w:color w:val="auto"/>
        </w:rPr>
        <w:t>Other store operating expenses include all store-level operating costs, the major components of which are utilities, operating supplies, repairs and maintenance, depreciation and amortization, advertising, rent, credit and gift card fees, real and personal property taxes, general insurance and costs associated with our bi-annual manager conference and training event. The following table highlights other store operating expenses as a percentage of total revenue for the third quarter and first nine months of 2019 as compared to the same periods in the prior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2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color w:val="auto"/>
              </w:rPr>
              <w:t>Quarter Ended</w:t>
            </w:r>
          </w:p>
        </w:tc>
        <w:tc>
          <w:tcPr>
            <w:tcW w:w="27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April 27,</w:t>
            </w: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11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9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r>
      <w:tr>
        <w:trPr>
          <w:trHeight w:val="591"/>
        </w:trPr>
        <w:tc>
          <w:tcPr>
            <w:tcW w:w="20" w:type="dxa"/>
            <w:vAlign w:val="bottom"/>
          </w:tcPr>
          <w:p>
            <w:pPr>
              <w:spacing w:after="0"/>
              <w:rPr>
                <w:sz w:val="24"/>
                <w:szCs w:val="24"/>
                <w:color w:val="auto"/>
              </w:rPr>
            </w:pPr>
          </w:p>
        </w:tc>
        <w:tc>
          <w:tcPr>
            <w:tcW w:w="392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percentage change from the third quarter of 2018 to the third quarter of 2019 resulted from the following:</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Third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Credit and gift card fees</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store expenses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increase in depreciation expense as a percentage of total revenue for the third quarter of 2019 as compared to the third quarter of 2018 resulted primarily from higher capital expenditures with accelerated depreciation methods.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credit and gift card fees as a percentage of total revenue for the third quarter of 2019 as compared to the third quarter of 2018 resulted primarily from costs associated with program expansion and card production.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other store expenses as a percentage of total revenue for the third quarter of 2019 as compared to the third quarter of 2018 resulted primarily from proceeds received from the sale of certain technology assets and proceeds from a hurricane-related insurance settlement.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percentage change from the first nine months of 2018 to the first nine months of 2019 resulted primarily from the following:</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First 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Supplies expense</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depreciation expense as a percentage of total revenue for the first nine months of 2019 as compared to the same period in the prior year resulted primarily from higher capital expenditures with accelerated depreciation methods.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loss on disposition of property and equipment as a percentage of total revenue for the first nine months of 2019 as compared to the same period in the prior year primarily resulted from costs associated with a store closure, higher disposal of assets related primarily to discontinued projects and a reduction in the carrying value for a previously closed store.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supplies expense for the first nine months of 2019 as compared to the same period in the prior year resulted primarily from costs associated with growth in our off-premise business.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advertising expense as a percentage of total revenue for the first nine months of 2019 as compared to the same period in the prior year resulted primarily from lower expenses for media spending.</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expense as a percentage of total revenue for the first nine months of 2019 as compared to the same period in the prior year is primarily due to non-recurring expenses incurred in the prior year related to strategic initiatives.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firstLine="664"/>
        <w:spacing w:after="0" w:line="282" w:lineRule="auto"/>
        <w:rPr>
          <w:sz w:val="20"/>
          <w:szCs w:val="20"/>
          <w:color w:val="auto"/>
        </w:rPr>
      </w:pPr>
      <w:r>
        <w:rPr>
          <w:rFonts w:ascii="Times New Roman" w:cs="Times New Roman" w:eastAsia="Times New Roman" w:hAnsi="Times New Roman"/>
          <w:sz w:val="18"/>
          <w:szCs w:val="18"/>
          <w:color w:val="auto"/>
        </w:rPr>
        <w:t>The following table highlights general and administrative expenses as a percentage of total revenue for the third quarter and first nine months of 2019 as compared to the same periods in the prior year:</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5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Quarter Ended</w:t>
            </w:r>
          </w:p>
        </w:tc>
        <w:tc>
          <w:tcPr>
            <w:tcW w:w="260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0" w:type="dxa"/>
            <w:vAlign w:val="bottom"/>
            <w:tcBorders>
              <w:top w:val="single" w:sz="8" w:color="auto"/>
            </w:tcBorders>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6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10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April 27,</w:t>
            </w:r>
          </w:p>
        </w:tc>
        <w:tc>
          <w:tcPr>
            <w:tcW w:w="180" w:type="dxa"/>
            <w:vAlign w:val="bottom"/>
          </w:tcPr>
          <w:p>
            <w:pPr>
              <w:spacing w:after="0"/>
              <w:rPr>
                <w:sz w:val="17"/>
                <w:szCs w:val="17"/>
                <w:color w:val="auto"/>
              </w:rPr>
            </w:pPr>
          </w:p>
        </w:tc>
      </w:tr>
      <w:tr>
        <w:trPr>
          <w:trHeight w:val="241"/>
        </w:trPr>
        <w:tc>
          <w:tcPr>
            <w:tcW w:w="4500" w:type="dxa"/>
            <w:vAlign w:val="bottom"/>
            <w:gridSpan w:val="2"/>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5.0%</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as a percentage of total revenue in the third quarter of 2019 as compared to the third quarter of 2018 resulted primarily from higher incentive compensation expense attributable to better performance against financial objectives in the third quarter of 2019 as compared to the third quarter of 2018. General and administrative expenses as a percentage of total revenue remained flat in the first nine months of 2019 as compared to the same period in the prior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jc w:val="both"/>
        <w:ind w:right="20" w:firstLine="664"/>
        <w:spacing w:after="0" w:line="282" w:lineRule="auto"/>
        <w:rPr>
          <w:sz w:val="20"/>
          <w:szCs w:val="20"/>
          <w:color w:val="auto"/>
        </w:rPr>
      </w:pPr>
      <w:r>
        <w:rPr>
          <w:rFonts w:ascii="Times New Roman" w:cs="Times New Roman" w:eastAsia="Times New Roman" w:hAnsi="Times New Roman"/>
          <w:sz w:val="18"/>
          <w:szCs w:val="18"/>
          <w:color w:val="auto"/>
        </w:rPr>
        <w:t>The following table highlights interest expense in dollar amounts for the third quarter and first nine months of 2019 as compared to the same periods in the prior year:</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8"/>
              </w:rPr>
              <w:t>April 27,</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8"/>
              </w:rPr>
              <w:t>April 27,</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Both period-over-period increases resulted primarily from higher weighted average interest rates. Additionally, as part of our debt refinancing in the first quarter of 2019, we incurred additional interest expense of $166 related to the write-off of deferred financing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6" w:lineRule="exact"/>
        <w:rPr>
          <w:sz w:val="20"/>
          <w:szCs w:val="20"/>
          <w:color w:val="auto"/>
        </w:rPr>
      </w:pPr>
    </w:p>
    <w:p>
      <w:pPr>
        <w:jc w:val="both"/>
        <w:ind w:right="20" w:firstLine="664"/>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provision for income taxes as a percentage of income before income taxes (“effective tax rate”) for the third quarter and first nine months of 2019 as compared to the same periods in the prior year:</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58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color w:val="auto"/>
              </w:rPr>
              <w:t>Quarter Ended</w:t>
            </w:r>
          </w:p>
        </w:tc>
        <w:tc>
          <w:tcPr>
            <w:tcW w:w="260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27,</w:t>
            </w:r>
          </w:p>
        </w:tc>
        <w:tc>
          <w:tcPr>
            <w:tcW w:w="26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10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April 27,</w:t>
            </w:r>
          </w:p>
        </w:tc>
        <w:tc>
          <w:tcPr>
            <w:tcW w:w="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was significantly impacted by P.L. 115-97, the Tax Cuts and Jobs Act (the “Tax Act”), enacted on December 22, 2017 by the U.S. government, which reduced the U.S. federal corporate tax rate from 35% to 21% effective January 1, 2018. In fiscal 2019 and prospectively, we record taxes based on the statutory rate of 21%. In accordance with Section 15 of the Internal Revenue Code, we used a blended rate of 26.9% for our fiscal 2018 tax year, by applying a prorated percentage of the number of days prior to and subsequent to the January 1, 2018 effective date of the Tax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operations and our borrowing capacity under our revolving credit facility. Our internally generated cash, along with cash on hand at August 3, 2018, was sufficient to finance all of our growth, dividend payments, working capital needs and other cash payment obligations in the first nine months of 2019.</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cash on hand at May 3, 2019,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Generated From 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net cash of $252,586 for the first nine months of 2019, representing an increase from the $220,975 net cash provided during the first nine months of 2018. This increase primarily reflected the change in tax payments in 2018 due to the Tax Act, lower bonus payments made in 2019 as a result of the prior year’s performance, the timing of payments for accounts payable and lower retail inventory.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5, 2018, we entered into a five-year $950,000 revolving credit facility (“2019 Revolving Credit Facility”) which replaced our $750,000 revolving credit facility of which $400,000 in borrowings was outstanding. The 2019 Revolving Credit Facility also contains an option to increase the revolving credit facility by $300,000. In the first quarter of 2019, we paid $3,022 in deferred financing costs related to the debt refinancing.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May 3, 2019, we had $400,000 of outstanding borrowings under the 2019 Revolving Credit Facility and we had $8,955 of standby letters of credit related to securing reserved claims under our workers’ compensation insurance which reduce our borrowing availability under the 2019 Revolving Credit Facility. At May 3, 2019, we had $541,045 in borrowing availability under our 2019 Revolving Credit Facility. See Note 4 to our Condensed Consolidated Financial Statements for further information on our long-term debt.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2019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Capital expenditures (purchase of property and equipment) net of proceeds from insurance recoveries were $103,259 for the first nine months of 2019 as compared to $101,685 for the same period in the prior year. Our capital expenditures consisted primarily of capital investments for existing stores, new store locations and capital expenditures for strategic initiatives. The increase in capital expenditures from the first nine months of 2018 to the first nine months of 2019 resulted primarily from capital expenditures for strategic initiatives partially offset by the timing of capital expenditures for new store openings as compared to the prior year. We estimate that our capital expenditures during 2019 will be approximately $150,000. This estimate includes the acquisition of sites and construction costs of eight new Cracker Barrel stores that we have opened or expect to open during 2019, as well as for acquisition and construction costs for store locations to be opened in 2020. We also expect to increase capital expenditures for equipment, technology and strategic initiatives, which are intended to improve the guest experience and improve margins. We intend to fund our capital expenditures with cash flows from operations and borrowings under our 2019 Revolving Credit Facility, as necessary.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2019 Revolving Credit Facility imposes restrictions on the amount of dividends we are permitted to pay and the amount of shares we are permitted to repurchase. Under the 2019 Revolving Credit Facility, provided there is no default existing and the total of our availability under the 2019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2019, we paid a regular dividend of $3.75 per share and declared a dividend of $1.25 per share that was paid on May 6, 2019 to shareholders of record on April 19, 2019. In addition, in the fourth quarter of 2019, our Board of Directors approved a regular dividend payable on August 5, 2019 to shareholders of record on July 19, 2019 of $1.30 per share. In the fourth quarter of 2019, our Board of Directors also declared a special dividend of $3.00 per share payable on August 2, 2019 to shareholders of record on July 19,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authorized by our Board of Directors to repurchase shares at management’s discretion up to $25,000 during 2019. In the fourth quarter of 2019, our Board of Directors approved an increase in our share repurchase authorization of up to $50,000 for a one-year period. This share repurchase authorization was effective immediately and replaced the prior share repurchase authorization of up to $25,000. We did not repurchase any shares of our common stock during the first nine months of 2019.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first nine months of 2019, we issued 32,852 shares of our common stock resulting from the vesting of share-based compensation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tax withholding payments on these share-based compensation awards resulted in a net use of cash of $2,220.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restaurant industry, virtually all sales are either for cash or third-party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negative working capital of $2,588 at May 3, 2019 versus negative working capital of $57,867 at August 3, 2018. The change in working capital from August 3, 2018 to May 3, 2019 primarily resulted from the increase in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2018 Form 10-K for additional information regarding our operating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material commitments other than in the ordinary course of business since the end of 2018. Refer to the sub-section entitled “Material Commitments” under the section entitled “Liquidity and Capital Resources” presented in the MD&amp;A of our 2018 Form 10-K for additional information regarding our material commitments.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Adopted and Not Adopted</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with the exception of the accounting guidance for leases, we do not expect the accounting guidance will have a significant impact on the Company’s financial position or results of operations. Regarding the accounting guidance for leases, we currently expect that the adoption of the accounting guidance will have a material impact on our consolidated balance sheet. We currently do not expect that the adoption of the accounting guidance for leases will have material impact on our consolidated statement of income or statement of cash flows.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of America.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to the Consolidated Financial Statements contained in the 2018 Form 10-K. Judgments and uncertainties affecting the application of those policies may result in materially different amounts being reported under different conditions or using different assumptions.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are most important to the accurate portrayal of both our financial condition and operating results, and</w:t>
      </w:r>
    </w:p>
    <w:p>
      <w:pPr>
        <w:spacing w:after="0" w:line="27" w:lineRule="exact"/>
        <w:rPr>
          <w:rFonts w:ascii="Times New Roman" w:cs="Times New Roman" w:eastAsia="Times New Roman" w:hAnsi="Times New Roman"/>
          <w:sz w:val="18"/>
          <w:szCs w:val="18"/>
          <w:color w:val="auto"/>
        </w:rPr>
      </w:pPr>
    </w:p>
    <w:p>
      <w:pPr>
        <w:ind w:left="1000" w:hanging="330"/>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management’s most difficult, subjective or complex judgments, often as a result of the need to make estimates about the effect of matters that are inherently uncertain.</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27"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Reserves</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Inventory Valuation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reviewed these critical accounting estimates and related disclosures with the Audit Committee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methodology for assessing impairments during the first nine months of 2019,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originated.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methodology used to establish our insurance reserves during the first nine months of 2019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Inventory Valuation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includes the cost of retail merchandise sold at our stores utilizing the retail inventory method (“RIM”). Under RIM, the valuation of our retail inventories is determined by applying a cost-to-retail ratio to the retail value of our inventories. Inherent in the RIM calculation are certain management judgments and estimates, including initial markons, markups, markdowns and shrinkage, which may significantly impact the gross margin calculation as well as the ending inventory valuation.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Retail inventory also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two-year average of the physical inventories’ results on a store-by-store basis.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made any material changes in the methodologies, estimates or assumptions related to our merchandise inventories during the first nine months of 2019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market risks since August 3, 2018. For a discussion of the Company’s exposure to market risk, refer to the Company’s market risk disclosures set forth in Part II, Item 7A. “Quantitative and Qualitative Disclosures About Market Risk” of the 2018 Form 10-K.</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May 3, 2019, our disclosure controls and procedures were effective for the purposes set forth in the definition thereof in Exchange Act Rule 13a-15(e).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(including corrective actions with regard to significant deficiencies and material weaknesses) during the quarter ended May 3, 2019 in our internal control over financial reporting (as defined in Exchange Act Rule 13a-15(f)) that have materially affected, or are reasonably likely to materially affect, our internal control over financial reporting.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“Item 1A. Risk Factors” of our 2018 Form 10-K.</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shd w:val="clear" w:color="auto" w:fill="CCEEFF"/>
          </w:tcPr>
          <w:p>
            <w:pPr>
              <w:spacing w:after="0"/>
              <w:rPr>
                <w:sz w:val="17"/>
                <w:szCs w:val="17"/>
                <w:color w:val="auto"/>
              </w:rPr>
            </w:pPr>
          </w:p>
        </w:tc>
        <w:tc>
          <w:tcPr>
            <w:tcW w:w="105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 xml:space="preserve">Amended and Restated Charter of Cracker Barrel Old Country Store,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3.1 to the Company's Current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under the Exchange Act on April 10, 2012 (Commission File No. 001-25225)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600" w:type="dxa"/>
            <w:vAlign w:val="bottom"/>
            <w:shd w:val="clear" w:color="auto" w:fill="CCEEFF"/>
          </w:tcPr>
          <w:p>
            <w:pPr>
              <w:spacing w:after="0"/>
              <w:rPr>
                <w:sz w:val="15"/>
                <w:szCs w:val="15"/>
                <w:color w:val="auto"/>
              </w:rPr>
            </w:pPr>
          </w:p>
        </w:tc>
        <w:tc>
          <w:tcPr>
            <w:tcW w:w="105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 xml:space="preserve">Amended and Restated Bylaws of Cracker Barrel Old Country Store,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3.1 to the Company’s Current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under the Exchange Act on February 24, 2012 (Commission File No. 001-25225)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10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10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10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10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60" w:type="dxa"/>
            <w:vAlign w:val="bottom"/>
          </w:tcPr>
          <w:p>
            <w:pPr>
              <w:ind w:left="4720"/>
              <w:spacing w:after="0"/>
              <w:rPr>
                <w:sz w:val="20"/>
                <w:szCs w:val="20"/>
                <w:color w:val="auto"/>
              </w:rPr>
            </w:pPr>
            <w:r>
              <w:rPr>
                <w:rFonts w:ascii="Times New Roman" w:cs="Times New Roman" w:eastAsia="Times New Roman" w:hAnsi="Times New Roman"/>
                <w:sz w:val="14"/>
                <w:szCs w:val="14"/>
                <w:color w:val="auto"/>
              </w:rPr>
              <w:t>28</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740" w:type="dxa"/>
            <w:vAlign w:val="bottom"/>
            <w:gridSpan w:val="5"/>
          </w:tcPr>
          <w:p>
            <w:pPr>
              <w:ind w:left="132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tc>
      </w:tr>
      <w:tr>
        <w:trPr>
          <w:trHeight w:val="392"/>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4, 2019</w:t>
            </w:r>
          </w:p>
        </w:tc>
        <w:tc>
          <w:tcPr>
            <w:tcW w:w="17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/s/Jill M. Golder</w:t>
            </w:r>
          </w:p>
        </w:tc>
      </w:tr>
      <w:tr>
        <w:trPr>
          <w:trHeight w:val="20"/>
        </w:trPr>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Jill M. Golder, Senior Vice President and</w:t>
            </w: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92"/>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4, 2019</w:t>
            </w:r>
          </w:p>
        </w:tc>
        <w:tc>
          <w:tcPr>
            <w:tcW w:w="17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/s/Jeffrey M. Wilson</w:t>
            </w:r>
          </w:p>
        </w:tc>
      </w:tr>
      <w:tr>
        <w:trPr>
          <w:trHeight w:val="20"/>
        </w:trPr>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Jeffrey M. Wilson, Vice President, Corporate Controller and</w:t>
            </w: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52"/>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gridSpan w:val="3"/>
          </w:tcPr>
          <w:p>
            <w:pPr>
              <w:ind w:left="1220"/>
              <w:spacing w:after="0"/>
              <w:rPr>
                <w:sz w:val="20"/>
                <w:szCs w:val="20"/>
                <w:color w:val="auto"/>
              </w:rPr>
            </w:pPr>
            <w:r>
              <w:rPr>
                <w:rFonts w:ascii="Times New Roman" w:cs="Times New Roman" w:eastAsia="Times New Roman" w:hAnsi="Times New Roman"/>
                <w:sz w:val="14"/>
                <w:szCs w:val="14"/>
                <w:color w:val="auto"/>
              </w:rPr>
              <w:t>29</w:t>
            </w:r>
          </w:p>
        </w:tc>
        <w:tc>
          <w:tcPr>
            <w:tcW w:w="5380" w:type="dxa"/>
            <w:vAlign w:val="bottom"/>
          </w:tcPr>
          <w:p>
            <w:pPr>
              <w:spacing w:after="0"/>
              <w:rPr>
                <w:sz w:val="24"/>
                <w:szCs w:val="24"/>
                <w:color w:val="auto"/>
              </w:rPr>
            </w:pPr>
          </w:p>
        </w:tc>
      </w:tr>
      <w:tr>
        <w:trPr>
          <w:trHeight w:val="98"/>
        </w:trPr>
        <w:tc>
          <w:tcPr>
            <w:tcW w:w="4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5" w:right="239" w:bottom="1440" w:gutter="0" w:footer="0" w:header="0"/>
        </w:sectPr>
      </w:pPr>
    </w:p>
    <w:bookmarkStart w:id="30" w:name="page31"/>
    <w:bookmarkEnd w:id="30"/>
    <w:p>
      <w:pPr>
        <w:spacing w:after="0"/>
        <w:tabs>
          <w:tab w:leader="none" w:pos="4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Times New Roman" w:cs="Times New Roman" w:eastAsia="Times New Roman" w:hAnsi="Times New Roman"/>
          <w:sz w:val="17"/>
          <w:szCs w:val="17"/>
          <w:color w:val="auto"/>
        </w:rPr>
        <w:t>CERTIFICATION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500" w:hanging="425"/>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500" w:right="20" w:hanging="425"/>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500" w:hanging="425"/>
        <w:spacing w:after="0" w:line="261"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412"/>
        <w:spacing w:after="0" w:line="266"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540" w:hanging="479"/>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960" w:hanging="412"/>
        <w:spacing w:after="0" w:line="282"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60" w:right="20" w:hanging="412"/>
        <w:spacing w:after="0" w:line="282"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June 4,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/s/Sandra B. Cochran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1" w:name="page32"/>
    <w:bookmarkEnd w:id="31"/>
    <w:p>
      <w:pPr>
        <w:spacing w:after="0"/>
        <w:tabs>
          <w:tab w:leader="none" w:pos="4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Times New Roman" w:cs="Times New Roman" w:eastAsia="Times New Roman" w:hAnsi="Times New Roman"/>
          <w:sz w:val="17"/>
          <w:szCs w:val="17"/>
          <w:color w:val="auto"/>
        </w:rPr>
        <w:t>CERTIFICATION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Jill M. Golder, certify that:</w:t>
      </w:r>
    </w:p>
    <w:p>
      <w:pPr>
        <w:spacing w:after="0" w:line="252" w:lineRule="exact"/>
        <w:rPr>
          <w:sz w:val="20"/>
          <w:szCs w:val="20"/>
          <w:color w:val="auto"/>
        </w:rPr>
      </w:pPr>
    </w:p>
    <w:p>
      <w:pPr>
        <w:ind w:left="1400" w:hanging="325"/>
        <w:spacing w:after="0"/>
        <w:tabs>
          <w:tab w:leader="none" w:pos="14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400" w:hanging="325"/>
        <w:spacing w:after="0" w:line="266" w:lineRule="auto"/>
        <w:tabs>
          <w:tab w:leader="none" w:pos="14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400" w:right="20" w:hanging="325"/>
        <w:spacing w:after="0" w:line="282" w:lineRule="auto"/>
        <w:tabs>
          <w:tab w:leader="none" w:pos="14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400" w:hanging="325"/>
        <w:spacing w:after="0" w:line="261" w:lineRule="auto"/>
        <w:tabs>
          <w:tab w:leader="none" w:pos="14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412"/>
        <w:spacing w:after="0" w:line="266"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540" w:hanging="479"/>
        <w:spacing w:after="0" w:line="266"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960" w:hanging="412"/>
        <w:spacing w:after="0" w:line="282" w:lineRule="auto"/>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60" w:right="20" w:hanging="412"/>
        <w:spacing w:after="0" w:line="282" w:lineRule="auto"/>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June 4,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/s/Jill M. Golder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M. Golder, 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Cracker Barrel Old Country Store, Inc. (the “Issuer”) on Form 10-Q for the fiscal quarter ended May 3, 2019,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4, 2019</w:t>
            </w:r>
          </w:p>
        </w:tc>
        <w:tc>
          <w:tcPr>
            <w:tcW w:w="7880" w:type="dxa"/>
            <w:vAlign w:val="bottom"/>
            <w:gridSpan w:val="3"/>
          </w:tcPr>
          <w:p>
            <w:pPr>
              <w:ind w:left="2180"/>
              <w:spacing w:after="0"/>
              <w:rPr>
                <w:sz w:val="20"/>
                <w:szCs w:val="20"/>
                <w:color w:val="auto"/>
              </w:rPr>
            </w:pPr>
            <w:r>
              <w:rPr>
                <w:rFonts w:ascii="Times New Roman" w:cs="Times New Roman" w:eastAsia="Times New Roman" w:hAnsi="Times New Roman"/>
                <w:sz w:val="18"/>
                <w:szCs w:val="18"/>
                <w:color w:val="auto"/>
              </w:rPr>
              <w:t>By: /s/Sandra B. Cochran</w:t>
            </w:r>
          </w:p>
        </w:tc>
      </w:tr>
      <w:tr>
        <w:trPr>
          <w:trHeight w:val="218"/>
        </w:trPr>
        <w:tc>
          <w:tcPr>
            <w:tcW w:w="4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Sandra B. Cochran</w:t>
            </w:r>
          </w:p>
        </w:tc>
        <w:tc>
          <w:tcPr>
            <w:tcW w:w="386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w:t>
      </w:r>
    </w:p>
    <w:p>
      <w:pPr>
        <w:spacing w:after="0" w:line="20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Cracker Barrel Old Country Store, Inc. (the “Issuer”) on Form 10-Q for the fiscal quarter ended May 3, 2019,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4, 2019</w:t>
            </w:r>
          </w:p>
        </w:tc>
        <w:tc>
          <w:tcPr>
            <w:tcW w:w="7880" w:type="dxa"/>
            <w:vAlign w:val="bottom"/>
            <w:gridSpan w:val="3"/>
          </w:tcPr>
          <w:p>
            <w:pPr>
              <w:ind w:left="2180"/>
              <w:spacing w:after="0"/>
              <w:rPr>
                <w:sz w:val="20"/>
                <w:szCs w:val="20"/>
                <w:color w:val="auto"/>
              </w:rPr>
            </w:pPr>
            <w:r>
              <w:rPr>
                <w:rFonts w:ascii="Times New Roman" w:cs="Times New Roman" w:eastAsia="Times New Roman" w:hAnsi="Times New Roman"/>
                <w:sz w:val="18"/>
                <w:szCs w:val="18"/>
                <w:color w:val="auto"/>
              </w:rPr>
              <w:t>By: /s/Jill M. Golder</w:t>
            </w:r>
          </w:p>
        </w:tc>
      </w:tr>
      <w:tr>
        <w:trPr>
          <w:trHeight w:val="218"/>
        </w:trPr>
        <w:tc>
          <w:tcPr>
            <w:tcW w:w="4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Jill M. Golder,</w:t>
            </w:r>
          </w:p>
        </w:tc>
        <w:tc>
          <w:tcPr>
            <w:tcW w:w="420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1."/>
      <w:numFmt w:val="decimal"/>
      <w:start w:val="12"/>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
    <w:nsid w:val="721DA31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0">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35" Type="http://schemas.openxmlformats.org/officeDocument/2006/relationships/hyperlink" Target="http://www.sec.gov/Archives/edgar/data/1067294/000119312512156250/d331564dex31.htm" TargetMode="External"/><Relationship Id="rId36" Type="http://schemas.openxmlformats.org/officeDocument/2006/relationships/hyperlink" Target="http://www.sec.gov/Archives/edgar/data/1067294/000119312512078431/d30647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2019-12-28T11:40:36Z</dcterms:created>
  <dcterms:modified xsi:type="dcterms:W3CDTF">2019-12-28T11:40:36Z</dcterms:modified>
</cp:coreProperties>
</file>