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ind w:right="60"/>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60"/>
        <w:spacing w:after="0"/>
        <w:rPr>
          <w:sz w:val="20"/>
          <w:szCs w:val="20"/>
          <w:color w:val="auto"/>
        </w:rPr>
      </w:pPr>
      <w:r>
        <w:rPr>
          <w:rFonts w:ascii="Arial" w:cs="Arial" w:eastAsia="Arial" w:hAnsi="Arial"/>
          <w:sz w:val="32"/>
          <w:szCs w:val="32"/>
          <w:u w:val="single" w:color="auto"/>
          <w:color w:val="auto"/>
        </w:rPr>
        <w:t>FORM 10-</w:t>
      </w:r>
      <w:r>
        <w:rPr>
          <w:rFonts w:ascii="Arial" w:cs="Arial" w:eastAsia="Arial" w:hAnsi="Arial"/>
          <w:sz w:val="32"/>
          <w:szCs w:val="32"/>
          <w:color w:val="auto"/>
        </w:rPr>
        <w:t>K</w:t>
      </w:r>
    </w:p>
    <w:p>
      <w:pPr>
        <w:spacing w:after="0" w:line="200" w:lineRule="exact"/>
        <w:rPr>
          <w:sz w:val="24"/>
          <w:szCs w:val="24"/>
          <w:color w:val="auto"/>
        </w:rPr>
      </w:pPr>
    </w:p>
    <w:p>
      <w:pPr>
        <w:spacing w:after="0" w:line="3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right="4260" w:hanging="324"/>
        <w:spacing w:after="0" w:line="261"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August 3, 2012</w:t>
      </w:r>
    </w:p>
    <w:p>
      <w:pPr>
        <w:spacing w:after="0" w:line="211"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980" w:right="412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 to__________________</w:t>
      </w:r>
    </w:p>
    <w:p>
      <w:pPr>
        <w:spacing w:after="0" w:line="174"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Commission file number: 000-25225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60"/>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420" w:type="dxa"/>
            <w:vAlign w:val="bottom"/>
            <w:gridSpan w:val="2"/>
          </w:tcPr>
          <w:p>
            <w:pPr>
              <w:ind w:left="1600"/>
              <w:spacing w:after="0"/>
              <w:rPr>
                <w:sz w:val="20"/>
                <w:szCs w:val="20"/>
                <w:color w:val="auto"/>
              </w:rPr>
            </w:pPr>
            <w:r>
              <w:rPr>
                <w:rFonts w:ascii="Arial" w:cs="Arial" w:eastAsia="Arial" w:hAnsi="Arial"/>
                <w:sz w:val="18"/>
                <w:szCs w:val="18"/>
                <w:color w:val="auto"/>
              </w:rPr>
              <w:t>Tennessee</w:t>
            </w:r>
          </w:p>
        </w:tc>
        <w:tc>
          <w:tcPr>
            <w:tcW w:w="4320" w:type="dxa"/>
            <w:vAlign w:val="bottom"/>
            <w:gridSpan w:val="3"/>
          </w:tcPr>
          <w:p>
            <w:pPr>
              <w:jc w:val="right"/>
              <w:ind w:right="800"/>
              <w:spacing w:after="0"/>
              <w:rPr>
                <w:sz w:val="20"/>
                <w:szCs w:val="20"/>
                <w:color w:val="auto"/>
              </w:rPr>
            </w:pPr>
            <w:r>
              <w:rPr>
                <w:rFonts w:ascii="Arial" w:cs="Arial" w:eastAsia="Arial" w:hAnsi="Arial"/>
                <w:sz w:val="18"/>
                <w:szCs w:val="18"/>
                <w:color w:val="auto"/>
              </w:rPr>
              <w:t>62-0812904</w:t>
            </w:r>
          </w:p>
        </w:tc>
      </w:tr>
      <w:tr>
        <w:trPr>
          <w:trHeight w:val="230"/>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40" w:type="dxa"/>
            <w:vAlign w:val="bottom"/>
          </w:tcPr>
          <w:p>
            <w:pPr>
              <w:spacing w:after="0"/>
              <w:rPr>
                <w:sz w:val="20"/>
                <w:szCs w:val="20"/>
                <w:color w:val="auto"/>
              </w:rPr>
            </w:pPr>
          </w:p>
        </w:tc>
        <w:tc>
          <w:tcPr>
            <w:tcW w:w="318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1300" w:type="dxa"/>
            <w:vAlign w:val="bottom"/>
          </w:tcPr>
          <w:p>
            <w:pPr>
              <w:spacing w:after="0"/>
              <w:rPr>
                <w:sz w:val="24"/>
                <w:szCs w:val="24"/>
                <w:color w:val="auto"/>
              </w:rPr>
            </w:pPr>
          </w:p>
        </w:tc>
        <w:tc>
          <w:tcPr>
            <w:tcW w:w="4420" w:type="dxa"/>
            <w:vAlign w:val="bottom"/>
            <w:gridSpan w:val="2"/>
          </w:tcPr>
          <w:p>
            <w:pPr>
              <w:jc w:val="center"/>
              <w:ind w:right="1280"/>
              <w:spacing w:after="0"/>
              <w:rPr>
                <w:sz w:val="20"/>
                <w:szCs w:val="20"/>
                <w:color w:val="auto"/>
              </w:rPr>
            </w:pPr>
            <w:r>
              <w:rPr>
                <w:rFonts w:ascii="Arial" w:cs="Arial" w:eastAsia="Arial" w:hAnsi="Arial"/>
                <w:sz w:val="18"/>
                <w:szCs w:val="18"/>
                <w:color w:val="auto"/>
                <w:w w:val="91"/>
              </w:rPr>
              <w:t>305 Hartmann Drive, P.O. Box 787</w:t>
            </w:r>
          </w:p>
        </w:tc>
        <w:tc>
          <w:tcPr>
            <w:tcW w:w="4320" w:type="dxa"/>
            <w:vAlign w:val="bottom"/>
            <w:gridSpan w:val="3"/>
          </w:tcPr>
          <w:p>
            <w:pPr>
              <w:jc w:val="center"/>
              <w:ind w:left="1290"/>
              <w:spacing w:after="0"/>
              <w:rPr>
                <w:sz w:val="20"/>
                <w:szCs w:val="20"/>
                <w:color w:val="auto"/>
              </w:rPr>
            </w:pPr>
            <w:r>
              <w:rPr>
                <w:rFonts w:ascii="Arial" w:cs="Arial" w:eastAsia="Arial" w:hAnsi="Arial"/>
                <w:sz w:val="18"/>
                <w:szCs w:val="18"/>
                <w:color w:val="auto"/>
                <w:w w:val="89"/>
              </w:rPr>
              <w:t>37088-0787</w:t>
            </w:r>
          </w:p>
        </w:tc>
      </w:tr>
      <w:tr>
        <w:trPr>
          <w:trHeight w:val="216"/>
        </w:trPr>
        <w:tc>
          <w:tcPr>
            <w:tcW w:w="1300" w:type="dxa"/>
            <w:vAlign w:val="bottom"/>
          </w:tcPr>
          <w:p>
            <w:pPr>
              <w:spacing w:after="0"/>
              <w:rPr>
                <w:sz w:val="18"/>
                <w:szCs w:val="18"/>
                <w:color w:val="auto"/>
              </w:rPr>
            </w:pPr>
          </w:p>
        </w:tc>
        <w:tc>
          <w:tcPr>
            <w:tcW w:w="4420" w:type="dxa"/>
            <w:vAlign w:val="bottom"/>
            <w:gridSpan w:val="2"/>
          </w:tcPr>
          <w:p>
            <w:pPr>
              <w:jc w:val="center"/>
              <w:ind w:right="1280"/>
              <w:spacing w:after="0"/>
              <w:rPr>
                <w:sz w:val="20"/>
                <w:szCs w:val="20"/>
                <w:color w:val="auto"/>
              </w:rPr>
            </w:pPr>
            <w:r>
              <w:rPr>
                <w:rFonts w:ascii="Arial" w:cs="Arial" w:eastAsia="Arial" w:hAnsi="Arial"/>
                <w:sz w:val="18"/>
                <w:szCs w:val="18"/>
                <w:color w:val="auto"/>
                <w:w w:val="86"/>
              </w:rPr>
              <w:t>Lebanon, Tennessee</w:t>
            </w:r>
          </w:p>
        </w:tc>
        <w:tc>
          <w:tcPr>
            <w:tcW w:w="1140" w:type="dxa"/>
            <w:vAlign w:val="bottom"/>
          </w:tcPr>
          <w:p>
            <w:pPr>
              <w:spacing w:after="0"/>
              <w:rPr>
                <w:sz w:val="18"/>
                <w:szCs w:val="18"/>
                <w:color w:val="auto"/>
              </w:rPr>
            </w:pPr>
          </w:p>
        </w:tc>
        <w:tc>
          <w:tcPr>
            <w:tcW w:w="31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(Zip code)</w:t>
            </w:r>
          </w:p>
        </w:tc>
      </w:tr>
      <w:tr>
        <w:trPr>
          <w:trHeight w:val="230"/>
        </w:trPr>
        <w:tc>
          <w:tcPr>
            <w:tcW w:w="1300" w:type="dxa"/>
            <w:vAlign w:val="bottom"/>
          </w:tcPr>
          <w:p>
            <w:pPr>
              <w:spacing w:after="0"/>
              <w:rPr>
                <w:sz w:val="20"/>
                <w:szCs w:val="20"/>
                <w:color w:val="auto"/>
              </w:rPr>
            </w:pPr>
          </w:p>
        </w:tc>
        <w:tc>
          <w:tcPr>
            <w:tcW w:w="4420" w:type="dxa"/>
            <w:vAlign w:val="bottom"/>
            <w:gridSpan w:val="2"/>
          </w:tcPr>
          <w:p>
            <w:pPr>
              <w:jc w:val="center"/>
              <w:ind w:right="128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1300" w:type="dxa"/>
            <w:vAlign w:val="bottom"/>
          </w:tcPr>
          <w:p>
            <w:pPr>
              <w:spacing w:after="0"/>
              <w:rPr>
                <w:sz w:val="24"/>
                <w:szCs w:val="24"/>
                <w:color w:val="auto"/>
              </w:rPr>
            </w:pPr>
          </w:p>
        </w:tc>
        <w:tc>
          <w:tcPr>
            <w:tcW w:w="874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 (615) 444-5533</w:t>
            </w:r>
          </w:p>
        </w:tc>
      </w:tr>
      <w:tr>
        <w:trPr>
          <w:trHeight w:val="459"/>
        </w:trPr>
        <w:tc>
          <w:tcPr>
            <w:tcW w:w="1300" w:type="dxa"/>
            <w:vAlign w:val="bottom"/>
          </w:tcPr>
          <w:p>
            <w:pPr>
              <w:spacing w:after="0"/>
              <w:rPr>
                <w:sz w:val="24"/>
                <w:szCs w:val="24"/>
                <w:color w:val="auto"/>
              </w:rPr>
            </w:pPr>
          </w:p>
        </w:tc>
        <w:tc>
          <w:tcPr>
            <w:tcW w:w="874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19"/>
        </w:trPr>
        <w:tc>
          <w:tcPr>
            <w:tcW w:w="5720" w:type="dxa"/>
            <w:vAlign w:val="bottom"/>
            <w:gridSpan w:val="3"/>
          </w:tcPr>
          <w:p>
            <w:pPr>
              <w:spacing w:after="0"/>
              <w:rPr>
                <w:sz w:val="20"/>
                <w:szCs w:val="20"/>
                <w:color w:val="auto"/>
              </w:rPr>
            </w:pPr>
            <w:r>
              <w:rPr>
                <w:rFonts w:ascii="Arial" w:cs="Arial" w:eastAsia="Arial" w:hAnsi="Arial"/>
                <w:sz w:val="18"/>
                <w:szCs w:val="18"/>
                <w:color w:val="auto"/>
              </w:rPr>
              <w:t>Title of each class</w:t>
            </w:r>
          </w:p>
        </w:tc>
        <w:tc>
          <w:tcPr>
            <w:tcW w:w="4320" w:type="dxa"/>
            <w:vAlign w:val="bottom"/>
            <w:gridSpan w:val="3"/>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18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Common Stock (Par Value $.01)</w:t>
            </w:r>
          </w:p>
        </w:tc>
        <w:tc>
          <w:tcPr>
            <w:tcW w:w="4320" w:type="dxa"/>
            <w:vAlign w:val="bottom"/>
            <w:gridSpan w:val="3"/>
          </w:tcPr>
          <w:p>
            <w:pPr>
              <w:spacing w:after="0"/>
              <w:rPr>
                <w:sz w:val="20"/>
                <w:szCs w:val="20"/>
                <w:color w:val="auto"/>
              </w:rPr>
            </w:pPr>
            <w:r>
              <w:rPr>
                <w:rFonts w:ascii="Arial" w:cs="Arial" w:eastAsia="Arial" w:hAnsi="Arial"/>
                <w:sz w:val="18"/>
                <w:szCs w:val="18"/>
                <w:color w:val="auto"/>
              </w:rPr>
              <w:t>The NASDAQ Stock Market LLC</w:t>
            </w:r>
          </w:p>
        </w:tc>
      </w:tr>
      <w:tr>
        <w:trPr>
          <w:trHeight w:val="230"/>
        </w:trPr>
        <w:tc>
          <w:tcPr>
            <w:tcW w:w="1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(NASDAQ Global Select Market)</w:t>
            </w:r>
          </w:p>
        </w:tc>
      </w:tr>
      <w:tr>
        <w:trPr>
          <w:trHeight w:val="108"/>
        </w:trPr>
        <w:tc>
          <w:tcPr>
            <w:tcW w:w="13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40" w:type="dxa"/>
            <w:vAlign w:val="bottom"/>
          </w:tcPr>
          <w:p>
            <w:pPr>
              <w:spacing w:after="0"/>
              <w:rPr>
                <w:sz w:val="9"/>
                <w:szCs w:val="9"/>
                <w:color w:val="auto"/>
              </w:rPr>
            </w:pPr>
          </w:p>
        </w:tc>
        <w:tc>
          <w:tcPr>
            <w:tcW w:w="1140" w:type="dxa"/>
            <w:vAlign w:val="bottom"/>
          </w:tcPr>
          <w:p>
            <w:pPr>
              <w:spacing w:after="0"/>
              <w:rPr>
                <w:sz w:val="9"/>
                <w:szCs w:val="9"/>
                <w:color w:val="auto"/>
              </w:rPr>
            </w:pPr>
          </w:p>
        </w:tc>
      </w:tr>
    </w:tbl>
    <w:p>
      <w:pPr>
        <w:spacing w:after="0" w:line="337"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8640" w:type="dxa"/>
            <w:vAlign w:val="bottom"/>
            <w:gridSpan w:val="3"/>
          </w:tcPr>
          <w:p>
            <w:pPr>
              <w:ind w:left="3080"/>
              <w:spacing w:after="0"/>
              <w:rPr>
                <w:sz w:val="20"/>
                <w:szCs w:val="20"/>
                <w:color w:val="auto"/>
              </w:rPr>
            </w:pPr>
            <w:r>
              <w:rPr>
                <w:rFonts w:ascii="Arial" w:cs="Arial" w:eastAsia="Arial" w:hAnsi="Arial"/>
                <w:sz w:val="18"/>
                <w:szCs w:val="18"/>
                <w:color w:val="auto"/>
              </w:rPr>
              <w:t>Securities registered pursuant to Section 12(g) of the Act: None</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22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81"/>
        </w:trPr>
        <w:tc>
          <w:tcPr>
            <w:tcW w:w="8640" w:type="dxa"/>
            <w:vAlign w:val="bottom"/>
            <w:gridSpan w:val="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4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600" w:type="dxa"/>
            <w:vAlign w:val="bottom"/>
          </w:tcPr>
          <w:p>
            <w:pPr>
              <w:ind w:left="18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bl>
    <w:p>
      <w:pPr>
        <w:spacing w:after="0" w:line="209" w:lineRule="exact"/>
        <w:rPr>
          <w:sz w:val="24"/>
          <w:szCs w:val="24"/>
          <w:color w:val="auto"/>
        </w:rPr>
      </w:pPr>
    </w:p>
    <w:p>
      <w:pPr>
        <w:jc w:val="both"/>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240" w:top="312" w:right="179" w:bottom="1440" w:gutter="0" w:footer="0" w:header="0"/>
        </w:sectPr>
      </w:pPr>
    </w:p>
    <w:bookmarkStart w:id="1" w:name="page2"/>
    <w:bookmarkEnd w:id="1"/>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17" w:right="239" w:bottom="1440" w:gutter="0" w:footer="0" w:header="0"/>
        </w:sectPr>
      </w:pPr>
    </w:p>
    <w:p>
      <w:pPr>
        <w:spacing w:after="0" w:line="165" w:lineRule="exact"/>
        <w:rPr>
          <w:sz w:val="20"/>
          <w:szCs w:val="20"/>
          <w:color w:val="auto"/>
        </w:rPr>
      </w:pPr>
    </w:p>
    <w:p>
      <w:pPr>
        <w:ind w:left="11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3">
            <w:col w:w="5000" w:space="720"/>
            <w:col w:w="1200" w:space="80"/>
            <w:col w:w="4420"/>
          </w:cols>
          <w:pgMar w:left="240" w:top="517" w:right="239" w:bottom="1440" w:gutter="0" w:footer="0" w:header="0"/>
          <w:type w:val="continuous"/>
        </w:sectPr>
      </w:pPr>
    </w:p>
    <w:p>
      <w:pPr>
        <w:spacing w:after="0" w:line="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2680" w:space="180"/>
            <w:col w:w="2140" w:space="720"/>
            <w:col w:w="1960" w:space="100"/>
            <w:col w:w="3640"/>
          </w:cols>
          <w:pgMar w:left="240" w:top="517" w:right="239" w:bottom="1440" w:gutter="0" w:footer="0" w:header="0"/>
          <w:type w:val="continuous"/>
        </w:sectPr>
      </w:pPr>
    </w:p>
    <w:p>
      <w:pPr>
        <w:spacing w:after="0" w:line="43" w:lineRule="exact"/>
        <w:rPr>
          <w:sz w:val="20"/>
          <w:szCs w:val="20"/>
          <w:color w:val="auto"/>
        </w:rPr>
      </w:pPr>
    </w:p>
    <w:p>
      <w:pPr>
        <w:ind w:left="340"/>
        <w:spacing w:after="0" w:line="196" w:lineRule="exact"/>
        <w:tabs>
          <w:tab w:leader="none" w:pos="84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9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January 27, 2012 (the last business day of the registrant’s most recently completed second fiscal quarter) was $1,182,829,428.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6840" w:type="dxa"/>
            <w:vAlign w:val="bottom"/>
            <w:gridSpan w:val="3"/>
          </w:tcPr>
          <w:p>
            <w:pPr>
              <w:ind w:left="100"/>
              <w:spacing w:after="0"/>
              <w:rPr>
                <w:sz w:val="20"/>
                <w:szCs w:val="20"/>
                <w:color w:val="auto"/>
              </w:rPr>
            </w:pPr>
            <w:r>
              <w:rPr>
                <w:rFonts w:ascii="Arial" w:cs="Arial" w:eastAsia="Arial" w:hAnsi="Arial"/>
                <w:sz w:val="18"/>
                <w:szCs w:val="18"/>
                <w:color w:val="auto"/>
                <w:w w:val="95"/>
              </w:rPr>
              <w:t>As of September 18, 2012, there were 23,532,814 shares of common stock outstanding.</w:t>
            </w: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28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Documents Incorporated by Reference</w:t>
            </w:r>
          </w:p>
        </w:tc>
        <w:tc>
          <w:tcPr>
            <w:tcW w:w="42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9"/>
        </w:trPr>
        <w:tc>
          <w:tcPr>
            <w:tcW w:w="4520" w:type="dxa"/>
            <w:vAlign w:val="bottom"/>
            <w:gridSpan w:val="3"/>
          </w:tcPr>
          <w:p>
            <w:pPr>
              <w:spacing w:after="0"/>
              <w:rPr>
                <w:sz w:val="20"/>
                <w:szCs w:val="20"/>
                <w:color w:val="auto"/>
              </w:rPr>
            </w:pPr>
            <w:r>
              <w:rPr>
                <w:rFonts w:ascii="Arial" w:cs="Arial" w:eastAsia="Arial" w:hAnsi="Arial"/>
                <w:sz w:val="18"/>
                <w:szCs w:val="18"/>
                <w:color w:val="auto"/>
                <w:w w:val="91"/>
              </w:rPr>
              <w:t>Document from which Portions are Incorporated by Reference</w:t>
            </w:r>
          </w:p>
        </w:tc>
        <w:tc>
          <w:tcPr>
            <w:tcW w:w="2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20" w:type="dxa"/>
            <w:vAlign w:val="bottom"/>
            <w:gridSpan w:val="2"/>
          </w:tcPr>
          <w:p>
            <w:pPr>
              <w:jc w:val="center"/>
              <w:ind w:right="820"/>
              <w:spacing w:after="0"/>
              <w:rPr>
                <w:sz w:val="20"/>
                <w:szCs w:val="20"/>
                <w:color w:val="auto"/>
              </w:rPr>
            </w:pPr>
            <w:r>
              <w:rPr>
                <w:rFonts w:ascii="Arial" w:cs="Arial" w:eastAsia="Arial" w:hAnsi="Arial"/>
                <w:sz w:val="18"/>
                <w:szCs w:val="18"/>
                <w:color w:val="auto"/>
                <w:w w:val="93"/>
              </w:rPr>
              <w:t>Part of Form 10-K into which incorporated</w:t>
            </w:r>
          </w:p>
        </w:tc>
      </w:tr>
      <w:tr>
        <w:trPr>
          <w:trHeight w:val="438"/>
        </w:trPr>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428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color w:val="auto"/>
              </w:rPr>
              <w:t>Proxy Statement for Annual Meeting of</w:t>
            </w:r>
          </w:p>
        </w:tc>
        <w:tc>
          <w:tcPr>
            <w:tcW w:w="2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Part III</w:t>
            </w:r>
          </w:p>
        </w:tc>
        <w:tc>
          <w:tcPr>
            <w:tcW w:w="82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6840" w:type="dxa"/>
            <w:vAlign w:val="bottom"/>
            <w:gridSpan w:val="3"/>
          </w:tcPr>
          <w:p>
            <w:pPr>
              <w:ind w:left="460"/>
              <w:spacing w:after="0"/>
              <w:rPr>
                <w:sz w:val="20"/>
                <w:szCs w:val="20"/>
                <w:color w:val="auto"/>
              </w:rPr>
            </w:pPr>
            <w:r>
              <w:rPr>
                <w:rFonts w:ascii="Arial" w:cs="Arial" w:eastAsia="Arial" w:hAnsi="Arial"/>
                <w:sz w:val="18"/>
                <w:szCs w:val="18"/>
                <w:color w:val="auto"/>
              </w:rPr>
              <w:t>Shareholders to be held November 15, 2012</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6840" w:type="dxa"/>
            <w:vAlign w:val="bottom"/>
            <w:gridSpan w:val="3"/>
          </w:tcPr>
          <w:p>
            <w:pPr>
              <w:ind w:left="460"/>
              <w:spacing w:after="0"/>
              <w:rPr>
                <w:sz w:val="20"/>
                <w:szCs w:val="20"/>
                <w:color w:val="auto"/>
              </w:rPr>
            </w:pPr>
            <w:r>
              <w:rPr>
                <w:rFonts w:ascii="Arial" w:cs="Arial" w:eastAsia="Arial" w:hAnsi="Arial"/>
                <w:sz w:val="18"/>
                <w:szCs w:val="18"/>
                <w:color w:val="auto"/>
              </w:rPr>
              <w:t>(the “2012 Proxy Statement”)</w:t>
            </w: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18"/>
        </w:trPr>
        <w:tc>
          <w:tcPr>
            <w:tcW w:w="2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71"/>
        </w:trPr>
        <w:tc>
          <w:tcPr>
            <w:tcW w:w="240" w:type="dxa"/>
            <w:vAlign w:val="bottom"/>
            <w:shd w:val="clear" w:color="auto" w:fill="808080"/>
          </w:tcPr>
          <w:p>
            <w:pPr>
              <w:spacing w:after="0"/>
              <w:rPr>
                <w:sz w:val="6"/>
                <w:szCs w:val="6"/>
                <w:color w:val="auto"/>
              </w:rPr>
            </w:pPr>
          </w:p>
        </w:tc>
        <w:tc>
          <w:tcPr>
            <w:tcW w:w="260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256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310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r>
      <w:tr>
        <w:trPr>
          <w:trHeight w:val="604"/>
        </w:trPr>
        <w:tc>
          <w:tcPr>
            <w:tcW w:w="2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9"/>
          </w:tcPr>
          <w:p>
            <w:pPr>
              <w:jc w:val="center"/>
              <w:ind w:right="4260"/>
              <w:spacing w:after="0"/>
              <w:rPr>
                <w:sz w:val="20"/>
                <w:szCs w:val="20"/>
                <w:color w:val="auto"/>
              </w:rPr>
            </w:pPr>
            <w:r>
              <w:rPr>
                <w:rFonts w:ascii="Arial" w:cs="Arial" w:eastAsia="Arial" w:hAnsi="Arial"/>
                <w:sz w:val="18"/>
                <w:szCs w:val="18"/>
                <w:b w:val="1"/>
                <w:bCs w:val="1"/>
                <w:color w:val="auto"/>
                <w:w w:val="98"/>
              </w:rPr>
              <w:t>PART I</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3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INTRODUCTION</w:t>
              </w:r>
            </w:hyperlink>
          </w:p>
        </w:tc>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w:t>
            </w:r>
          </w:p>
        </w:tc>
        <w:tc>
          <w:tcPr>
            <w:tcW w:w="20" w:type="dxa"/>
            <w:vAlign w:val="bottom"/>
            <w:tcBorders>
              <w:top w:val="single" w:sz="8" w:color="CCEEFF"/>
            </w:tcBorders>
          </w:tcPr>
          <w:p>
            <w:pPr>
              <w:spacing w:after="0"/>
              <w:rPr>
                <w:sz w:val="15"/>
                <w:szCs w:val="15"/>
                <w:color w:val="auto"/>
              </w:rPr>
            </w:pPr>
          </w:p>
        </w:tc>
        <w:tc>
          <w:tcPr>
            <w:tcW w:w="9340" w:type="dxa"/>
            <w:vAlign w:val="bottom"/>
            <w:tcBorders>
              <w:top w:val="single" w:sz="8" w:color="CCEEFF"/>
            </w:tcBorders>
            <w:gridSpan w:val="2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8080" w:type="dxa"/>
            <w:vAlign w:val="bottom"/>
            <w:tcBorders>
              <w:bottom w:val="single" w:sz="8" w:color="CCEEFF"/>
            </w:tcBorders>
            <w:gridSpan w:val="20"/>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1B.</w:t>
            </w:r>
          </w:p>
        </w:tc>
        <w:tc>
          <w:tcPr>
            <w:tcW w:w="20" w:type="dxa"/>
            <w:vAlign w:val="bottom"/>
          </w:tcPr>
          <w:p>
            <w:pPr>
              <w:spacing w:after="0"/>
              <w:rPr>
                <w:sz w:val="15"/>
                <w:szCs w:val="15"/>
                <w:color w:val="auto"/>
              </w:rPr>
            </w:pPr>
          </w:p>
        </w:tc>
        <w:tc>
          <w:tcPr>
            <w:tcW w:w="9340" w:type="dxa"/>
            <w:vAlign w:val="bottom"/>
            <w:gridSpan w:val="2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PROPERTIES</w:t>
              </w:r>
            </w:hyperlink>
          </w:p>
        </w:tc>
        <w:tc>
          <w:tcPr>
            <w:tcW w:w="8280" w:type="dxa"/>
            <w:vAlign w:val="bottom"/>
            <w:tcBorders>
              <w:bottom w:val="single" w:sz="8" w:color="CCEEFF"/>
            </w:tcBorders>
            <w:gridSpan w:val="21"/>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5"/>
                <w:szCs w:val="15"/>
                <w:color w:val="auto"/>
              </w:rPr>
            </w:pPr>
          </w:p>
        </w:tc>
        <w:tc>
          <w:tcPr>
            <w:tcW w:w="9340" w:type="dxa"/>
            <w:vAlign w:val="bottom"/>
            <w:gridSpan w:val="23"/>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40" w:type="dxa"/>
            <w:vAlign w:val="bottom"/>
            <w:gridSpan w:val="2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 OF THE REGISTRANT</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80" w:type="dxa"/>
            <w:vAlign w:val="bottom"/>
            <w:gridSpan w:val="9"/>
            <w:shd w:val="clear" w:color="auto" w:fill="CCEEFF"/>
          </w:tcPr>
          <w:p>
            <w:pPr>
              <w:jc w:val="center"/>
              <w:ind w:right="4260"/>
              <w:spacing w:after="0"/>
              <w:rPr>
                <w:sz w:val="20"/>
                <w:szCs w:val="20"/>
                <w:color w:val="auto"/>
              </w:rPr>
            </w:pPr>
            <w:r>
              <w:rPr>
                <w:rFonts w:ascii="Arial" w:cs="Arial" w:eastAsia="Arial" w:hAnsi="Arial"/>
                <w:sz w:val="18"/>
                <w:szCs w:val="18"/>
                <w:b w:val="1"/>
                <w:bCs w:val="1"/>
                <w:color w:val="auto"/>
              </w:rPr>
              <w:t>PART II</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5.</w:t>
            </w:r>
          </w:p>
        </w:tc>
        <w:tc>
          <w:tcPr>
            <w:tcW w:w="20" w:type="dxa"/>
            <w:vAlign w:val="bottom"/>
          </w:tcPr>
          <w:p>
            <w:pPr>
              <w:spacing w:after="0"/>
              <w:rPr>
                <w:sz w:val="15"/>
                <w:szCs w:val="15"/>
                <w:color w:val="auto"/>
              </w:rPr>
            </w:pPr>
          </w:p>
        </w:tc>
        <w:tc>
          <w:tcPr>
            <w:tcW w:w="9340" w:type="dxa"/>
            <w:vAlign w:val="bottom"/>
            <w:gridSpan w:val="2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w:t>
              </w:r>
            </w:hyperlink>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PURCHASES OF EQUITY SECURITIES</w:t>
              </w:r>
            </w:hyperlink>
          </w:p>
        </w:tc>
        <w:tc>
          <w:tcPr>
            <w:tcW w:w="1080" w:type="dxa"/>
            <w:vAlign w:val="bottom"/>
            <w:gridSpan w:val="3"/>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SELECTED FINANCIAL DATA</w:t>
              </w:r>
            </w:hyperlink>
          </w:p>
        </w:tc>
        <w:tc>
          <w:tcPr>
            <w:tcW w:w="6900" w:type="dxa"/>
            <w:vAlign w:val="bottom"/>
            <w:tcBorders>
              <w:bottom w:val="single" w:sz="8" w:color="CCEEFF"/>
            </w:tcBorders>
            <w:gridSpan w:val="16"/>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7.</w:t>
            </w:r>
          </w:p>
        </w:tc>
        <w:tc>
          <w:tcPr>
            <w:tcW w:w="20" w:type="dxa"/>
            <w:vAlign w:val="bottom"/>
          </w:tcPr>
          <w:p>
            <w:pPr>
              <w:spacing w:after="0"/>
              <w:rPr>
                <w:sz w:val="15"/>
                <w:szCs w:val="15"/>
                <w:color w:val="auto"/>
              </w:rPr>
            </w:pPr>
          </w:p>
        </w:tc>
        <w:tc>
          <w:tcPr>
            <w:tcW w:w="9340" w:type="dxa"/>
            <w:vAlign w:val="bottom"/>
            <w:gridSpan w:val="2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CCEEFF"/>
          </w:tcPr>
          <w:p>
            <w:pPr>
              <w:spacing w:after="0"/>
              <w:rPr>
                <w:sz w:val="17"/>
                <w:szCs w:val="17"/>
                <w:color w:val="auto"/>
              </w:rPr>
            </w:pPr>
          </w:p>
        </w:tc>
        <w:tc>
          <w:tcPr>
            <w:tcW w:w="9340" w:type="dxa"/>
            <w:vAlign w:val="bottom"/>
            <w:gridSpan w:val="23"/>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CCEEFF"/>
          </w:tcPr>
          <w:p>
            <w:pPr>
              <w:spacing w:after="0"/>
              <w:rPr>
                <w:sz w:val="15"/>
                <w:szCs w:val="15"/>
                <w:color w:val="auto"/>
              </w:rPr>
            </w:pPr>
          </w:p>
        </w:tc>
        <w:tc>
          <w:tcPr>
            <w:tcW w:w="9340" w:type="dxa"/>
            <w:vAlign w:val="bottom"/>
            <w:gridSpan w:val="2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9.</w:t>
            </w:r>
          </w:p>
        </w:tc>
        <w:tc>
          <w:tcPr>
            <w:tcW w:w="20" w:type="dxa"/>
            <w:vAlign w:val="bottom"/>
          </w:tcPr>
          <w:p>
            <w:pPr>
              <w:spacing w:after="0"/>
              <w:rPr>
                <w:sz w:val="15"/>
                <w:szCs w:val="15"/>
                <w:color w:val="auto"/>
              </w:rPr>
            </w:pPr>
          </w:p>
        </w:tc>
        <w:tc>
          <w:tcPr>
            <w:tcW w:w="9340" w:type="dxa"/>
            <w:vAlign w:val="bottom"/>
            <w:gridSpan w:val="23"/>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CCEEFF"/>
          </w:tcPr>
          <w:p>
            <w:pPr>
              <w:spacing w:after="0"/>
              <w:rPr>
                <w:sz w:val="17"/>
                <w:szCs w:val="17"/>
                <w:color w:val="auto"/>
              </w:rPr>
            </w:pPr>
          </w:p>
        </w:tc>
        <w:tc>
          <w:tcPr>
            <w:tcW w:w="9340" w:type="dxa"/>
            <w:vAlign w:val="bottom"/>
            <w:gridSpan w:val="23"/>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9B.</w:t>
            </w:r>
          </w:p>
        </w:tc>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6740" w:type="dxa"/>
            <w:vAlign w:val="bottom"/>
            <w:tcBorders>
              <w:top w:val="single" w:sz="8" w:color="CCEEFF"/>
            </w:tcBorders>
            <w:gridSpan w:val="14"/>
          </w:tcPr>
          <w:p>
            <w:pPr>
              <w:spacing w:after="0"/>
              <w:rPr>
                <w:sz w:val="15"/>
                <w:szCs w:val="15"/>
                <w:color w:val="auto"/>
              </w:rPr>
            </w:pPr>
          </w:p>
        </w:tc>
        <w:tc>
          <w:tcPr>
            <w:tcW w:w="7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9"/>
          </w:tcPr>
          <w:p>
            <w:pPr>
              <w:jc w:val="center"/>
              <w:ind w:right="4260"/>
              <w:spacing w:after="0"/>
              <w:rPr>
                <w:sz w:val="20"/>
                <w:szCs w:val="20"/>
                <w:color w:val="auto"/>
              </w:rPr>
            </w:pPr>
            <w:r>
              <w:rPr>
                <w:rFonts w:ascii="Arial" w:cs="Arial" w:eastAsia="Arial" w:hAnsi="Arial"/>
                <w:sz w:val="18"/>
                <w:szCs w:val="18"/>
                <w:b w:val="1"/>
                <w:bCs w:val="1"/>
                <w:color w:val="auto"/>
              </w:rPr>
              <w:t>PART III</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10.</w:t>
            </w:r>
          </w:p>
        </w:tc>
        <w:tc>
          <w:tcPr>
            <w:tcW w:w="20" w:type="dxa"/>
            <w:vAlign w:val="bottom"/>
          </w:tcPr>
          <w:p>
            <w:pPr>
              <w:spacing w:after="0"/>
              <w:rPr>
                <w:sz w:val="15"/>
                <w:szCs w:val="15"/>
                <w:color w:val="auto"/>
              </w:rPr>
            </w:pPr>
          </w:p>
        </w:tc>
        <w:tc>
          <w:tcPr>
            <w:tcW w:w="9340" w:type="dxa"/>
            <w:vAlign w:val="bottom"/>
            <w:gridSpan w:val="2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EXECUTIVE COMPENSATION</w:t>
              </w:r>
            </w:hyperlink>
          </w:p>
        </w:tc>
        <w:tc>
          <w:tcPr>
            <w:tcW w:w="6880" w:type="dxa"/>
            <w:vAlign w:val="bottom"/>
            <w:tcBorders>
              <w:bottom w:val="single" w:sz="8" w:color="CCEEFF"/>
            </w:tcBorders>
            <w:gridSpan w:val="15"/>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12.</w:t>
            </w:r>
          </w:p>
        </w:tc>
        <w:tc>
          <w:tcPr>
            <w:tcW w:w="20" w:type="dxa"/>
            <w:vAlign w:val="bottom"/>
          </w:tcPr>
          <w:p>
            <w:pPr>
              <w:spacing w:after="0"/>
              <w:rPr>
                <w:sz w:val="15"/>
                <w:szCs w:val="15"/>
                <w:color w:val="auto"/>
              </w:rPr>
            </w:pPr>
          </w:p>
        </w:tc>
        <w:tc>
          <w:tcPr>
            <w:tcW w:w="8020" w:type="dxa"/>
            <w:vAlign w:val="bottom"/>
            <w:tcBorders>
              <w:bottom w:val="single" w:sz="8" w:color="0000EE"/>
            </w:tcBorders>
            <w:gridSpan w:val="19"/>
          </w:tcPr>
          <w:p>
            <w:pPr>
              <w:spacing w:after="0" w:line="17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SECURITY OWNERSHIP OF CERTAIN BENEFICIAL OWNERS AND MANAGEMENT AND RELATED</w:t>
              </w:r>
            </w:hyperlink>
          </w:p>
        </w:tc>
        <w:tc>
          <w:tcPr>
            <w:tcW w:w="132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2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STOCKHOLDER MATTERS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CCEEFF"/>
          </w:tcPr>
          <w:p>
            <w:pPr>
              <w:spacing w:after="0"/>
              <w:rPr>
                <w:sz w:val="17"/>
                <w:szCs w:val="17"/>
                <w:color w:val="auto"/>
              </w:rPr>
            </w:pPr>
          </w:p>
        </w:tc>
        <w:tc>
          <w:tcPr>
            <w:tcW w:w="9340" w:type="dxa"/>
            <w:vAlign w:val="bottom"/>
            <w:gridSpan w:val="23"/>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14.</w:t>
            </w:r>
          </w:p>
        </w:tc>
        <w:tc>
          <w:tcPr>
            <w:tcW w:w="20" w:type="dxa"/>
            <w:vAlign w:val="bottom"/>
            <w:tcBorders>
              <w:top w:val="single" w:sz="8" w:color="CCEEFF"/>
            </w:tcBorders>
          </w:tcPr>
          <w:p>
            <w:pPr>
              <w:spacing w:after="0"/>
              <w:rPr>
                <w:sz w:val="15"/>
                <w:szCs w:val="15"/>
                <w:color w:val="auto"/>
              </w:rPr>
            </w:pPr>
          </w:p>
        </w:tc>
        <w:tc>
          <w:tcPr>
            <w:tcW w:w="770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1640" w:type="dxa"/>
            <w:vAlign w:val="bottom"/>
            <w:tcBorders>
              <w:top w:val="single" w:sz="8" w:color="CCEEFF"/>
            </w:tcBorders>
            <w:gridSpan w:val="5"/>
          </w:tcPr>
          <w:p>
            <w:pPr>
              <w:spacing w:after="0"/>
              <w:rPr>
                <w:sz w:val="15"/>
                <w:szCs w:val="15"/>
                <w:color w:val="auto"/>
              </w:rPr>
            </w:pPr>
          </w:p>
        </w:tc>
        <w:tc>
          <w:tcPr>
            <w:tcW w:w="7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9"/>
          </w:tcPr>
          <w:p>
            <w:pPr>
              <w:jc w:val="center"/>
              <w:ind w:right="4260"/>
              <w:spacing w:after="0"/>
              <w:rPr>
                <w:sz w:val="20"/>
                <w:szCs w:val="20"/>
                <w:color w:val="auto"/>
              </w:rPr>
            </w:pPr>
            <w:r>
              <w:rPr>
                <w:rFonts w:ascii="Arial" w:cs="Arial" w:eastAsia="Arial" w:hAnsi="Arial"/>
                <w:sz w:val="18"/>
                <w:szCs w:val="18"/>
                <w:b w:val="1"/>
                <w:bCs w:val="1"/>
                <w:color w:val="auto"/>
                <w:w w:val="98"/>
              </w:rPr>
              <w:t>PART IV</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3"/>
          </w:tcPr>
          <w:p>
            <w:pPr>
              <w:spacing w:after="0" w:line="176" w:lineRule="exact"/>
              <w:rPr>
                <w:sz w:val="20"/>
                <w:szCs w:val="20"/>
                <w:color w:val="auto"/>
              </w:rPr>
            </w:pPr>
            <w:r>
              <w:rPr>
                <w:rFonts w:ascii="Arial" w:cs="Arial" w:eastAsia="Arial" w:hAnsi="Arial"/>
                <w:sz w:val="18"/>
                <w:szCs w:val="18"/>
                <w:color w:val="auto"/>
              </w:rPr>
              <w:t>ITEM 15.</w:t>
            </w:r>
          </w:p>
        </w:tc>
        <w:tc>
          <w:tcPr>
            <w:tcW w:w="20" w:type="dxa"/>
            <w:vAlign w:val="bottom"/>
          </w:tcPr>
          <w:p>
            <w:pPr>
              <w:spacing w:after="0"/>
              <w:rPr>
                <w:sz w:val="15"/>
                <w:szCs w:val="15"/>
                <w:color w:val="auto"/>
              </w:rPr>
            </w:pPr>
          </w:p>
        </w:tc>
        <w:tc>
          <w:tcPr>
            <w:tcW w:w="9340" w:type="dxa"/>
            <w:vAlign w:val="bottom"/>
            <w:gridSpan w:val="2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EXHIBITS, FINANCIAL STATEMENT SCHEDULES</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3"/>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3"/>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EXHIBIT INDEX</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6"/>
          </w:tcPr>
          <w:p>
            <w:pPr>
              <w:jc w:val="right"/>
              <w:ind w:right="210"/>
              <w:spacing w:after="0"/>
              <w:rPr>
                <w:sz w:val="20"/>
                <w:szCs w:val="20"/>
                <w:color w:val="auto"/>
              </w:rPr>
            </w:pPr>
            <w:r>
              <w:rPr>
                <w:rFonts w:ascii="Arial" w:cs="Arial" w:eastAsia="Arial" w:hAnsi="Arial"/>
                <w:sz w:val="14"/>
                <w:szCs w:val="14"/>
                <w:color w:val="auto"/>
              </w:rPr>
              <w:t>3</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INTRODUCTION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references to years 2012, 2011 and 2010, which represent our fiscal years ended August 3, 2012, July 29, 2011 and July 30, 2010, respectively. 2012 consisted of 53 weeks while 2011 and 2010 consisted of 52 weeks.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Statements/Risk Factors</w:t>
      </w:r>
    </w:p>
    <w:p>
      <w:pPr>
        <w:spacing w:after="0" w:line="25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the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and do not intend,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Cracker Barrel Old Country Store, Inc. (“we,” “us,” “our” or the "Company," which reference, unless the context requires otherwise, also includes our direct and indirect wholly-owned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20, 2011, the Company’s shareholders approved an agreement and plan of merger (the “merger agreement”) effecting an internal restructuring of the Company through the merger of Cracker Barrel Old Country Store, Inc. (“Holdco”) with and into CBOCS, Inc., a wholly-owned subsidiary of Holdco, effective as of December 23, 2011. At the effective time of the merger, the name of CBOCS, Inc., the surviving corporation in the merger, was changed to Cracker Barrel Old Country Store, Inc. Pursuant to the merger agreement, the outstanding shares of Holdco’s common stock, par value $0.01 per share, were converted into an equivalent number of shares of the surviving corporation’s common stock and were owned directly by the Company’s shareholders in the same proportion as their ownership of Holdco immediately prior to the merger. The Company’s common stock continues to be listed on The NASDAQ Global Select Market under the same ticker symbol, “CBRL.” The merger did not result in any material changes in the business, offices, assets, liabilities, obligations, net worth, directors, officers or employees of Holdco.</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website at crackerbarrel.com. We make available free of charge through our website our periodic and other reports filed with or furnished to the SEC pursuant to the Securities and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18, 2012, we operated 620 stores in 42 states. None of our stores is franchised. Our stores are intended to appeal to both the traveler and the local customer and we believe they have consistently been a consumer favorite. We are often recognized for the quality of our operations. A brand metrics survey completed by Technomic</w:t>
      </w:r>
      <w:r>
        <w:rPr>
          <w:rFonts w:ascii="Arial" w:cs="Arial" w:eastAsia="Arial" w:hAnsi="Arial"/>
          <w:sz w:val="18"/>
          <w:szCs w:val="18"/>
          <w:i w:val="1"/>
          <w:iCs w:val="1"/>
          <w:color w:val="auto"/>
        </w:rPr>
        <w:t>,</w:t>
      </w:r>
      <w:r>
        <w:rPr>
          <w:rFonts w:ascii="Arial" w:cs="Arial" w:eastAsia="Arial" w:hAnsi="Arial"/>
          <w:sz w:val="18"/>
          <w:szCs w:val="18"/>
          <w:color w:val="auto"/>
        </w:rPr>
        <w:t xml:space="preserve"> a leading fact-based consulting and research firm serving the food industry, found that consumers view Cracker Barrel as unique when compared to its competitors, and they rank Cracker Barrel as the leader in several categories, including menu variety, availability of healthy options, friendliness, value and quality. Most recently, in August 2012, we took first place in the Family-Dining category in the Consumer Picks survey sponsored by </w:t>
      </w:r>
      <w:r>
        <w:rPr>
          <w:rFonts w:ascii="Arial" w:cs="Arial" w:eastAsia="Arial" w:hAnsi="Arial"/>
          <w:sz w:val="18"/>
          <w:szCs w:val="18"/>
          <w:i w:val="1"/>
          <w:iCs w:val="1"/>
          <w:color w:val="auto"/>
        </w:rPr>
        <w:t>Nation’s Restaurant News.</w:t>
      </w:r>
      <w:r>
        <w:rPr>
          <w:rFonts w:ascii="Arial" w:cs="Arial" w:eastAsia="Arial" w:hAnsi="Arial"/>
          <w:sz w:val="18"/>
          <w:szCs w:val="18"/>
          <w:color w:val="auto"/>
        </w:rPr>
        <w:t xml:space="preserve"> Results showed Cracker Barrel had the highest ranking in several categories, including service, menu variety and likely to return.</w:t>
      </w:r>
    </w:p>
    <w:p>
      <w:pPr>
        <w:spacing w:after="0" w:line="2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u w:val="single" w:color="auto"/>
          <w:color w:val="auto"/>
        </w:rPr>
        <w:t>Store Format</w:t>
      </w:r>
      <w:r>
        <w:rPr>
          <w:rFonts w:ascii="Arial" w:cs="Arial" w:eastAsia="Arial" w:hAnsi="Arial"/>
          <w:sz w:val="17"/>
          <w:szCs w:val="17"/>
          <w:color w:val="auto"/>
        </w:rPr>
        <w:t>: The format of our stores consists of a trademarked rustic, old country-store design offering a full-service restaurant menu featuring home-style country food and a wide variety of decorative and functional items featuring rocking chairs, holiday and seasonal gifts and toys, apparel, cookware and foods. All stores are freestanding buildings. Store interiors are subdivided into a dining room occupying approximately 28% of the total interior store space, and a gift shop occupying approximately 22% of such space, with the balance primarily consisting of kitchen, storage and training areas. All stores have stone fireplaces and are decorated with antique-style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 The kitchens contain modern food preparation and storage equipment allowing for flexibility in menu variety and development.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Our restaurants, which generated approximately 80% of our total revenue in 2012, offer home-style country cooking featuring many of our own recipes that emphasize authenticity and quality. Except for Christmas day, when they are closed, and Christmas Eve when they close at 2:00 p.m., our restaurants serve breakfast, lunch and dinner daily between the hours of 6:00 a.m. and 10:00 p.m. (closing at 11:00 p.m. on Fridays and Saturdays). Menu items are moderately priced. The restaurants do not serve alcoholic beverages.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Breakfast items can be ordered at any time throughout the day and include juices, eggs, pancakes, bacon, country ham, sausage, grits, and a variety of biscuit specialties, such as gravy and biscuits and country ham and biscuits. Lunch and dinner items include country ham, chicken and dumplings, chicken fried chicken, meatloaf, country fried steak, pork chops, fish, steak, roast beef, vegetable plates, salads, sandwiches, soups and specialty items such as pinto beans and turnip greens.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has daily dinner features that showcase a popular dinner entrée for each day of the week. There is some variation in menu pricing and content in different regions of the country for both breakfast and lunch/dinner. The average check per guest during 2012 was $9.44, which represents a 2.4% increase over the prior year.</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price ranges for our meals in 2012:</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7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Prices Range</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Breakfast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 to $ 8.99</w:t>
            </w:r>
          </w:p>
        </w:tc>
      </w:tr>
      <w:tr>
        <w:trPr>
          <w:trHeight w:val="223"/>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Lunch and Dinner</w:t>
            </w:r>
          </w:p>
        </w:tc>
        <w:tc>
          <w:tcPr>
            <w:tcW w:w="2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$3.99 to $13.49</w:t>
            </w:r>
          </w:p>
        </w:tc>
      </w:tr>
      <w:tr>
        <w:trPr>
          <w:trHeight w:val="459"/>
        </w:trPr>
        <w:tc>
          <w:tcPr>
            <w:tcW w:w="7400" w:type="dxa"/>
            <w:vAlign w:val="bottom"/>
          </w:tcPr>
          <w:p>
            <w:pPr>
              <w:spacing w:after="0"/>
              <w:rPr>
                <w:sz w:val="20"/>
                <w:szCs w:val="20"/>
                <w:color w:val="auto"/>
              </w:rPr>
            </w:pPr>
            <w:r>
              <w:rPr>
                <w:rFonts w:ascii="Arial" w:cs="Arial" w:eastAsia="Arial" w:hAnsi="Arial"/>
                <w:sz w:val="18"/>
                <w:szCs w:val="18"/>
                <w:color w:val="auto"/>
              </w:rPr>
              <w:t>The following table highlights each day-part’s percentage of restaurant sales in 2012:</w:t>
            </w:r>
          </w:p>
        </w:tc>
        <w:tc>
          <w:tcPr>
            <w:tcW w:w="2560" w:type="dxa"/>
            <w:vAlign w:val="bottom"/>
          </w:tcPr>
          <w:p>
            <w:pPr>
              <w:spacing w:after="0"/>
              <w:rPr>
                <w:sz w:val="24"/>
                <w:szCs w:val="24"/>
                <w:color w:val="auto"/>
              </w:rPr>
            </w:pPr>
          </w:p>
        </w:tc>
      </w:tr>
      <w:tr>
        <w:trPr>
          <w:trHeight w:val="445"/>
        </w:trPr>
        <w:tc>
          <w:tcPr>
            <w:tcW w:w="7400" w:type="dxa"/>
            <w:vAlign w:val="bottom"/>
          </w:tcPr>
          <w:p>
            <w:pPr>
              <w:spacing w:after="0"/>
              <w:rPr>
                <w:sz w:val="24"/>
                <w:szCs w:val="24"/>
                <w:color w:val="auto"/>
              </w:rPr>
            </w:pP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Percentage of</w:t>
            </w:r>
          </w:p>
        </w:tc>
      </w:tr>
      <w:tr>
        <w:trPr>
          <w:trHeight w:val="216"/>
        </w:trPr>
        <w:tc>
          <w:tcPr>
            <w:tcW w:w="7400" w:type="dxa"/>
            <w:vAlign w:val="bottom"/>
          </w:tcPr>
          <w:p>
            <w:pPr>
              <w:spacing w:after="0"/>
              <w:rPr>
                <w:sz w:val="18"/>
                <w:szCs w:val="18"/>
                <w:color w:val="auto"/>
              </w:rPr>
            </w:pP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Restaurant</w:t>
            </w:r>
          </w:p>
        </w:tc>
      </w:tr>
      <w:tr>
        <w:trPr>
          <w:trHeight w:val="237"/>
        </w:trPr>
        <w:tc>
          <w:tcPr>
            <w:tcW w:w="7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Sales in 2012</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2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24%</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2560" w:type="dxa"/>
            <w:vAlign w:val="bottom"/>
          </w:tcPr>
          <w:p>
            <w:pPr>
              <w:jc w:val="right"/>
              <w:ind w:right="370"/>
              <w:spacing w:after="0"/>
              <w:rPr>
                <w:sz w:val="20"/>
                <w:szCs w:val="20"/>
                <w:color w:val="auto"/>
              </w:rPr>
            </w:pPr>
            <w:r>
              <w:rPr>
                <w:rFonts w:ascii="Arial" w:cs="Arial" w:eastAsia="Arial" w:hAnsi="Arial"/>
                <w:sz w:val="18"/>
                <w:szCs w:val="18"/>
                <w:color w:val="auto"/>
              </w:rPr>
              <w:t>38%</w:t>
            </w:r>
          </w:p>
        </w:tc>
      </w:tr>
      <w:tr>
        <w:trPr>
          <w:trHeight w:val="223"/>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Dinner (4:00 p.m. to close)</w:t>
            </w:r>
          </w:p>
        </w:tc>
        <w:tc>
          <w:tcPr>
            <w:tcW w:w="2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offer items for sale in our gift shops that are featured on, or related to, the restaurant menu, such as pies, cornbread mix, coffee, syrups and pancake mixes. Our gift shops, which generated approximately 20% of our total revenue in 2012, offer a wide variety of decorative and functional items such as rocking chairs, seasonal gifts, apparel, toys, music CD’s, cookware, old-fashioned-looking ceramics, figurines, a book-on-audio sale-and-exchange program and various other gift items, as well as various candies, preserves and other food items.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categories which accounted for the largest shares of our retail sales in 2012:</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4700" w:type="dxa"/>
            <w:vAlign w:val="bottom"/>
          </w:tcPr>
          <w:p>
            <w:pPr>
              <w:jc w:val="center"/>
              <w:ind w:left="3230"/>
              <w:spacing w:after="0"/>
              <w:rPr>
                <w:sz w:val="20"/>
                <w:szCs w:val="20"/>
                <w:color w:val="auto"/>
              </w:rPr>
            </w:pPr>
            <w:r>
              <w:rPr>
                <w:rFonts w:ascii="Arial" w:cs="Arial" w:eastAsia="Arial" w:hAnsi="Arial"/>
                <w:sz w:val="18"/>
                <w:szCs w:val="18"/>
                <w:color w:val="auto"/>
                <w:w w:val="87"/>
              </w:rPr>
              <w:t>Percentage of</w:t>
            </w:r>
          </w:p>
        </w:tc>
      </w:tr>
      <w:tr>
        <w:trPr>
          <w:trHeight w:val="216"/>
        </w:trPr>
        <w:tc>
          <w:tcPr>
            <w:tcW w:w="5260" w:type="dxa"/>
            <w:vAlign w:val="bottom"/>
          </w:tcPr>
          <w:p>
            <w:pPr>
              <w:spacing w:after="0"/>
              <w:rPr>
                <w:sz w:val="18"/>
                <w:szCs w:val="18"/>
                <w:color w:val="auto"/>
              </w:rPr>
            </w:pPr>
          </w:p>
        </w:tc>
        <w:tc>
          <w:tcPr>
            <w:tcW w:w="4700" w:type="dxa"/>
            <w:vAlign w:val="bottom"/>
          </w:tcPr>
          <w:p>
            <w:pPr>
              <w:jc w:val="center"/>
              <w:ind w:left="3250"/>
              <w:spacing w:after="0"/>
              <w:rPr>
                <w:sz w:val="20"/>
                <w:szCs w:val="20"/>
                <w:color w:val="auto"/>
              </w:rPr>
            </w:pPr>
            <w:r>
              <w:rPr>
                <w:rFonts w:ascii="Arial" w:cs="Arial" w:eastAsia="Arial" w:hAnsi="Arial"/>
                <w:sz w:val="18"/>
                <w:szCs w:val="18"/>
                <w:color w:val="auto"/>
                <w:w w:val="90"/>
              </w:rPr>
              <w:t>Retail Sales in</w:t>
            </w:r>
          </w:p>
        </w:tc>
      </w:tr>
      <w:tr>
        <w:trPr>
          <w:trHeight w:val="237"/>
        </w:trPr>
        <w:tc>
          <w:tcPr>
            <w:tcW w:w="526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89"/>
              </w:rPr>
              <w:t>2012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4700" w:type="dxa"/>
            <w:vAlign w:val="bottom"/>
            <w:shd w:val="clear" w:color="auto" w:fill="CCEEFF"/>
          </w:tcPr>
          <w:p>
            <w:pPr>
              <w:jc w:val="center"/>
              <w:ind w:left="3330"/>
              <w:spacing w:after="0"/>
              <w:rPr>
                <w:sz w:val="20"/>
                <w:szCs w:val="20"/>
                <w:color w:val="auto"/>
              </w:rPr>
            </w:pPr>
            <w:r>
              <w:rPr>
                <w:rFonts w:ascii="Arial" w:cs="Arial" w:eastAsia="Arial" w:hAnsi="Arial"/>
                <w:sz w:val="18"/>
                <w:szCs w:val="18"/>
                <w:color w:val="auto"/>
                <w:w w:val="88"/>
              </w:rPr>
              <w:t>27%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Home</w:t>
            </w:r>
          </w:p>
        </w:tc>
        <w:tc>
          <w:tcPr>
            <w:tcW w:w="4700" w:type="dxa"/>
            <w:vAlign w:val="bottom"/>
          </w:tcPr>
          <w:p>
            <w:pPr>
              <w:jc w:val="center"/>
              <w:ind w:left="3330"/>
              <w:spacing w:after="0"/>
              <w:rPr>
                <w:sz w:val="20"/>
                <w:szCs w:val="20"/>
                <w:color w:val="auto"/>
              </w:rPr>
            </w:pPr>
            <w:r>
              <w:rPr>
                <w:rFonts w:ascii="Arial" w:cs="Arial" w:eastAsia="Arial" w:hAnsi="Arial"/>
                <w:sz w:val="18"/>
                <w:szCs w:val="18"/>
                <w:color w:val="auto"/>
                <w:w w:val="88"/>
              </w:rPr>
              <w:t>19%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Food</w:t>
            </w:r>
          </w:p>
        </w:tc>
        <w:tc>
          <w:tcPr>
            <w:tcW w:w="4700" w:type="dxa"/>
            <w:vAlign w:val="bottom"/>
            <w:shd w:val="clear" w:color="auto" w:fill="CCEEFF"/>
          </w:tcPr>
          <w:p>
            <w:pPr>
              <w:jc w:val="center"/>
              <w:ind w:left="3330"/>
              <w:spacing w:after="0"/>
              <w:rPr>
                <w:sz w:val="20"/>
                <w:szCs w:val="20"/>
                <w:color w:val="auto"/>
              </w:rPr>
            </w:pPr>
            <w:r>
              <w:rPr>
                <w:rFonts w:ascii="Arial" w:cs="Arial" w:eastAsia="Arial" w:hAnsi="Arial"/>
                <w:sz w:val="18"/>
                <w:szCs w:val="18"/>
                <w:color w:val="auto"/>
                <w:w w:val="88"/>
              </w:rPr>
              <w:t>18%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Toys</w:t>
            </w:r>
          </w:p>
        </w:tc>
        <w:tc>
          <w:tcPr>
            <w:tcW w:w="4700" w:type="dxa"/>
            <w:vAlign w:val="bottom"/>
          </w:tcPr>
          <w:p>
            <w:pPr>
              <w:jc w:val="center"/>
              <w:ind w:left="3330"/>
              <w:spacing w:after="0"/>
              <w:rPr>
                <w:sz w:val="20"/>
                <w:szCs w:val="20"/>
                <w:color w:val="auto"/>
              </w:rPr>
            </w:pPr>
            <w:r>
              <w:rPr>
                <w:rFonts w:ascii="Arial" w:cs="Arial" w:eastAsia="Arial" w:hAnsi="Arial"/>
                <w:sz w:val="18"/>
                <w:szCs w:val="18"/>
                <w:color w:val="auto"/>
                <w:w w:val="88"/>
              </w:rPr>
              <w:t>13%</w:t>
            </w:r>
          </w:p>
        </w:tc>
      </w:tr>
      <w:tr>
        <w:trPr>
          <w:trHeight w:val="223"/>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Fragrance</w:t>
            </w:r>
          </w:p>
        </w:tc>
        <w:tc>
          <w:tcPr>
            <w:tcW w:w="4700" w:type="dxa"/>
            <w:vAlign w:val="bottom"/>
            <w:tcBorders>
              <w:bottom w:val="single" w:sz="8" w:color="auto"/>
            </w:tcBorders>
            <w:shd w:val="clear" w:color="auto" w:fill="CCEEFF"/>
          </w:tcPr>
          <w:p>
            <w:pPr>
              <w:jc w:val="center"/>
              <w:ind w:left="3330"/>
              <w:spacing w:after="0"/>
              <w:rPr>
                <w:sz w:val="20"/>
                <w:szCs w:val="20"/>
                <w:color w:val="auto"/>
              </w:rPr>
            </w:pPr>
            <w:r>
              <w:rPr>
                <w:rFonts w:ascii="Arial" w:cs="Arial" w:eastAsia="Arial" w:hAnsi="Arial"/>
                <w:sz w:val="18"/>
                <w:szCs w:val="18"/>
                <w:color w:val="auto"/>
                <w:w w:val="92"/>
              </w:rPr>
              <w:t>8%</w:t>
            </w: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typical gift shop features approximately 3,600 stock keeping units. Many of the food items are sold under the “Cracker Barrel Old Country Store” brand name. We believe that we achieve high retail sales per square foot of retail selling space (approximately $411 per square foot in 2012 on a 53-week basis) as compared to mall stores both by offering appealing merchandise and by having a significant source of customers who are typically restaurant guests. We served an average of approximately 6,700 restaurant guests per week in a typical store in 2012.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u w:val="single" w:color="auto"/>
          <w:color w:val="auto"/>
        </w:rPr>
        <w:t>Product Development and Merchandising</w:t>
      </w:r>
      <w:r>
        <w:rPr>
          <w:rFonts w:ascii="Arial" w:cs="Arial" w:eastAsia="Arial" w:hAnsi="Arial"/>
          <w:sz w:val="16"/>
          <w:szCs w:val="16"/>
          <w:color w:val="auto"/>
        </w:rPr>
        <w:t>: We maintain a product development department, which develops new and improved menu items either in response to shifts in customer preferences or to create customer interest. We utilize a formal development and testing process which includes guest research and in-store market tests to ensure products brought to market have a greater likelihood of meeting our goals. Menu 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We follow a core and seasonal theme approach to meet the expectations of our guests while also providing new offerings to maintain high purchase levels. Our music program serves to deliver sales, provides a promotional platform for us, and, deepens and extends our country lifestyle associations. Some of the most recent additions to our exclusive music program include Ronnie Dunn, Dolly Parton Live and Edens Edge.</w:t>
      </w:r>
    </w:p>
    <w:p>
      <w:pPr>
        <w:spacing w:after="0" w:line="1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Store Management and Quality Controls</w:t>
      </w:r>
      <w:r>
        <w:rPr>
          <w:rFonts w:ascii="Arial" w:cs="Arial" w:eastAsia="Arial" w:hAnsi="Arial"/>
          <w:sz w:val="16"/>
          <w:szCs w:val="16"/>
          <w:color w:val="auto"/>
        </w:rPr>
        <w:t>: Our store management, typically consisting, at each store, of one general manager, four associate managers and one retail manager, is responsible for an average of 102 employees on two shifts. The relative complexity of operating one of our stores requires an effective management team at the individual store level. To motivate store managers to improve sales and operational performance, we maintain a bonus plan designed to provide store managers with an opportunity to share in the profits of their store. The bonus plan also rewards managers who achieve specific operational targets. We also employ district managers to support individual store managers and regional vice presidents to support individual district managers. Each restaurant district manager oversees seven to nine individual stores and each restaurant regional vice president supports eight to ten district managers. Each retail district manager oversees eleven to fifteen individual stores and each retail regional vice president supports nine to eleven district managers. Each store is assigned to both a restaurant and a retail district manager and each district is assigned to both a restaurant and a retail regional vice president. The various levels of restaurant and retail management work closely together to allow our stores to deliver a unique, integrated guest experience.</w:t>
      </w:r>
    </w:p>
    <w:p>
      <w:pPr>
        <w:spacing w:after="0" w:line="19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ensure that individual stores are operated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testing designed to identify those applicants most likely to be best suited to manage store operations. Candidates who successfully pass this screening process are then required to complete a training program. The restaurant manager training program consists of five weeks of in-store training and three weeks of training at our home office. The retail manager training program consists of three weeks of in-store training and two weeks of training at our home office. Our training programs provide us with managers who can effectively demonstrate the ability to deliver a great guest experience through the leadership and execution of our operating systems. This program allows new managers the opportunity to become familiar with our operations, culture, management objectives, controls and evaluation criteria before assuming management responsibility. We provide our managers and hourly employees with ongoing training through various development courses taught through a blended learning approach, including a mix of hands-on, classroom, written and Internet-based training. Each store is equipped with dedicated training computers for the Internet-based computer-assisted instruction programs. Additionally, each store typically has an employee training coordinator who oversees the training of the store’s hourly employees.</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Purchasing and Distribution:</w:t>
      </w:r>
      <w:r>
        <w:rPr>
          <w:rFonts w:ascii="Arial" w:cs="Arial" w:eastAsia="Arial" w:hAnsi="Arial"/>
          <w:sz w:val="18"/>
          <w:szCs w:val="18"/>
          <w:color w:val="auto"/>
        </w:rPr>
        <w:t xml:space="preserve"> We negotiate directly with food vendors as to specification, price and other material terms of most food purchases. We have a contract with an unaffiliated distributor with custom distribution centers in Lebanon, Tennessee; McKinney, Texas; Gainesville, Florida; Elkton, Maryland; Kendalville, Indiana; and Ft. Mill, South Carolina. We purchase the majority of our food products and restaurant supplies on a cost-plus basis through this unaffiliated distributor. The distributor is responsible for placing food orders, warehousing and delivering food products to our stores. Deliveries are generally made once per week to the individual stores.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purchasing expense in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480" w:type="dxa"/>
            <w:vAlign w:val="bottom"/>
          </w:tcPr>
          <w:p>
            <w:pPr>
              <w:jc w:val="center"/>
              <w:ind w:left="4932"/>
              <w:spacing w:after="0"/>
              <w:rPr>
                <w:sz w:val="20"/>
                <w:szCs w:val="20"/>
                <w:color w:val="auto"/>
              </w:rPr>
            </w:pPr>
            <w:r>
              <w:rPr>
                <w:rFonts w:ascii="Arial" w:cs="Arial" w:eastAsia="Arial" w:hAnsi="Arial"/>
                <w:sz w:val="18"/>
                <w:szCs w:val="18"/>
                <w:color w:val="auto"/>
                <w:w w:val="87"/>
              </w:rPr>
              <w:t>Percentage of</w:t>
            </w:r>
          </w:p>
        </w:tc>
        <w:tc>
          <w:tcPr>
            <w:tcW w:w="1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480" w:type="dxa"/>
            <w:vAlign w:val="bottom"/>
          </w:tcPr>
          <w:p>
            <w:pPr>
              <w:jc w:val="center"/>
              <w:ind w:left="4932"/>
              <w:spacing w:after="0"/>
              <w:rPr>
                <w:sz w:val="20"/>
                <w:szCs w:val="20"/>
                <w:color w:val="auto"/>
              </w:rPr>
            </w:pPr>
            <w:r>
              <w:rPr>
                <w:rFonts w:ascii="Arial" w:cs="Arial" w:eastAsia="Arial" w:hAnsi="Arial"/>
                <w:sz w:val="18"/>
                <w:szCs w:val="18"/>
                <w:color w:val="auto"/>
                <w:w w:val="86"/>
              </w:rPr>
              <w:t>Food Purchases</w:t>
            </w:r>
          </w:p>
        </w:tc>
        <w:tc>
          <w:tcPr>
            <w:tcW w:w="112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jc w:val="center"/>
              <w:ind w:left="4972"/>
              <w:spacing w:after="0"/>
              <w:rPr>
                <w:sz w:val="20"/>
                <w:szCs w:val="20"/>
                <w:color w:val="auto"/>
              </w:rPr>
            </w:pPr>
            <w:r>
              <w:rPr>
                <w:rFonts w:ascii="Arial" w:cs="Arial" w:eastAsia="Arial" w:hAnsi="Arial"/>
                <w:sz w:val="18"/>
                <w:szCs w:val="18"/>
                <w:color w:val="auto"/>
                <w:w w:val="91"/>
              </w:rPr>
              <w:t>in 2012</w:t>
            </w:r>
          </w:p>
        </w:tc>
        <w:tc>
          <w:tcPr>
            <w:tcW w:w="11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6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Dairy (including eggs)</w:t>
            </w:r>
          </w:p>
        </w:tc>
        <w:tc>
          <w:tcPr>
            <w:tcW w:w="6480" w:type="dxa"/>
            <w:vAlign w:val="bottom"/>
          </w:tcPr>
          <w:p>
            <w:pPr>
              <w:jc w:val="right"/>
              <w:ind w:right="432"/>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6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Poultry</w:t>
            </w:r>
          </w:p>
        </w:tc>
        <w:tc>
          <w:tcPr>
            <w:tcW w:w="6480" w:type="dxa"/>
            <w:vAlign w:val="bottom"/>
          </w:tcPr>
          <w:p>
            <w:pPr>
              <w:jc w:val="right"/>
              <w:ind w:right="432"/>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Pork</w:t>
            </w:r>
          </w:p>
        </w:tc>
        <w:tc>
          <w:tcPr>
            <w:tcW w:w="64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9"/>
                <w:szCs w:val="19"/>
                <w:color w:val="auto"/>
              </w:rPr>
            </w:pPr>
          </w:p>
        </w:tc>
      </w:tr>
      <w:tr>
        <w:trPr>
          <w:trHeight w:val="555"/>
        </w:trPr>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80" w:type="dxa"/>
            <w:vAlign w:val="bottom"/>
          </w:tcPr>
          <w:p>
            <w:pPr>
              <w:jc w:val="right"/>
              <w:ind w:right="4472"/>
              <w:spacing w:after="0"/>
              <w:rPr>
                <w:sz w:val="20"/>
                <w:szCs w:val="20"/>
                <w:color w:val="auto"/>
              </w:rPr>
            </w:pPr>
            <w:r>
              <w:rPr>
                <w:rFonts w:ascii="Arial" w:cs="Arial" w:eastAsia="Arial" w:hAnsi="Arial"/>
                <w:sz w:val="14"/>
                <w:szCs w:val="14"/>
                <w:color w:val="auto"/>
              </w:rPr>
              <w:t>7</w:t>
            </w:r>
          </w:p>
        </w:tc>
        <w:tc>
          <w:tcPr>
            <w:tcW w:w="1120" w:type="dxa"/>
            <w:vAlign w:val="bottom"/>
          </w:tcPr>
          <w:p>
            <w:pPr>
              <w:spacing w:after="0"/>
              <w:rPr>
                <w:sz w:val="24"/>
                <w:szCs w:val="24"/>
                <w:color w:val="auto"/>
              </w:rPr>
            </w:pPr>
          </w:p>
        </w:tc>
      </w:tr>
      <w:tr>
        <w:trPr>
          <w:trHeight w:val="103"/>
        </w:trPr>
        <w:tc>
          <w:tcPr>
            <w:tcW w:w="340" w:type="dxa"/>
            <w:vAlign w:val="bottom"/>
            <w:tcBorders>
              <w:bottom w:val="single" w:sz="8" w:color="808080"/>
            </w:tcBorders>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64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these categories includes several individual items. The single food item within these categories that accounted for the largest share of our food purchasing expense in 2012 was chicken tenderloin at approximately 5% of food purchases. Dairy, fruits and vegetables are purchased through numerous vendors including local vendors. Eggs are purchased through two vendors. We purchase our beef through ten vendors and our poultry and pork each through nine vendors. Should any food items from a particular vendor become unavailable, we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2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purchase the majority of our retail items (approximately 80% in 2012) directly from domestic and international vendors and warehouse them at a retail distribution center in Lebanon. The distribution center, which we lease, is an approximately 370,000 square foot warehouse facility and includes an additional approximate 14,000 square feet of office and maintenance space.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our stores. Approximately 38% of our 2012 retail purchases were directly from vendors in the People’s Republic of China. We have relationships with foreign buying agencies to source purchased product, monitor quality control and supplement product development.</w:t>
      </w:r>
    </w:p>
    <w:p>
      <w:pPr>
        <w:spacing w:after="0" w:line="2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auto"/>
        </w:rPr>
        <w:t>Operational and Inventory Controls</w:t>
      </w:r>
      <w:r>
        <w:rPr>
          <w:rFonts w:ascii="Arial" w:cs="Arial" w:eastAsia="Arial" w:hAnsi="Arial"/>
          <w:sz w:val="17"/>
          <w:szCs w:val="17"/>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Guest Satisfaction</w:t>
      </w:r>
      <w:r>
        <w:rPr>
          <w:rFonts w:ascii="Arial" w:cs="Arial" w:eastAsia="Arial" w:hAnsi="Arial"/>
          <w:sz w:val="17"/>
          <w:szCs w:val="17"/>
          <w:color w:val="auto"/>
        </w:rPr>
        <w:t>: We are committed to providing our guests a home-style, country-cooked meal, and a variety of retail merchandise served and sold with genuine hospitality in a comfortable environment, in a way that evokes memories of the past.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regional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an interactive voice response (“IVR”) system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in how to gather information and investigate and resolve customer concerns. This is accompanied by comprehensive training for all store employees on our public accommodations policy and commitment to "pleasing people."</w:t>
      </w:r>
    </w:p>
    <w:p>
      <w:pPr>
        <w:spacing w:after="0" w:line="2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u w:val="single" w:color="auto"/>
          <w:color w:val="auto"/>
        </w:rPr>
        <w:t>Marketing</w:t>
      </w:r>
      <w:r>
        <w:rPr>
          <w:rFonts w:ascii="Arial" w:cs="Arial" w:eastAsia="Arial" w:hAnsi="Arial"/>
          <w:sz w:val="17"/>
          <w:szCs w:val="17"/>
          <w:color w:val="auto"/>
        </w:rPr>
        <w:t>: We employ multiple mediums to reach and engage our guests. Outdoor advertising (i.e., billboards and state department of transportation signs) is the largest advertising vehicle we use to reach our traveling and local guests. In 2012, we had over 1,600 billboards and this expenditure accounted for 49% of our total advertising spend. We believe we are among the top billboard advertisers in the restaurant industry. Broadcast media has taken on a larger role for our company as we look to build consideration for local visits with two flights of broadcast media each year during our key seasonal periods. Each flight includes national cable television and spot radio (in markets covering close to 70% of our stores). We continue to increase our efforts in the digital space to drive preference and engagement with the brand. We now have properties on multiple social media sites, including a customer relationship management program, an e-commerce platform and our brand site. Our exclusive music program drives awareness for the brand and builds cultural relevance and affinity with our guests. We continue to have multiple releases each year with specific promotional support for each release. In 2013, we plan to spend approximately 2.2% of our revenues on advertising which is comparable to our spending in the prior year. Outdoor advertising is expected to represent approximately 50% of advertising expenditures in 2013.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STORE DEVELOPMENT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opened 13 new stores in 2012. We plan to open 12 new stores during 2013, four of which were open as of September 18, 2012.</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stores are located primarily along interstate highways; however, as of September 18, 2012, 99 (or approximately 16%) of our stores are located near "tourist destinations" or are considered “off-interstate” stores. In 2013, we intend to open approximately half of our new stores along interstate highways as compared to seven in 2012. We believe we should pursue development of both interstate locations and off-interstate locations to capitalize on the strength of our brand associated with travelers on the interstate highway system and by locating in certain local markets where our guests live and work. We have identified approximately 200 to 300 trade areas for potential future development with characteristics that appear to be consistent with those believed to be necessary to support successful stores.</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the 620 stores open as of September 18, 2012, we own the land and buildings for 409, while the other 211 properties are either ground leases or ground and building leases. Land costs for stores opened during 2012 were in the range of $1,000 to $1,400 per site if owned. Building, site improvement, furniture, equipment and related development costs for stores opened during 2012 were in the range of $2,400 to $3,100 per store. Pre-opening costs were in the range of $270 to $360 per store in 2012.</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store prototype is approximately 8,900 square feet including aprroximately 2,100 square feet of retail selling space and has dining room seating for 177 guests. Our capital investment in new stores may differ in the future due to building design specifications, site location and site characteristics. In 2013, we plan to open 12 stores of approximately 9,000 square feet with seating for 177 guests.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August 3, 2012, we employed approximately 70,000 people, of whom 458 were in advisory and supervisory capacities, 3,674 were in-store management positions and 38 were officers. Many store personnel are employed on a part-time basis. None of our employees are represented by any union and management considers its employee relations to be good.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restaurant industry is intensely competitive with respect to the type and quality of food, price, service, location, personnel, concept, attractiveness of facilities and effectiveness of advertising and marketing. We compete with a significant number of national and regional restaurant chains, some of which have greater resources than us, as well as locally owned restaurants. The restaurant business is often affected by changes in consumer taste; national, regional or local economic conditions; demographic trends; traffic patterns; the type, number and location of competing restaurants; and consumers’ discretionary purchasing power. In addition, factors such as inflation, increased food, labor and benefits costs and the lack of experienced management and hourly employees may adversely affect the restaurant industry in general and our restaurants in particular.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RAW MATERIALS SOURCES AND AVAILABILITY</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Essential restaurant supplies and raw materials are generally available from several sources. However, in our stores, certain branded items are single source products or product lines. Generally, we are not dependent upon single sources of supplies or raw materials.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them should they occur.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Federal, state and local environmental laws and regulations have not historically had a significant impact on our operations; however, we cannot predict the effect of possible future environmental legislation of regulations on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research and development is important to us, these expenditures have not been material due to the nature of the restaurant and retail industries.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SEASONAL ASPECTS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Historically, our profits have been lower in the first and third fiscal quarters and higher in the second and fourth fiscal quarters. We attribute these variations primarily to the Christmas holiday shopping season and the summer vacation and travel season. Our gift shop sales, which are made substantially to our restaurant guests, historically have been highest in our second quarter, which includes the Christmas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restaurant industry, substantially all sales are either for cash or third-party credit card. Therefore, like many other restaurant companies, we are able to, and often do operate with negative working capital. Restaurant inventories purchased through our principal food distributor are on terms of net zero days, while restaurant inventories purchased locally generally are financed through normal trade credit. Because of our gift shop, which has a lower product turnover than the restaurant,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Discretionary consumer spending, which is critical to our success, is influenced by general economic conditions and the availability of discretionary income. The global economic crisis has reduced consumer confidence and affected consumers’ ability or desire to spend disposable income. A continued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credit facility and our derivative and other contracts, increasing the cost of goods to us, and other adverse consequences which we are unable to fully anticipate.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affect on our financial condition and results of operations.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the economic conditions that have adversely affected the restaurant and retail industries, and the capital, credit and real estate markets generally or us in particular, will improve, or even remain static, in 2013, or thereafter, in which case we could experience declines in revenues and profits, and could face capital and liquidity constraints or other business challenges.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would be adversely affected.</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and we face many well-established competitors. We compete within each market with national and regional restaurant chains and locally-owned restaurants. Competition from other regional or national restaurant chains typically represents the more important competitive influence, principally because of their significant marketing and financial resources. However, we also face growing competition as a result of the trend toward convergence in grocery, deli, retail and restaurant services, particularly in the supermarket industry. Moreover, our competitors can harm our business even if they are not successful in their own operations by taking away customers or employees through aggressive and costly advertising, promotions or hiring practices. We compete primarily on the quality, variety and value perception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and availability of food, ingredients, merchandise and utilities used by our stores could adversely affect our revenues and results of operations.</w:t>
      </w:r>
    </w:p>
    <w:p>
      <w:pPr>
        <w:spacing w:after="0" w:line="2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utilities and other related costs over which we have little control. Fluctuations in economic conditions, weather, demand and other factors affect the availability, quality and cost of the ingredients and products that we buy. Some climatologists predict that the long-term effects of climate change may result in more severe, volatile weather, which could result in greater volatility in product supply and price. Furthermore, many of the products that we use and their costs are interrelated. The increased global demand for corn, wheat and dairy products has increased feed costs for poultry and livestock. The effect of, introduction of, or changes to tariffs or exchange rates on imported retail products or food products could increase our costs and possibly affect the supply of those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moderately-priced product, we may not seek to or be able to pass along price increases to our customers sufficient to completely offset cost increases.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attracting and retaining qualified employees while also controlling labor costs.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risks are heightened because of our single retail distribution facility; in addition, our reliance on certain significant vendors, particularly for foreign-sourced retail products, subjects us to numerous risks, including possible interruptions in supply, which could adversely affect our business.</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majority of our retail inventory is shipped into, stored at and shipped out of a single warehouse located in Lebanon, Tennessee. All of the decorative fixtures used in our stores are shipped into, stored at and shipped out of another single warehouse also located in Lebanon, Tennessee. A natural disaster affecting either of these warehouses could materially adversely affect our business.</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 source suppliers subjects us to the possible risks of shortages, interruptions and price fluctuations, and possible litigation when we change vendors because of performance issues. The global economic slowdown continues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currency exchange rates;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exchange control regulations;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import/export restrictions and product testing regulations;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political and economic instability;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due to labor stoppages, strikes or slowdowns, or other disruptions, involving our vendors or the transportation and handling industries; and</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trade barriers and other trade restrictions by the U.S. government on products or components shipped from foreign sources.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Possible shortages or interruptions in the supply of food items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product assortment, that store may experience a significant reduction in revenue during the time affected by the shortage or thereafter as a result of our customers changing their dining and shopping habits.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plans depend significantly on initiatives designed to improve the efficiencies, costs and effectiveness of our operations, and failure to achieve or sustain these plans could adversely affect our results of operations.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had, and expect to continue to have, initiatives in various stages of testing, evaluation and implementation, upon which we expect to rely to improve our results of operations and financial condition.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substantial indebtedness, which may decrease our flexibility, increase our borrowing costs and adversely affect our liquidity.</w:t>
      </w:r>
    </w:p>
    <w:p>
      <w:pPr>
        <w:spacing w:after="0" w:line="2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consolidated indebtedness and our leverage ratio may have the effect, among other things, of reducing our flexibility to respond to changing business and economic conditions and increasing borrowing costs.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level of indebtedness can have important consequences. For example, it may:</w:t>
      </w:r>
    </w:p>
    <w:p>
      <w:pPr>
        <w:spacing w:after="0" w:line="252" w:lineRule="exact"/>
        <w:rPr>
          <w:sz w:val="20"/>
          <w:szCs w:val="20"/>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a substantial portion of our cash flow from operations for the payment of principal of, and interest on, our indebtedness and reduce our ability to use our cash flow to fund working capital, capital expenditures and general corporate requirements or to pay dividends;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to adjust to changing business and market conditions and make us more vulnerable to a downturn in general economic conditions as compared to our competitors.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are various financial covenants and other restrictions in our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make scheduled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our ongoing results of operations.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advertising is heavily dependent on billboards, which are highly regulated; our evolving marketing strategy poses a risk of increased advertising and marketing costs that could adversely affect our results of operations.</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affect our visibility and ability to attract customers.</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as we continue to build stores away from our traditional interstate locations and evolve our marketing strategy, we are increasingly utilizing what others might consider more traditional methods of advertising, such as national cable television, radio, direct mail, newspaper, and online and digital media. While we use these types of advertising from time to time,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outsource certain business processes to third-party vendors that subject us to risks, including disruptions in business and increased costs.</w:t>
      </w:r>
    </w:p>
    <w:p>
      <w:pPr>
        <w:spacing w:after="0" w:line="2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Some of our business processes are currently outsourced to third parties. Such processes include distribution of food and retail products to our store locations, credit card authorization and processing, gift card tracking and authorization, health care and workers’ compensation insurance claims processing, tax credit documentation and approval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somewhat seasonal and also can be affected by extreme weather conditions and natural disasters.</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Historically, our highest sales and profits have occurred during the second and fourth quarters, which include the Christmas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1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Historically, a significant means of achieving our growth objectives has been opening and operating new and profitable stores. This strategy involves numerous risks, and we may not be able to achieve our growth objectives – that is, we may not be able to open all of our planned new stores and the new stores that we open may not be profitable or as profitable as our existing stores. New stores typically experience an adjustment period before sales levels and operating margins normalize, and even sales at successful newly-opened stores generally do not make a significant contribution to profitability in their initial months of operation. The opening of new stores can also have an adverse effect on sales levels at existing stores.</w:t>
      </w:r>
    </w:p>
    <w:p>
      <w:pPr>
        <w:spacing w:after="0" w:line="2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significant risk in executing our business strategy is locating and securing an adequate supply of suitable new store sites. Competition for suitable store sites and operating personnel in our target markets is intense, and we cannot assure you that we will be able to find sufficient suitable locations, or negotiate suitable purchase or lease terms, for our planned expansion in any future period. The ongoing slowdown in commercial development activity has limited the availability of attractive sites for new stores, and we believe this slowdown will continue for an extended period of time. Delays or failures in opening new stores, or achieving lower than expected sales in new stores, or drawing a greater than expected proportion of sales in new stores from existing stores, could materially adversely affect our business strategy. Our ability to open new stores successfully also depends on numerous other factors, some of which are beyond our control, including, among other items discussed in other risk factors, the following:</w:t>
      </w:r>
    </w:p>
    <w:p>
      <w:pPr>
        <w:spacing w:after="0" w:line="20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control construction and development costs of new stores;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the local, state or other regulatory, zoning and licensing processes in a timely manner;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appropriately train employees and staff the stores;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acceptance of our stores in new markets;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construction delays related to the opening of any facility;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required governmental approvals and permits in a timely manner, or at all.</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assure you that we will be able to respond on a timely basis to all of the changing demands that our store expansion imposes on management and on our existing infrastructure, nor that we will be able to hire or retain the necessary management and operating personnel. Our existing store management systems, financial and management controls and information systems may not be adequate to support our planned expansion. Our ability to manage our growth effectively will require us to continue to enhance these systems, procedures and controls and to locate, hire, train and retain management and operating personnel.</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store locations are affected by local conditions that could change and adversely affect the carrying value of those locations.</w:t>
      </w:r>
    </w:p>
    <w:p>
      <w:pPr>
        <w:spacing w:after="0" w:line="2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significant adverse effect on our revenues and results of operations as well as the carrying value of our individual locations.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maximize or to successfully assert our intellectual property rights could adversely affect our business and results of operations.</w:t>
      </w:r>
    </w:p>
    <w:p>
      <w:pPr>
        <w:spacing w:after="0" w:line="2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subject to the risk of litigation by employees, consumers, suppliers, shareholders or others through private actions, class actions, administrative proceedings, regulatory actions or other litigation.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Even if a claim is unsuccessful or is not fully pursued, the negative publicity surrounding any negative allegation regarding our company, our business or our products could adversely affect our reputation with existing and potential customers. As a result, litigation may adversely affect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publicity could harm our business</w:t>
      </w:r>
      <w:r>
        <w:rPr>
          <w:rFonts w:ascii="Arial" w:cs="Arial" w:eastAsia="Arial" w:hAnsi="Arial"/>
          <w:sz w:val="18"/>
          <w:szCs w:val="18"/>
          <w:i w:val="1"/>
          <w:iCs w:val="1"/>
          <w:color w:val="auto"/>
        </w:rPr>
        <w:t>.</w:t>
      </w:r>
    </w:p>
    <w:p>
      <w:pPr>
        <w:spacing w:after="0" w:line="252"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a limited number of our stores, or only to a single store, could adversely affect public perception of the entire brand. Adverse publicity and its effect on overall consumer perceptions of food safety or customer service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executives or difficulties in recruiting and retaining qualified personnel could jeopardize our future growth and success</w:t>
      </w:r>
      <w:r>
        <w:rPr>
          <w:rFonts w:ascii="Arial" w:cs="Arial" w:eastAsia="Arial" w:hAnsi="Arial"/>
          <w:sz w:val="17"/>
          <w:szCs w:val="17"/>
          <w:color w:val="auto"/>
        </w:rPr>
        <w:t>.</w:t>
      </w:r>
    </w:p>
    <w:p>
      <w:pPr>
        <w:spacing w:after="0" w:line="2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retain senior management or other key personnel or to attract key personnel, our succession planning and operations could be materially and adversely affected. We must continue to recruit, retain and motivate management and other employees sufficient to maintain our current business and support our projected growth. A loss of key employees or a significant shortage of high quality store employees could jeopardize our ability to meet our business goals.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number of risks relating to federal, state and local regulation of our business including the areas of health care reform and environmental matters, and an insufficient or ineffective response to government regulation may increase our costs and decrease our profit margins.</w:t>
      </w:r>
    </w:p>
    <w:p>
      <w:pPr>
        <w:spacing w:after="0" w:line="1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restaurant industry is subject to extensive federal, state and local laws and regulations, including those relating to food safety, minimum wage and other labor issues including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19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2010, the President signed the Patient Protection and Affordable Care Act and the Health Care and Education Affordability Reconciliation Act of 2010 and, in June 2012, the U.S. Supreme Court upheld the constitutionality of the law except for certain parts related to the expansion of Medicaid. Although we cannot predict with certainty the financial and operational impacts the law will have on us, we expect that our expenses related to employee health benefits will increase over the long term as a result of the law. Any such increases could adversely affect our business, financial condition and results of operations. The law requires restaurant companies such as ours to disclose calorie information on their menus. We do not expect to incur any material costs from compliance with this provision of the law, but cannot anticipate the changes in guest behavior that could result from the implementation of this provision, which could have an adverse effect on our sales or results of operations.</w:t>
      </w:r>
    </w:p>
    <w:p>
      <w:pPr>
        <w:spacing w:after="0" w:line="20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There also has been increasing focus by U.S. and overseas governmental authorities on environmental matters, such as climate change, the reduction of greenhouse gases and water consumption. This increased focus may lead to new initiatives directed at regulating an as yet unspecified array of environmental matters, such as the emission of greenhouse gases, where “cap and trade” initiatives could effectively impose a tax on carbon emissions.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programs may expose us to unexpected costs.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Historically, our insurance coverage has reflected deductibles, self-insured retentions, limits of liability and similar provisions that we believe prudent based on the dispersion of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 which could have a material adverse effect on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material disruption in our information technology and telecommunication systems could adversely affect our business and results of operations.</w:t>
      </w:r>
    </w:p>
    <w:p>
      <w:pPr>
        <w:spacing w:after="0" w:line="2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extensively on our information technology and telecommunication systems to process transactions, summarize results and manage our business and our supply chain. Our information technology and telecommunication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privacy breach could adversely affect our business.</w:t>
      </w:r>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protection of customer, employee and company data is critical to us. The regulatory environment surrounding information security and privacy is increasingly demanding, with the frequent imposition of new and constantly changing requirements. Compliance with these requirements may result in cost increases due to necessary systems changes and the development of new administrative processes. In addition, customers and employees have a high expectation that we will adequately protect their personal information. For example, in connection with credit card sales, we transmit confidential credit card information. Third parties may have the technology or know-how to breach the security of this customer information, and our security measures and those of our technology vendors may not effectively prohibit others from obtaining improper access to this information. If we fail to comply with the laws and regulations regarding privacy and security or experience a security breach, we could be exposed to risks of data loss, fines, a loss of the ability to process credit and debit card payments, litigation and serious disruption of our operations. Additionally, any resulting negative publicity could significantly harm our reputation.</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reporting complies with the United States generally accepted accounting principles (“GAAP”), and GAAP is subject to change over time. If new rules or interpretations of existing rules require us to change our financial reporting (including the proposed lease accounting changes and the adoption of international financial reporting standards in the United States), our reported results of operations and financial condition could be affected substantially, including requirements to restate historical financial reporting.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is not static – it changes periodically as a result of many factors, including those discussed above and:</w:t>
      </w:r>
    </w:p>
    <w:p>
      <w:pPr>
        <w:spacing w:after="0" w:line="25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and decreases in average weekly sales, restaurant and retail sales and restaurant profitability;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advertising and promotional activities and expansion to new markets;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of long-lived assets and any loss on store closures.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that event, the price of our securities could fluctuate dramatically over time or could decrease generally.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 proxy fight and the actions of activist shareholders.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recently received a notice from Biglari Holdings, Inc. (“BH”), the owner of Steak N Shake and Western Sizzlin’ restaurants, that indicates BH’s intention to nominate Sardar Biglari, BH’s chairman and chief executive officer, and Phillip Cooley, BH’s Vice Chairman, for election to our board of directors at our 2012 annual meeting of shareholders. If a proxy contest involving BH ensues, or if we become engaged in a proxy contest with another activist shareholder in the future, our business could be adversely affected because:</w:t>
      </w:r>
    </w:p>
    <w:p>
      <w:pPr>
        <w:spacing w:after="0" w:line="214"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responding to proxy contests and other actions by activist shareholders can disrupt our operations, be costly and time-consuming, and divert the attention of our management and employees;</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it may adversely affect our ability to effectively implement our business strategy and create additional value for our shareholders.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Tennessee law and our shareholder rights plan may discourage potential acquirers of our company.</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is currently scheduled to expire in 2015, but would expire promptly following the 2012 annual shareholders meeting if the shareholder rights plan is not approved by our shareholders.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us on terms that do not satisfy the requirements of a qualifying offer under the shareholder rights plan or are otherwise not approved by our board of directors.</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PROPERTIES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home office headquarters and warehouse facilities are located on approximately 90 acres of land owned by the Company in Lebanon, Tennessee. We utilize approximately 250,000 square feet of office space for our home office headquarters and decorative fixtures warehouse. We also lease our retail distribution center which consists of approximately 370,000 square feet of warehouse facilities and an additional approximate 14,000 square feet of office and maintenance space.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various corporate facilities, we have six owned properties for future development, a motel used for housing management trainees and for the general public, and six parcels of excess real property and improvements that we intend to dispose 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properties mentioned above, we own or lease the following store properties as of September 18, 2012:</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Owned</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Leased</w:t>
            </w:r>
          </w:p>
        </w:tc>
        <w:tc>
          <w:tcPr>
            <w:tcW w:w="46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Oklahoma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Florida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Maryland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New Jersey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Georgia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Wisconsin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Colorado</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Kentucky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Kansas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Massachusetts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Virginia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New Mexico</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Utah</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Indiana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Iowa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Connecticut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Pennsylvania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Montana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Nebraska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Missouri</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Idaho</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Arizona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Maine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Minnesota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Mississippi</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New Hampshire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Louisiana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North Dakota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West Virginia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Rhode Island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York</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South Dakota</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properties are suitable, adequate, well-maintained and sufficient for the operations contemplated. See “Operations" and "Store Development" in Item I of this Annual Report on Form 10-K for additional information on our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LEGAL PROCEEDINGS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Instruction 3 to Item 401(b) of Regulation S-K and General Instruction G(3) to Form 10-K, the following information is included in Part I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3"/>
          </w:tcPr>
          <w:p>
            <w:pPr>
              <w:spacing w:after="0"/>
              <w:rPr>
                <w:sz w:val="20"/>
                <w:szCs w:val="20"/>
                <w:color w:val="auto"/>
              </w:rPr>
            </w:pPr>
            <w:r>
              <w:rPr>
                <w:rFonts w:ascii="Arial" w:cs="Arial" w:eastAsia="Arial" w:hAnsi="Arial"/>
                <w:sz w:val="18"/>
                <w:szCs w:val="18"/>
                <w:color w:val="auto"/>
              </w:rPr>
              <w:t>Name</w:t>
            </w:r>
          </w:p>
        </w:tc>
        <w:tc>
          <w:tcPr>
            <w:tcW w:w="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Age</w:t>
            </w:r>
          </w:p>
        </w:tc>
        <w:tc>
          <w:tcPr>
            <w:tcW w:w="7460" w:type="dxa"/>
            <w:vAlign w:val="bottom"/>
            <w:gridSpan w:val="2"/>
          </w:tcPr>
          <w:p>
            <w:pPr>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Woodhouse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E. Hyatt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Barber</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and Chief People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A. Ciavarra</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Marketing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 Greene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Strategic Initiatives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Douglas Couvillion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Corporate Controller and Principal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Zylstra</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business experience of each of our executive officers for at least the past five years: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Ms. Cochran has been employed with us in various capacities since 2009. Ms. Cochran served as our Executive Vice President and Chief Financial Officer from March 2009 to November 2010, and as President and Chief Operating Officer from November 2010 until September 2011 when she assumed her current position. In September 2011, she also became a member of our board of directors. Prior to March 2009, she was the Chief Executive Officer of Books-A-Million, Inc., having assumed that role in 2004 after serving in various capacities there since 1992. Ms. Cochran has 19 years of experience in the retail industry and three years of experience in the restaurant industry.</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Mr. Woodhouse has been employed with us in various capacities since 1995. Mr. Woodhouse served as our Senior Vice President of Finance and Chief Financial Officer from January 1999 to July 1999, as Executive Vice President and Chief Operating Officer (“COO”) from August 1999 until July 2000, as President and COO from August 2000 until July 2001, and then as President and Chief Executive Officer from August 2001 until November 2004, as Chairman, President and Chief Executive Officer from December 2004 until November 2010, and then as Chairman and Chief Executive Officer until September 2011 when he assumed his current position. Mr. Woodhouse has 28 years of experience in the restaurant industry and 19 years of experience in the retail industry. In August 2012, Mr. Woodhouse announced his retirement as Executive Chairman effective November 7, 2012. Additionally, Mr. Woodhouse announced that he will not stand for election to our Board of Directors at our 2012 annual meeting of shareholders.</w:t>
      </w:r>
    </w:p>
    <w:p>
      <w:pPr>
        <w:spacing w:after="0" w:line="20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Mr. Hyatt has been employed with us as Senior Vice President and Chief Financial Officer since January 2011. He has over 20 years of experience as Chief Financial Officer with various organizations. Prior to January 2011, he was the Chief Financial Officer and Treasurer of O’Charley’s Inc., having assumed that role in 2004. He also served as Interim President and Chief Executive Officer of O’Charley’s Inc. from February 2009 through June 2009. Mr. Hyatt’s previous positions include serving as Executive Vice President and Chief Financial Officer of Cole National Corporation, a specialty retailer; as Chief Financial and Restructuring Officer of PSINet, Inc., an internet service provider; as Chief Financial Officer of HMS Host Corporation, a subsidiary of Autogrill S.p.A.; and as Chief Financial Officer of Sodexho Marriott Services, Inc., a food services and facilities management company, and its predecessor company. Mr. Hyatt has ten years of experience in the restaurant industry and four years of experience in the retail industry.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Barber has been employed with us since 2003. From 2003 to 2010, he served in various capacities including Senior Vice President of Restaurant Operations and COO. He assumed his current position in 2010. Prior to 2003, he was with Metromedia Family Steakhouse, a division of Metromedia Restaurant Group, Inc., in various capacities since 1979 where he served as President from 1995 to 2003. Mr. Barber has 33 years of experience in the restaurant industry.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Ciavarra has been employed with us since 2008.  He assumed his current position in 2010.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Aramark Corporation from 2005 to 2008. In addition, he was a consultant for us from 2001 to 2005.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restaurant industry and over seven years of experience in the retail industry.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hanging="52"/>
        <w:spacing w:after="0" w:line="342" w:lineRule="auto"/>
        <w:rPr>
          <w:sz w:val="20"/>
          <w:szCs w:val="20"/>
          <w:color w:val="auto"/>
        </w:rPr>
      </w:pPr>
      <w:r>
        <w:rPr>
          <w:rFonts w:ascii="Arial" w:cs="Arial" w:eastAsia="Arial" w:hAnsi="Arial"/>
          <w:sz w:val="16"/>
          <w:szCs w:val="16"/>
          <w:color w:val="auto"/>
        </w:rPr>
        <w:t>Prior to 2008, he was the Director of Marketing for Mr. Ciavarra has over 12 years of experience in the</w:t>
      </w:r>
    </w:p>
    <w:p>
      <w:pPr>
        <w:spacing w:after="0" w:line="329" w:lineRule="exact"/>
        <w:rPr>
          <w:sz w:val="20"/>
          <w:szCs w:val="20"/>
          <w:color w:val="auto"/>
        </w:rPr>
      </w:pPr>
    </w:p>
    <w:p>
      <w:pPr>
        <w:sectPr>
          <w:pgSz w:w="11900" w:h="16838" w:orient="portrait"/>
          <w:cols w:equalWidth="0" w:num="2">
            <w:col w:w="7500" w:space="120"/>
            <w:col w:w="3800"/>
          </w:cols>
          <w:pgMar w:left="240" w:top="121" w:right="239" w:bottom="1440" w:gutter="0" w:footer="0" w:header="0"/>
          <w:type w:val="continuous"/>
        </w:sectPr>
      </w:pPr>
    </w:p>
    <w:p>
      <w:pPr>
        <w:spacing w:after="0" w:line="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Ms. Daily has been employed with us as Senior Vice President of Retail since May 2012. She has over 20 years of experience as a merchant with a number of retail organizations. Prior to May 2012, she served as Vice President for Ballard Designs, an Internet and catalog home furnishings retailer that is part of HSN, Inc., where she was in charge of all merchandising and trends for the company. Ms. Daily’s previous positions prior to joining Ballard Designs in 1997 included merchandising, planning and store operations positions with Spiegel, Inc. and Carson Pirie Scott.</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Flanagan has been employed with us since 2004. From 2004 to 2010, he served in various capacities including Vice President of Restaurant Operations. He assumed his current position in November 2010. Prior to 2004, he was a 15-year veteran of S&amp;A Restaurant Corporation where he served in several leadership roles. Mr. Flanagan has over 23 years of experience in the restaurant industry.</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Greene has been employed with us in his current capacity since October 2005. From August 1996 to October 2005, he worked for Restaurant Services, Inc., the independent purchasing cooperative which provides supply chain management services for Burger King Corporation and its franchisees, serving most recently as its Vice President, Food and Packaging Purchasing. Mr. Greene began his career with The Pillsbury Company and has over 34 years of combined experience in the restaurant and food processing industries.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Couvillion has been employed with us since 2001 in various capacities including Vice President of Finance. He assumed his current position in July 2011. Prior to 2001, he was with Landry's Restaurants, Inc. since 1993 where he served in various capacities including Controller and Director of Finance. Mr. Couvillion began his career in public accounting with Touche Ross &amp; Co. and has 18 years of experience in the restaurant industry and 11 years of experience in the retail industry.</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Zylstra has been employed with us in various capacities since 1992. He assumed his present position in January 2012 after serving as Vice President, Associate General Counsel and Assistant Corporate Secretary since 1999. Mr. Zylstra has 20 years experience in the restaurant and retail industry, all with Cracker Barrel Old Country Store,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(“Nasdaq”) under the symbol “CBRL.” There were 9,444 shareholders of record as of September 18, 2012.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indicates the high and low sales prices of our common stock, as reported by The Nasdaq Global Select Market, and dividends paid for the quarters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w w:val="93"/>
              </w:rPr>
              <w:t>Fiscal Year 2012</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Fiscal Year 2011</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Prices</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Prices</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Dividends</w:t>
            </w:r>
          </w:p>
        </w:tc>
      </w:tr>
      <w:tr>
        <w:trPr>
          <w:trHeight w:val="223"/>
        </w:trPr>
        <w:tc>
          <w:tcPr>
            <w:tcW w:w="2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High</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Low</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Paid</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High</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Low</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Paid</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First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45.80</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Second</w:t>
            </w:r>
          </w:p>
        </w:tc>
        <w:tc>
          <w:tcPr>
            <w:tcW w:w="1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53.77</w:t>
            </w: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41.08</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57.79</w:t>
            </w: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50.27</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59.90</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53.54</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23"/>
        </w:trPr>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w:t>
            </w:r>
          </w:p>
        </w:tc>
        <w:tc>
          <w:tcPr>
            <w:tcW w:w="1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64.33</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56.26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53.86</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42.79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Consolidated Financial Statements with respect to dividend restrictions.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the table labeled “Equity Compensation Plan Information” to be contained in the 2012 Proxy Statement, incorporated by reference in Part III, Item 12 of this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III, Item 12 of this Annual Report on Form 10-K is incorporated herein by this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following table sets forth information with respect to purchases of shares of the Company’s common stock made during the quarter ended August 3, 2012 by or on behalf of the Company or any “affiliated purchaser,” as defined by Rule 10b-18(a)(3) of the Exchange Act. All purchases were made in accordance with Rule 10b-18 of the Exchange 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w:t>
            </w:r>
          </w:p>
        </w:tc>
        <w:tc>
          <w:tcPr>
            <w:tcW w:w="3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of Shares</w:t>
            </w:r>
          </w:p>
        </w:tc>
        <w:tc>
          <w:tcPr>
            <w:tcW w:w="3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Purchased as</w:t>
            </w:r>
          </w:p>
        </w:tc>
        <w:tc>
          <w:tcPr>
            <w:tcW w:w="3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Part of Publicly</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Maximum Number of Shares</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Total Number</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(or Approximate Dollar Value)</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of Shares</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Paid Per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Plans 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that May Yet Be Purchased</w:t>
            </w:r>
          </w:p>
        </w:tc>
      </w:tr>
      <w:tr>
        <w:trPr>
          <w:trHeight w:val="237"/>
        </w:trPr>
        <w:tc>
          <w:tcPr>
            <w:tcW w:w="20" w:type="dxa"/>
            <w:vAlign w:val="bottom"/>
          </w:tcPr>
          <w:p>
            <w:pPr>
              <w:spacing w:after="0"/>
              <w:rPr>
                <w:sz w:val="20"/>
                <w:szCs w:val="20"/>
                <w:color w:val="auto"/>
              </w:rPr>
            </w:pPr>
          </w:p>
        </w:tc>
        <w:tc>
          <w:tcPr>
            <w:tcW w:w="36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Share (1)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Programs</w:t>
            </w:r>
          </w:p>
        </w:tc>
        <w:tc>
          <w:tcPr>
            <w:tcW w:w="1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Under the Plans or Programs</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4/28/12 – 5/25/12</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5/26/12 – 6/22/12</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45,138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45,138</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6/23/12 – 8/3/12</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for the quarter</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45,138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45,138</w:t>
            </w:r>
          </w:p>
        </w:tc>
        <w:tc>
          <w:tcPr>
            <w:tcW w:w="3640" w:type="dxa"/>
            <w:vAlign w:val="bottom"/>
          </w:tcPr>
          <w:p>
            <w:pPr>
              <w:ind w:left="1160"/>
              <w:spacing w:after="0"/>
              <w:rPr>
                <w:sz w:val="20"/>
                <w:szCs w:val="20"/>
                <w:color w:val="auto"/>
              </w:rPr>
            </w:pPr>
            <w:r>
              <w:rPr>
                <w:rFonts w:ascii="Arial" w:cs="Arial" w:eastAsia="Arial" w:hAnsi="Arial"/>
                <w:sz w:val="18"/>
                <w:szCs w:val="18"/>
                <w:color w:val="auto"/>
              </w:rPr>
              <w:t>Indeterminate (2)</w:t>
            </w:r>
          </w:p>
        </w:tc>
      </w:tr>
    </w:tbl>
    <w:p>
      <w:pPr>
        <w:spacing w:after="0" w:line="21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price paid per share is calculated on a settlement basis and includes commissions and fees.</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13, 2011, we announced that we were authorized to repurchase up to $65,000 of our common stock. On September 19, 2012, we announced that we have been authorized to repurchase up to $100,000 of our common stock.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2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60" w:type="dxa"/>
            <w:vAlign w:val="bottom"/>
            <w:gridSpan w:val="3"/>
          </w:tcPr>
          <w:p>
            <w:pPr>
              <w:spacing w:after="0"/>
              <w:rPr>
                <w:sz w:val="20"/>
                <w:szCs w:val="20"/>
                <w:color w:val="auto"/>
              </w:rPr>
            </w:pPr>
            <w:r>
              <w:rPr>
                <w:rFonts w:ascii="Arial" w:cs="Arial" w:eastAsia="Arial" w:hAnsi="Arial"/>
                <w:sz w:val="18"/>
                <w:szCs w:val="18"/>
                <w:color w:val="auto"/>
              </w:rPr>
              <w:t>ITEM 6. SELECTED FINANCIAL DATA</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40" w:type="dxa"/>
            <w:vAlign w:val="bottom"/>
            <w:gridSpan w:val="6"/>
          </w:tcPr>
          <w:p>
            <w:pPr>
              <w:jc w:val="center"/>
              <w:spacing w:after="0"/>
              <w:rPr>
                <w:sz w:val="20"/>
                <w:szCs w:val="20"/>
                <w:color w:val="auto"/>
              </w:rPr>
            </w:pPr>
            <w:r>
              <w:rPr>
                <w:rFonts w:ascii="Arial" w:cs="Arial" w:eastAsia="Arial" w:hAnsi="Arial"/>
                <w:sz w:val="18"/>
                <w:szCs w:val="18"/>
                <w:i w:val="1"/>
                <w:iCs w:val="1"/>
                <w:color w:val="auto"/>
                <w:w w:val="89"/>
              </w:rPr>
              <w:t>(Dollars in thousands except percentages and share data)</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5"/>
          </w:tcPr>
          <w:p>
            <w:pPr>
              <w:jc w:val="center"/>
              <w:ind w:right="271"/>
              <w:spacing w:after="0"/>
              <w:rPr>
                <w:sz w:val="20"/>
                <w:szCs w:val="20"/>
                <w:color w:val="auto"/>
              </w:rPr>
            </w:pPr>
            <w:r>
              <w:rPr>
                <w:rFonts w:ascii="Arial" w:cs="Arial" w:eastAsia="Arial" w:hAnsi="Arial"/>
                <w:sz w:val="18"/>
                <w:szCs w:val="18"/>
                <w:i w:val="1"/>
                <w:iCs w:val="1"/>
                <w:color w:val="auto"/>
                <w:w w:val="89"/>
              </w:rPr>
              <w:t>For each of the fiscal years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August 3,</w:t>
            </w:r>
          </w:p>
        </w:tc>
        <w:tc>
          <w:tcPr>
            <w:tcW w:w="28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8"/>
                <w:szCs w:val="18"/>
                <w:color w:val="auto"/>
              </w:rPr>
            </w:pPr>
          </w:p>
        </w:tc>
        <w:tc>
          <w:tcPr>
            <w:tcW w:w="114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July 30,</w:t>
            </w:r>
          </w:p>
        </w:tc>
        <w:tc>
          <w:tcPr>
            <w:tcW w:w="240" w:type="dxa"/>
            <w:vAlign w:val="bottom"/>
          </w:tcPr>
          <w:p>
            <w:pPr>
              <w:spacing w:after="0"/>
              <w:rPr>
                <w:sz w:val="18"/>
                <w:szCs w:val="18"/>
                <w:color w:val="auto"/>
              </w:rPr>
            </w:pPr>
          </w:p>
        </w:tc>
        <w:tc>
          <w:tcPr>
            <w:tcW w:w="1180" w:type="dxa"/>
            <w:vAlign w:val="bottom"/>
          </w:tcPr>
          <w:p>
            <w:pPr>
              <w:jc w:val="right"/>
              <w:ind w:right="391"/>
              <w:spacing w:after="0"/>
              <w:rPr>
                <w:sz w:val="20"/>
                <w:szCs w:val="20"/>
                <w:color w:val="auto"/>
              </w:rPr>
            </w:pPr>
            <w:r>
              <w:rPr>
                <w:rFonts w:ascii="Arial" w:cs="Arial" w:eastAsia="Arial" w:hAnsi="Arial"/>
                <w:sz w:val="18"/>
                <w:szCs w:val="18"/>
                <w:b w:val="1"/>
                <w:bCs w:val="1"/>
                <w:color w:val="auto"/>
              </w:rPr>
              <w:t>July 31,</w:t>
            </w:r>
          </w:p>
        </w:tc>
        <w:tc>
          <w:tcPr>
            <w:tcW w:w="20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August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line="234"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(a)</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line="234"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(b)</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70"/>
              <w:spacing w:after="0" w:line="234" w:lineRule="exact"/>
              <w:rPr>
                <w:sz w:val="20"/>
                <w:szCs w:val="20"/>
                <w:color w:val="auto"/>
              </w:rPr>
            </w:pPr>
            <w:r>
              <w:rPr>
                <w:rFonts w:ascii="Arial" w:cs="Arial" w:eastAsia="Arial" w:hAnsi="Arial"/>
                <w:sz w:val="18"/>
                <w:szCs w:val="18"/>
                <w:b w:val="1"/>
                <w:bCs w:val="1"/>
                <w:color w:val="auto"/>
                <w:w w:val="82"/>
              </w:rPr>
              <w:t>2010</w:t>
            </w:r>
            <w:r>
              <w:rPr>
                <w:rFonts w:ascii="Arial" w:cs="Arial" w:eastAsia="Arial" w:hAnsi="Arial"/>
                <w:sz w:val="25"/>
                <w:szCs w:val="25"/>
                <w:b w:val="1"/>
                <w:bCs w:val="1"/>
                <w:color w:val="auto"/>
                <w:w w:val="82"/>
                <w:vertAlign w:val="superscript"/>
              </w:rPr>
              <w:t>(c)</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1"/>
              <w:spacing w:after="0" w:line="235" w:lineRule="exact"/>
              <w:rPr>
                <w:sz w:val="20"/>
                <w:szCs w:val="20"/>
                <w:color w:val="auto"/>
              </w:rPr>
            </w:pPr>
            <w:r>
              <w:rPr>
                <w:rFonts w:ascii="Arial" w:cs="Arial" w:eastAsia="Arial" w:hAnsi="Arial"/>
                <w:sz w:val="27"/>
                <w:szCs w:val="27"/>
                <w:b w:val="1"/>
                <w:bCs w:val="1"/>
                <w:color w:val="auto"/>
                <w:vertAlign w:val="subscript"/>
              </w:rPr>
              <w:t>2009</w:t>
            </w:r>
            <w:r>
              <w:rPr>
                <w:rFonts w:ascii="Arial" w:cs="Arial" w:eastAsia="Arial" w:hAnsi="Arial"/>
                <w:sz w:val="11"/>
                <w:szCs w:val="11"/>
                <w:b w:val="1"/>
                <w:bCs w:val="1"/>
                <w:color w:val="auto"/>
              </w:rPr>
              <w:t>(d)(e)</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line="234" w:lineRule="exact"/>
              <w:rPr>
                <w:sz w:val="20"/>
                <w:szCs w:val="20"/>
                <w:color w:val="auto"/>
              </w:rPr>
            </w:pPr>
            <w:r>
              <w:rPr>
                <w:rFonts w:ascii="Arial" w:cs="Arial" w:eastAsia="Arial" w:hAnsi="Arial"/>
                <w:sz w:val="18"/>
                <w:szCs w:val="18"/>
                <w:b w:val="1"/>
                <w:bCs w:val="1"/>
                <w:color w:val="auto"/>
              </w:rPr>
              <w:t>2008</w:t>
            </w:r>
            <w:r>
              <w:rPr>
                <w:rFonts w:ascii="Arial" w:cs="Arial" w:eastAsia="Arial" w:hAnsi="Arial"/>
                <w:sz w:val="25"/>
                <w:szCs w:val="25"/>
                <w:b w:val="1"/>
                <w:bCs w:val="1"/>
                <w:color w:val="auto"/>
                <w:vertAlign w:val="superscript"/>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Selected Income Statement Data:</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2,580,195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2,434,435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2,404,515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2,367,285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103,081</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85,208</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85,258</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65,957</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65,303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103,081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85,208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85,258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65,926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Net income per share</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per share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25"/>
                <w:szCs w:val="25"/>
                <w:b w:val="1"/>
                <w:bCs w:val="1"/>
                <w:color w:val="auto"/>
                <w:vertAlign w:val="superscript"/>
              </w:rPr>
              <w:t>(f)</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0.88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0.80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Percent of Total Revenue: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related expenses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store dispositions, net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Balance Sheet Data:</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18,249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(21,188)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(73,289)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(66,637)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1,418,992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1,310,884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1,292,067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1,245,181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Current interest rate swap liability</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20,215</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525,036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550,143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573,744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638,040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Long-term interest rate swap liability</w:t>
            </w:r>
          </w:p>
        </w:tc>
        <w:tc>
          <w:tcPr>
            <w:tcW w:w="4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14,166</w:t>
            </w:r>
          </w:p>
        </w:tc>
        <w:tc>
          <w:tcPr>
            <w:tcW w:w="28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51,604</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66,281</w:t>
            </w:r>
          </w:p>
        </w:tc>
        <w:tc>
          <w:tcPr>
            <w:tcW w:w="24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61,232</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114,897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105,661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93,822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89,670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382,675</w:t>
            </w:r>
          </w:p>
        </w:tc>
        <w:tc>
          <w:tcPr>
            <w:tcW w:w="28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268,034</w:t>
            </w:r>
          </w:p>
        </w:tc>
        <w:tc>
          <w:tcPr>
            <w:tcW w:w="26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191,617</w:t>
            </w:r>
          </w:p>
        </w:tc>
        <w:tc>
          <w:tcPr>
            <w:tcW w:w="240" w:type="dxa"/>
            <w:vAlign w:val="bottom"/>
          </w:tcPr>
          <w:p>
            <w:pPr>
              <w:spacing w:after="0"/>
              <w:rPr>
                <w:sz w:val="20"/>
                <w:szCs w:val="20"/>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135,622</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92,751</w:t>
            </w:r>
          </w:p>
        </w:tc>
        <w:tc>
          <w:tcPr>
            <w:tcW w:w="0" w:type="dxa"/>
            <w:vAlign w:val="bottom"/>
          </w:tcPr>
          <w:p>
            <w:pPr>
              <w:spacing w:after="0"/>
              <w:rPr>
                <w:sz w:val="1"/>
                <w:szCs w:val="1"/>
                <w:color w:val="auto"/>
              </w:rPr>
            </w:pPr>
          </w:p>
        </w:tc>
      </w:tr>
      <w:tr>
        <w:trPr>
          <w:trHeight w:val="445"/>
        </w:trPr>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Selected Cash Flow Data:</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80,170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77,686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69,891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67,842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Share repurchases</w:t>
            </w:r>
          </w:p>
        </w:tc>
        <w:tc>
          <w:tcPr>
            <w:tcW w:w="4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14,923</w:t>
            </w:r>
          </w:p>
        </w:tc>
        <w:tc>
          <w:tcPr>
            <w:tcW w:w="28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33,563</w:t>
            </w:r>
          </w:p>
        </w:tc>
        <w:tc>
          <w:tcPr>
            <w:tcW w:w="26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62,487</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52,380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Selected Other Data:</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outstanding at end of year</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23,473,024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22,840,974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22,732,781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22,722,685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22,325,341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Stores open at end of year</w:t>
            </w:r>
          </w:p>
        </w:tc>
        <w:tc>
          <w:tcPr>
            <w:tcW w:w="4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616</w:t>
            </w:r>
          </w:p>
        </w:tc>
        <w:tc>
          <w:tcPr>
            <w:tcW w:w="28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Average Unit Volumes</w:t>
            </w:r>
            <w:r>
              <w:rPr>
                <w:rFonts w:ascii="Arial" w:cs="Arial" w:eastAsia="Arial" w:hAnsi="Arial"/>
                <w:sz w:val="25"/>
                <w:szCs w:val="25"/>
                <w:b w:val="1"/>
                <w:bCs w:val="1"/>
                <w:color w:val="auto"/>
                <w:vertAlign w:val="superscript"/>
              </w:rPr>
              <w:t>(g)</w:t>
            </w: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3,369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3,226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3,209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Retail</w:t>
            </w:r>
          </w:p>
        </w:tc>
        <w:tc>
          <w:tcPr>
            <w:tcW w:w="4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863</w:t>
            </w:r>
          </w:p>
        </w:tc>
        <w:tc>
          <w:tcPr>
            <w:tcW w:w="28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Comparable Store Sales</w:t>
            </w:r>
            <w:r>
              <w:rPr>
                <w:rFonts w:ascii="Arial" w:cs="Arial" w:eastAsia="Arial" w:hAnsi="Arial"/>
                <w:sz w:val="25"/>
                <w:szCs w:val="25"/>
                <w:b w:val="1"/>
                <w:bCs w:val="1"/>
                <w:color w:val="auto"/>
                <w:vertAlign w:val="superscript"/>
              </w:rPr>
              <w:t>(h)</w:t>
            </w: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Period to period increase (decrease) in comparable store</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Restaurant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Memo: Number of stores in comparable base</w:t>
            </w:r>
          </w:p>
        </w:tc>
        <w:tc>
          <w:tcPr>
            <w:tcW w:w="4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20"/>
                <w:szCs w:val="20"/>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hanging="332"/>
        <w:spacing w:after="0" w:line="28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Fiscal 2012 consisted of 53 weeks while all other periods presented consisted of 52 weeks. The estimated impact of the additional week was to increase consolidated fiscal 2012 results as follows: total revenue, $51,059; store operating income, 0.2% of total revenue ($11,093); operating income, 0.2% of total revenue ($9,723); net income, 0.2% of total revenue ($6,280); and diluted net income per share, $0.27. As part of our restructuring of our field organization in April 2012, we incurred severance charges of $1,660, which are included in general and administrative expenses. We also incurred $5,203 in costs related to the December 2011 proxy contest, which are also included in general and administrative expenses.</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impairment charges of $3,219 before taxes and pre-tax gains on store dispositions of $4,109. Our debt refinancing in the fourth quarter of fiscal 2011 resulted in additional interest expense of $5,136 related to transaction fees and the write-off of deferred financing costs. During the fourth quarter of fiscal 2011, as part of our cost reduction and organization streamlining initiative, we incurred severance charges of $1,768, which are included in general and administrative expenses. We also incurred $404 in costs related to the December 2011 proxy contest, which are also included in general and administrative expenses.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impairment charges of $2,672 before taxes.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impairment charges of $2,088 before taxes. We completed sale-leaseback transactions involving 15 of our stores and our retail distribution center in the fourth quarter of fiscal 2009 (see Note 10 to the Consolidated Financial Statements). Net proceeds from the sale-leaseback transactions together with excess cash flow from operations were used to pay down $142,759 of long-term debt.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expenses and proceeds related to the divestiture of Logan’s Roadhouse, Inc. are reported in discontinued operations in fiscal 2008 and fiscal 2009.</w:t>
      </w: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first quarter of 2013, our Board of Directors declared a dividend of $0.50 per share payable on November 5, 2012 to shareholders of record on</w:t>
      </w:r>
    </w:p>
    <w:p>
      <w:pPr>
        <w:sectPr>
          <w:pgSz w:w="11900" w:h="16838" w:orient="portrait"/>
          <w:cols w:equalWidth="0" w:num="1">
            <w:col w:w="11420"/>
          </w:cols>
          <w:pgMar w:left="240" w:top="114" w:right="239" w:bottom="0" w:gutter="0" w:footer="0" w:header="0"/>
        </w:sectPr>
      </w:pPr>
    </w:p>
    <w:bookmarkStart w:id="26" w:name="page27"/>
    <w:bookmarkEnd w:id="26"/>
    <w:p>
      <w:pPr>
        <w:ind w:left="332"/>
        <w:spacing w:after="0"/>
        <w:rPr>
          <w:sz w:val="20"/>
          <w:szCs w:val="20"/>
          <w:color w:val="auto"/>
        </w:rPr>
      </w:pPr>
      <w:r>
        <w:rPr>
          <w:rFonts w:ascii="Arial" w:cs="Arial" w:eastAsia="Arial" w:hAnsi="Arial"/>
          <w:sz w:val="18"/>
          <w:szCs w:val="18"/>
          <w:color w:val="auto"/>
        </w:rPr>
        <w:t>October 19, 2012.</w:t>
      </w:r>
    </w:p>
    <w:p>
      <w:pPr>
        <w:ind w:left="332" w:hanging="332"/>
        <w:spacing w:after="0" w:line="201"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unit volumes include sales of all stores. Fiscal 2012 includes a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while all other periods presented consist of 52 weeks.</w:t>
      </w:r>
    </w:p>
    <w:p>
      <w:pPr>
        <w:ind w:left="332" w:hanging="332"/>
        <w:spacing w:after="0" w:line="259"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Comparable store sales consist of sales of stores open at least six full quarters at the beginning of the year; and are measured on comparable calendar weeks.</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also should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overview summarizes the MD&amp;A, which includes the following sections:</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industry and our key performance indicators.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Results of Operations – an analysis of our consolidated statements of income for the three years presented in our Consolidated Financial Statements.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Cracker Barrel Old Country Store, Inc. (the “Company,” “our” or “we”) is a publicly traded (Nasdaq: CBRL) company that, through its operations and those of certain subsidiaries, is engaged in the operation and development of the Cracker Barrel Old Country Store® (“Cracker Barrel”) concept. Each Cracker Barrel store consists of a restaurant with a gift shop. The restaurants serve breakfast, lunch and dinner. The gift shop area offers a variety of decorative and functional items specializing in rocking chairs, holiday gifts, toys, apparel and foods. As of September 18, 2012, the Company operated 620 Cracker Barrel stores located in 42 states.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Restaurant Industry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stores operate in the full-service segment of the restaurant industry in the United States. The restaurant business is highly competitive with respect to quality, variety and price of the food products offered. The restaurant business is often affected by changes in consumer taste; national, regional or local economic conditions; demographic trends; traffic patterns; the type, number and location of competing restaurants; and consumers’ discretionary purchasing power.</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are many segments within the restaurant industry, such as family dining, casual dining, fast casual and quick service, which often overlap and provide competition for widely diverse restaurant concepts. Competition also exists in securing prime real estate locations for new stores, in hiring qualified employees, in advertising, in the attractiveness of facilities and with competitors having similar menu offerings or convenience.</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economic, seasonal and weather conditions affect the restaurant business.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Christmas holiday shopping season. Severe weather also affects restaurant and retail sales adversely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uses a number of key performance measures to evaluate our operational and financial performance, including the following:</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Comparable store restaurant sales and restaurant guest traffic consist of sales and calculated number of guests, respectively, of stores open at least six full quarters at the beginning of the year and are measured on comparable calendar weeks. This measure highlights performance of existing stores because it excludes the impact of new store openings.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Percentage of retail sales to total sales indicates the relative proportion of spending by guests on retail product at our stores and helps identify overall effectiveness of our retail operations. Management uses this measure to analyze a store’s ability to convert restaurant traffic into retail sales since we believe that the substantial majority of our retail customers are also guests in our restaurants.</w:t>
      </w:r>
    </w:p>
    <w:p>
      <w:pPr>
        <w:spacing w:after="0" w:line="20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Store operating margins are defined as total revenue less cost of goods sold, labor and other related expenses and other store operating expenses, all as a percentage of total revenue. Management uses this indicator as a primary measure of operating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 in 2012</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 We believe our strategic focus on six key business priorities and our operational execution of those priorities during 2012 resulted in revenue growth during the year, positive comparable store restaurant and retail sales for the year with both comparable store traffic and sales out-performing the Knapp-Track™ Index for the year and higher profit as compared to the prior year.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six priorities for 2012 and how they impacted 2012 are as follows:</w:t>
      </w:r>
    </w:p>
    <w:p>
      <w:pPr>
        <w:spacing w:after="0" w:line="25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Introduce new marketing messaging to reinforce the authentic value provided by Cracker Barrel.</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launched our “Handcrafted by Cracker Barrel” campaign with national cable TV and spot radio ads. We focused broadcast media support around our peak sales periods, the holiday season (our second fiscal quarter) and the summer travel season (our fourth fiscal quarter). We believe indicators of the new advertising strategy’s success include (i) three successive quarters of increased year-over-year traffic growth starting in the second quarter and (ii) out-performance of the Knapp-Track Casual Dining Index during the second, third and fourth quarters of our fiscal year.</w:t>
      </w:r>
    </w:p>
    <w:p>
      <w:pPr>
        <w:spacing w:after="0" w:line="19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Refine our menu and pricing to increase variety and everyday affordability.</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quarter of the fiscal year, we introduced weekday $5.99 Daily Lunch Specials which we believe drove an increase in weekday lunch sales and traffic over the course of the year. In the fourth quarter, we enhanced our salad offerings, reformulating all the salads on the menu and adding several new ones that will continue on the regular menu and provide guests with additional healthier options alongside our traditional home-style fare.</w:t>
      </w:r>
    </w:p>
    <w:p>
      <w:pPr>
        <w:spacing w:after="0" w:line="19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the restaurant operating platform to sustainably improve the guest experience.</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Throughout the year, we made improvements to our core operations to enable our employees to provide a great Cracker Barrel experience to our guests. These improvements included changes in processes and procedures, and the installation of new equipment and technology. The success of our efforts to enhance the operating platform was validated by our higher year-over-year overall guest satisfaction scores during 2012. We also achieved organizational highs for the following categories: overall value, taste of the food, temperature of the food, attentiveness of server, speed of receiving order, friendliness of server, cleanliness of dining area, friendliness of host/hostess, retail service, and timeliness/efficiency in check out. In addition, we set a company sales record on Thanksgiving – which we then were able to improve upon with a record-breaking Mother’s Day.</w:t>
      </w:r>
    </w:p>
    <w:p>
      <w:pPr>
        <w:spacing w:after="0" w:line="20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Drive retail sales using innovative tactics, with a focus on delivering value and creating a further connection to the brand for our guests.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defining the distinctive Cracker Barrel experience, we focused on merchandising our stores with unique and nostalgic items. We saw growth throughout the year in one of our strongest categories, apparel and accessories. We also developed and grew proprietary product lines, including our branded Butterflies doll line, a unique and fun collection featuring $19.99 dolls with their own personalities, stories, and accessories. In May 2012, we hired a new Senior Vice President of Retail.</w:t>
      </w:r>
    </w:p>
    <w:p>
      <w:pPr>
        <w:spacing w:after="0" w:line="21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 focused cost reduction.</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eliminated many annual expenses, including a restructuring of home office employees in July 2011 to decrease general and administrative expenses and a restructuring of our field organization in April 2012 to better align our restaurant and retail operations under central leadership. We also completed the first phase of a labor management system which helps store managers better direct weekly training, productivity, and execution. Additionally, we completed the rollout of our transportation management system, which we believe will improve efficiency in the distribution of our retail merchandise. As a result of these initiatives and others, operating income increased as a percentage of revenues from 6.9% in 2011 to 7.4% in 2012.</w:t>
      </w:r>
    </w:p>
    <w:p>
      <w:pPr>
        <w:spacing w:after="0" w:line="18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shareholder value using a balanced approach to capital allocation.</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repaid $25,100 in long term debt. Direct shareholder return was enhanced by the repurchase of 265,538 shares of our common stock and an 80% increase in our quarterly dividend to $0.40 per quarter. During 2012, we opened 13 new Cracker Barrel locations and reinvested approximately $80,200 in the Company through capital expenditures.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operating results over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0" w:type="dxa"/>
            <w:vAlign w:val="bottom"/>
            <w:gridSpan w:val="2"/>
          </w:tcPr>
          <w:p>
            <w:pPr>
              <w:jc w:val="right"/>
              <w:ind w:right="750"/>
              <w:spacing w:after="0"/>
              <w:rPr>
                <w:sz w:val="20"/>
                <w:szCs w:val="20"/>
                <w:color w:val="auto"/>
              </w:rPr>
            </w:pPr>
            <w:r>
              <w:rPr>
                <w:rFonts w:ascii="Arial" w:cs="Arial" w:eastAsia="Arial" w:hAnsi="Arial"/>
                <w:sz w:val="18"/>
                <w:szCs w:val="18"/>
                <w:color w:val="auto"/>
              </w:rPr>
              <w:t>Period to Period</w:t>
            </w: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Relationship to Total Revenue</w:t>
            </w:r>
          </w:p>
        </w:tc>
        <w:tc>
          <w:tcPr>
            <w:tcW w:w="1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Increase (Decrease)</w:t>
            </w: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right"/>
              <w:ind w:right="630"/>
              <w:spacing w:after="0" w:line="201" w:lineRule="exact"/>
              <w:rPr>
                <w:sz w:val="20"/>
                <w:szCs w:val="20"/>
                <w:color w:val="auto"/>
              </w:rPr>
            </w:pPr>
            <w:r>
              <w:rPr>
                <w:rFonts w:ascii="Arial" w:cs="Arial" w:eastAsia="Arial" w:hAnsi="Arial"/>
                <w:sz w:val="18"/>
                <w:szCs w:val="18"/>
                <w:color w:val="auto"/>
              </w:rPr>
              <w:t>2012</w:t>
            </w:r>
          </w:p>
        </w:tc>
        <w:tc>
          <w:tcPr>
            <w:tcW w:w="12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2011</w:t>
            </w:r>
          </w:p>
        </w:tc>
      </w:tr>
      <w:tr>
        <w:trPr>
          <w:trHeight w:val="237"/>
        </w:trPr>
        <w:tc>
          <w:tcPr>
            <w:tcW w:w="20" w:type="dxa"/>
            <w:vAlign w:val="bottom"/>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2012*</w:t>
            </w:r>
          </w:p>
        </w:tc>
        <w:tc>
          <w:tcPr>
            <w:tcW w:w="15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2011</w:t>
            </w: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2010</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vs 2011</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vs 2010</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32.1</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31.7</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31.0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67.9</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68.3</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69.0</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36.8</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37.1</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37.8</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18.0</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18.6</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18.2</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12.6</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13.0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5.7</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5.7</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6.1</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Impairment and store dispositions, net</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0.1</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7.4</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6.9</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6.8</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5.7</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1.3</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8"/>
          <w:szCs w:val="18"/>
          <w:color w:val="auto"/>
        </w:rPr>
        <w:t>*2012 consists of 53 weeks while the other periods presented consist of 52 weeks.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w w:val="96"/>
              </w:rPr>
              <w:t>The following table highlights the key components of revenue for the past three years: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6900" w:type="dxa"/>
            <w:vAlign w:val="bottom"/>
          </w:tcPr>
          <w:p>
            <w:pPr>
              <w:spacing w:after="0" w:line="216" w:lineRule="exact"/>
              <w:rPr>
                <w:sz w:val="20"/>
                <w:szCs w:val="20"/>
                <w:color w:val="auto"/>
              </w:rPr>
            </w:pPr>
            <w:r>
              <w:rPr>
                <w:rFonts w:ascii="Arial" w:cs="Arial" w:eastAsia="Arial" w:hAnsi="Arial"/>
                <w:sz w:val="18"/>
                <w:szCs w:val="18"/>
                <w:color w:val="auto"/>
              </w:rPr>
              <w:t xml:space="preserve">Revenue in dollars: </w:t>
            </w:r>
            <w:r>
              <w:rPr>
                <w:rFonts w:ascii="Arial" w:cs="Arial" w:eastAsia="Arial" w:hAnsi="Arial"/>
                <w:sz w:val="25"/>
                <w:szCs w:val="25"/>
                <w:color w:val="auto"/>
                <w:vertAlign w:val="superscript"/>
              </w:rPr>
              <w:t>(1)</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2,054,127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1,934,049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1,911,664</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526,068</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500,386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492,851</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2,580,195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2,434,435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2,404,515</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Total revenue percentage increase</w:t>
            </w:r>
            <w:r>
              <w:rPr>
                <w:rFonts w:ascii="Arial" w:cs="Arial" w:eastAsia="Arial" w:hAnsi="Arial"/>
                <w:sz w:val="25"/>
                <w:szCs w:val="25"/>
                <w:color w:val="auto"/>
                <w:vertAlign w:val="superscript"/>
              </w:rPr>
              <w:t>(1)</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Comparable number of stores</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583</w:t>
            </w:r>
          </w:p>
        </w:tc>
        <w:tc>
          <w:tcPr>
            <w:tcW w:w="3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569</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Comparable store averages per store: </w:t>
            </w:r>
            <w:r>
              <w:rPr>
                <w:rFonts w:ascii="Arial" w:cs="Arial" w:eastAsia="Arial" w:hAnsi="Arial"/>
                <w:sz w:val="25"/>
                <w:szCs w:val="25"/>
                <w:color w:val="auto"/>
                <w:vertAlign w:val="superscript"/>
              </w:rPr>
              <w:t>(2)</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3,375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3,238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3,238</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861</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829</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4,236</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4,071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4,067</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Restaurant average weekly sales </w:t>
            </w:r>
            <w:r>
              <w:rPr>
                <w:rFonts w:ascii="Arial" w:cs="Arial" w:eastAsia="Arial" w:hAnsi="Arial"/>
                <w:sz w:val="25"/>
                <w:szCs w:val="25"/>
                <w:color w:val="auto"/>
                <w:vertAlign w:val="superscript"/>
              </w:rPr>
              <w:t>(3)</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62.0</w:t>
            </w:r>
          </w:p>
        </w:tc>
      </w:tr>
      <w:tr>
        <w:trPr>
          <w:trHeight w:val="239"/>
        </w:trPr>
        <w:tc>
          <w:tcPr>
            <w:tcW w:w="20" w:type="dxa"/>
            <w:vAlign w:val="bottom"/>
          </w:tcPr>
          <w:p>
            <w:pPr>
              <w:spacing w:after="0"/>
              <w:rPr>
                <w:sz w:val="20"/>
                <w:szCs w:val="20"/>
                <w:color w:val="auto"/>
              </w:rPr>
            </w:pPr>
          </w:p>
        </w:tc>
        <w:tc>
          <w:tcPr>
            <w:tcW w:w="6900" w:type="dxa"/>
            <w:vAlign w:val="bottom"/>
          </w:tcPr>
          <w:p>
            <w:pPr>
              <w:spacing w:after="0" w:line="239" w:lineRule="exact"/>
              <w:rPr>
                <w:sz w:val="20"/>
                <w:szCs w:val="20"/>
                <w:color w:val="auto"/>
              </w:rPr>
            </w:pPr>
            <w:r>
              <w:rPr>
                <w:rFonts w:ascii="Arial" w:cs="Arial" w:eastAsia="Arial" w:hAnsi="Arial"/>
                <w:sz w:val="18"/>
                <w:szCs w:val="18"/>
                <w:color w:val="auto"/>
              </w:rPr>
              <w:t xml:space="preserve">Retail average weekly sales </w:t>
            </w:r>
            <w:r>
              <w:rPr>
                <w:rFonts w:ascii="Arial" w:cs="Arial" w:eastAsia="Arial" w:hAnsi="Arial"/>
                <w:sz w:val="25"/>
                <w:szCs w:val="25"/>
                <w:color w:val="auto"/>
                <w:vertAlign w:val="superscript"/>
              </w:rPr>
              <w:t>(3)</w:t>
            </w:r>
          </w:p>
        </w:tc>
        <w:tc>
          <w:tcPr>
            <w:tcW w:w="6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80" w:hanging="172"/>
        <w:spacing w:after="0" w:line="218"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2012 consists of 53 weeks while the other periods presented consist of 52 weeks.</w:t>
      </w:r>
    </w:p>
    <w:p>
      <w:pPr>
        <w:spacing w:after="0" w:line="2"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2012 is calculated on a 53-week basis while the other periods are calculated on a 52-week basis.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Average weekly sales are calculated by dividing net sales by operating weeks and include all stores.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Total revenue benefited from the opening of 13, 11 and 6 stores in 2012, 2011 and 2010, respectively, partially offset by the closing of one store in both 2011 and 2010. Total revenue in 2012 also benefited from the additional week in 2012, which resulted in an increase in revenues of $51,059.</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26"/>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The following table highlights comparable store sales* results over the past two years:</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700" w:type="dxa"/>
            <w:vAlign w:val="bottom"/>
            <w:gridSpan w:val="3"/>
          </w:tcPr>
          <w:p>
            <w:pPr>
              <w:ind w:left="360"/>
              <w:spacing w:after="0"/>
              <w:rPr>
                <w:sz w:val="20"/>
                <w:szCs w:val="20"/>
                <w:color w:val="auto"/>
              </w:rPr>
            </w:pPr>
            <w:r>
              <w:rPr>
                <w:rFonts w:ascii="Arial" w:cs="Arial" w:eastAsia="Arial" w:hAnsi="Arial"/>
                <w:sz w:val="18"/>
                <w:szCs w:val="18"/>
                <w:color w:val="auto"/>
              </w:rPr>
              <w:t>Period to Period Increase</w:t>
            </w: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1380" w:type="dxa"/>
            <w:vAlign w:val="bottom"/>
            <w:tcBorders>
              <w:top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88"/>
              </w:rPr>
              <w:t>2012 vs 2011</w:t>
            </w: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2011 vs 2010</w:t>
            </w: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(591 Stores)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(583 Stores)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7"/>
              </w:rPr>
              <w:t>0.2%</w:t>
            </w: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380" w:type="dxa"/>
            <w:vAlign w:val="bottom"/>
          </w:tcPr>
          <w:p>
            <w:pPr>
              <w:ind w:left="90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0.7</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13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2.1</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0.3</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Arial" w:cs="Arial" w:eastAsia="Arial" w:hAnsi="Arial"/>
          <w:sz w:val="16"/>
          <w:szCs w:val="16"/>
          <w:color w:val="auto"/>
        </w:rPr>
        <w:t>*Comparable store sales consist of sales of stores open at least six full quarters at the beginning of the year and are measured on comparable calendar weeks.</w:t>
      </w:r>
    </w:p>
    <w:p>
      <w:pPr>
        <w:spacing w:after="0" w:line="26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comparable store restaurant sales increased from 2011 to 2012 resulting from a higher average check of 2.4%, including a 2.2% average menu price increase, partially offset by a decrease in guest traffic of 0.2%. Our comparable store restaurant sales increased from 2010 to 2011 resulting from a higher average check of 2.2%, including a 2.0% average menu price increase, partially offset by a decrease in guest traffic of 2.0%. We believe that the decreases in restaurant guest traffic in the first quarter of 2012 and 2011 resulted from continued uncertain consumer sentiment, high unemployment and reduced discretionary spending. Starting in the second quarter of 2012, our guest traffic was positive in the three successive quarters.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comparable store retail sales increase from 2011 to 2012 resulted from a more appealing retail merchandise selection than in the prior year and the growth of apparel, accessories and proprietary product lines. We believe that the comparable store retail sales increase from 2010 to 2011 resulted from a more appealing retail merchandise selection and a higher average retail selling price than in the prior year partially offset by a decrease in restaurant guest traffic.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cost of goods sold in dollar amounts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553,478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511,728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489,781</w:t>
            </w: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274,006</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260,743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256,037</w:t>
            </w:r>
          </w:p>
        </w:tc>
      </w:tr>
      <w:tr>
        <w:trPr>
          <w:trHeight w:val="257"/>
        </w:trPr>
        <w:tc>
          <w:tcPr>
            <w:tcW w:w="20" w:type="dxa"/>
            <w:vAlign w:val="bottom"/>
          </w:tcPr>
          <w:p>
            <w:pPr>
              <w:spacing w:after="0"/>
              <w:rPr>
                <w:sz w:val="22"/>
                <w:szCs w:val="22"/>
                <w:color w:val="auto"/>
              </w:rPr>
            </w:pPr>
          </w:p>
        </w:tc>
        <w:tc>
          <w:tcPr>
            <w:tcW w:w="6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827,484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772,471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745,818</w:t>
            </w:r>
          </w:p>
        </w:tc>
      </w:tr>
      <w:tr>
        <w:trPr>
          <w:trHeight w:val="224"/>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*2012 consists of 53 weeks while all other periods presented consist of 52 weeks.</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restaurant cost of goods sold as a percentage of restaurant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2010</w:t>
            </w:r>
          </w:p>
        </w:tc>
      </w:tr>
      <w:tr>
        <w:trPr>
          <w:trHeight w:val="257"/>
        </w:trPr>
        <w:tc>
          <w:tcPr>
            <w:tcW w:w="20" w:type="dxa"/>
            <w:vAlign w:val="bottom"/>
          </w:tcPr>
          <w:p>
            <w:pPr>
              <w:spacing w:after="0"/>
              <w:rPr>
                <w:sz w:val="22"/>
                <w:szCs w:val="22"/>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Restaurant Cost of Goods Sold</w:t>
            </w:r>
          </w:p>
        </w:tc>
        <w:tc>
          <w:tcPr>
            <w:tcW w:w="37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26.9%</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26.5%</w:t>
            </w: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25.6%</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from 2011 to 2012 is primarily the result of food commodity inflation of 4.5% partially offset by our menu price increase referenced above. The increase from 2010 to 2011 is primarily the result of food commodity inflation of 2.9% partially offset by our menu price increase referenced above. Changes in product mix and higher food waste also contributed to the year-over-year increase in restaurant cost of goods sold as a percentage of restaurant revenue from 2010 to 2011.</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presently expect the rate of commodity inflation to be approximately 5.0% to 6.0% in 2013 as compared to 2012. We expect to offset the effects of food commodity inflation through a combination of menu price increases, supply contracts and other cost reduction initiatives.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retail cost of goods sold as a percentage of retail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2012</w:t>
            </w:r>
          </w:p>
        </w:tc>
        <w:tc>
          <w:tcPr>
            <w:tcW w:w="17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2011</w:t>
            </w: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2010</w:t>
            </w:r>
          </w:p>
        </w:tc>
      </w:tr>
      <w:tr>
        <w:trPr>
          <w:trHeight w:val="257"/>
        </w:trPr>
        <w:tc>
          <w:tcPr>
            <w:tcW w:w="20" w:type="dxa"/>
            <w:vAlign w:val="bottom"/>
          </w:tcPr>
          <w:p>
            <w:pPr>
              <w:spacing w:after="0"/>
              <w:rPr>
                <w:sz w:val="22"/>
                <w:szCs w:val="22"/>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 Cost of Goods Sold</w:t>
            </w:r>
          </w:p>
        </w:tc>
        <w:tc>
          <w:tcPr>
            <w:tcW w:w="424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rPr>
              <w:t>52.1%</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52.1%</w:t>
            </w:r>
          </w:p>
        </w:tc>
        <w:tc>
          <w:tcPr>
            <w:tcW w:w="1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52.0%</w:t>
            </w:r>
          </w:p>
        </w:tc>
      </w:tr>
      <w:tr>
        <w:trPr>
          <w:trHeight w:val="54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40" w:type="dxa"/>
            <w:vAlign w:val="bottom"/>
          </w:tcPr>
          <w:p>
            <w:pPr>
              <w:jc w:val="right"/>
              <w:ind w:right="2156"/>
              <w:spacing w:after="0"/>
              <w:rPr>
                <w:sz w:val="20"/>
                <w:szCs w:val="20"/>
                <w:color w:val="auto"/>
              </w:rPr>
            </w:pPr>
            <w:r>
              <w:rPr>
                <w:rFonts w:ascii="Arial" w:cs="Arial" w:eastAsia="Arial" w:hAnsi="Arial"/>
                <w:sz w:val="14"/>
                <w:szCs w:val="14"/>
                <w:color w:val="auto"/>
              </w:rPr>
              <w:t>31</w:t>
            </w: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Retail cost of goods sold as a percentage of retail revenue remained flat in 2012 as compared to 2011 and was relatively constant in 2011 as compared to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Restructurings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2012, we restructured and streamlined our field organization to better align our restaurant and retail operations under central leadership. The restructuring of the field organization and related changes in our headquarters in Lebanon, Tennessee, resulted in the elimination of approximately 20 positions. As a result, we incurred severance charges of $1,660. We estimate that this restructuring will generate annual pre-tax savings of approximately $5,000, of which approximately $3,500 will be realized as a reduction to general and administrative expenses and approximately $1,500 will be realized as a reduction to labor and related expenses.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2011, we implemented a cost reduction and organization streamlining initiative, which resulted in the elimination of approximately 60 management and staff positions. Most of the employees affected worked in our headquarters and the restructuring did not affect any store positions. As a result, in the fourth quarter of 2011, we incurred severance charges of $1,768. Severance charges are recorded in general and administrative expenses (see sub-section below entitled “General and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Labor and Related Expenses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Labor and other related expenses include all direct and indirect labor and related costs incurred in store operations. Labor and other related expenses as a percentage of total revenue were 36.8%, 37.1% and 37.8% in 2012, 2011 and 2010, respectively. The year-to-year percentage change from 2011 to 2012 resulted from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460" w:type="dxa"/>
            <w:vAlign w:val="bottom"/>
          </w:tcPr>
          <w:p>
            <w:pPr>
              <w:jc w:val="right"/>
              <w:ind w:right="810"/>
              <w:spacing w:after="0"/>
              <w:rPr>
                <w:sz w:val="20"/>
                <w:szCs w:val="20"/>
                <w:color w:val="auto"/>
              </w:rPr>
            </w:pPr>
            <w:r>
              <w:rPr>
                <w:rFonts w:ascii="Arial" w:cs="Arial" w:eastAsia="Arial" w:hAnsi="Arial"/>
                <w:sz w:val="18"/>
                <w:szCs w:val="18"/>
                <w:color w:val="auto"/>
              </w:rPr>
              <w:t>2011 to 2012</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460" w:type="dxa"/>
            <w:vAlign w:val="bottom"/>
          </w:tcPr>
          <w:p>
            <w:pPr>
              <w:jc w:val="right"/>
              <w:ind w:right="410"/>
              <w:spacing w:after="0"/>
              <w:rPr>
                <w:sz w:val="20"/>
                <w:szCs w:val="20"/>
                <w:color w:val="auto"/>
              </w:rPr>
            </w:pPr>
            <w:r>
              <w:rPr>
                <w:rFonts w:ascii="Arial" w:cs="Arial" w:eastAsia="Arial" w:hAnsi="Arial"/>
                <w:sz w:val="18"/>
                <w:szCs w:val="18"/>
                <w:color w:val="auto"/>
                <w:w w:val="95"/>
              </w:rPr>
              <w:t>(Decrease) Increase as a</w:t>
            </w:r>
          </w:p>
        </w:tc>
      </w:t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Percentage of Total Revenue</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Health care costs</w:t>
            </w:r>
          </w:p>
        </w:tc>
        <w:tc>
          <w:tcPr>
            <w:tcW w:w="24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resulted from improved productivity due to our enhanced labor management system and menu price increases being higher than wage inflation.</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decrease in our health care costs from 2011 to 2012 resulted from a change in our group policy. Employee health care expenses in the calendar 2011 plan year were lower due to improvements in claims experience. As a result of these improvements, we negotiated a retrospectively rated group policy during the first quarter of 2012. This policy is retroactive to January 1, 2011 and provides for a reimbursement of health insurance premiums based on actual claims experience through the end of calendar year. The terms of this policy resulted in us receiving approximately $5,200 in net reimbursement for these health insurance premiums during 2012, which reduced our health care costs. This reduction was partially offset by higher claims experience in 2012. Additionally, we do not expect to receive a reimbursement for health insurance premiums in 2013 and have included a provision for a retroactive increase during the second half of 2012.</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Higher store bonus expense in 2012 as compared to 2011 reflected better performance against financial objectives in 2012 as compared to the prior year.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year-to-year percentage change from 2010 to 2011 resulted from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89"/>
              </w:rPr>
              <w:t>2010 to 2011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85"/>
              </w:rPr>
              <w:t>Decrease as a Percentage</w:t>
            </w: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of Total Revenue</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Health care costs</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8"/>
                <w:szCs w:val="18"/>
                <w:color w:val="auto"/>
              </w:rPr>
            </w:pPr>
          </w:p>
        </w:tc>
      </w:tr>
      <w:tr>
        <w:trPr>
          <w:trHeight w:val="555"/>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00" w:type="dxa"/>
            <w:vAlign w:val="bottom"/>
          </w:tcPr>
          <w:p>
            <w:pPr>
              <w:jc w:val="right"/>
              <w:ind w:right="2234"/>
              <w:spacing w:after="0"/>
              <w:rPr>
                <w:sz w:val="20"/>
                <w:szCs w:val="20"/>
                <w:color w:val="auto"/>
              </w:rPr>
            </w:pPr>
            <w:r>
              <w:rPr>
                <w:rFonts w:ascii="Arial" w:cs="Arial" w:eastAsia="Arial" w:hAnsi="Arial"/>
                <w:sz w:val="14"/>
                <w:szCs w:val="14"/>
                <w:color w:val="auto"/>
              </w:rPr>
              <w:t>32</w:t>
            </w: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350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store management compensation resulted primarily from lower store bonus expense, which reflected lower performance against financial objectives as compared to the prior year. The decrease in health care costs resulted from lower medical claims. The decrease in store hourly labor costs as a percentage of total revenue resulted from menu price increases being higher than wage inflation.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Store Operating Expenses</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real and personal property taxes and general insurance. Other store operating expenses as a percentage of total revenue were 18.0%, 18.6% and 18.2% in 2012, 2011 and 2010, respectively.</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The year-to-year percentage change from 2011 to 2012 resulted primarily from the following:</w:t>
            </w:r>
          </w:p>
        </w:tc>
        <w:tc>
          <w:tcPr>
            <w:tcW w:w="2460" w:type="dxa"/>
            <w:vAlign w:val="bottom"/>
          </w:tcPr>
          <w:p>
            <w:pPr>
              <w:spacing w:after="0"/>
              <w:rPr>
                <w:sz w:val="20"/>
                <w:szCs w:val="20"/>
                <w:color w:val="auto"/>
              </w:rPr>
            </w:pPr>
          </w:p>
        </w:tc>
      </w:tr>
      <w:tr>
        <w:trPr>
          <w:trHeight w:val="445"/>
        </w:trPr>
        <w:tc>
          <w:tcPr>
            <w:tcW w:w="8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460" w:type="dxa"/>
            <w:vAlign w:val="bottom"/>
          </w:tcPr>
          <w:p>
            <w:pPr>
              <w:jc w:val="right"/>
              <w:ind w:right="810"/>
              <w:spacing w:after="0"/>
              <w:rPr>
                <w:sz w:val="20"/>
                <w:szCs w:val="20"/>
                <w:color w:val="auto"/>
              </w:rPr>
            </w:pPr>
            <w:r>
              <w:rPr>
                <w:rFonts w:ascii="Arial" w:cs="Arial" w:eastAsia="Arial" w:hAnsi="Arial"/>
                <w:sz w:val="18"/>
                <w:szCs w:val="18"/>
                <w:color w:val="auto"/>
              </w:rPr>
              <w:t>2011 to 2012</w:t>
            </w:r>
          </w:p>
        </w:tc>
      </w:tr>
      <w:tr>
        <w:trPr>
          <w:trHeight w:val="216"/>
        </w:trPr>
        <w:tc>
          <w:tcPr>
            <w:tcW w:w="8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460" w:type="dxa"/>
            <w:vAlign w:val="bottom"/>
          </w:tcPr>
          <w:p>
            <w:pPr>
              <w:jc w:val="right"/>
              <w:ind w:right="410"/>
              <w:spacing w:after="0"/>
              <w:rPr>
                <w:sz w:val="20"/>
                <w:szCs w:val="20"/>
                <w:color w:val="auto"/>
              </w:rPr>
            </w:pPr>
            <w:r>
              <w:rPr>
                <w:rFonts w:ascii="Arial" w:cs="Arial" w:eastAsia="Arial" w:hAnsi="Arial"/>
                <w:sz w:val="18"/>
                <w:szCs w:val="18"/>
                <w:color w:val="auto"/>
                <w:w w:val="95"/>
              </w:rPr>
              <w:t>(Decrease) Increase as a</w:t>
            </w:r>
          </w:p>
        </w:tc>
      </w:tr>
      <w:tr>
        <w:trPr>
          <w:trHeight w:val="237"/>
        </w:trPr>
        <w:tc>
          <w:tcPr>
            <w:tcW w:w="8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Percentage of Total Revenue</w:t>
            </w:r>
          </w:p>
        </w:tc>
      </w:tr>
      <w:tr>
        <w:trPr>
          <w:trHeight w:val="216"/>
        </w:trPr>
        <w:tc>
          <w:tcPr>
            <w:tcW w:w="8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8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Litigation settlement</w:t>
            </w:r>
          </w:p>
        </w:tc>
        <w:tc>
          <w:tcPr>
            <w:tcW w:w="24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Credit card fees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Supplies</w:t>
            </w:r>
          </w:p>
        </w:tc>
        <w:tc>
          <w:tcPr>
            <w:tcW w:w="24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utilities expense from 2011 to 2012 resulted primarily from lower natural gas costs.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2012, we received proceeds from a litigation settlement and recorded the proceeds as a gain in other store operating expenses since the settlement related to a matter previously recorded in other store operating expenses. Because we believed this settlement represented a gain contingency, we did not record the gain until the settlement amount and timing were assured.</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credit card fees from 2011 to 2012 resulted from a reduction in debit card fee rates due to a change in Federal law governing such fees. We believe that the decrease in supplies expense as a percentage of total revenue from 2011 to 2012 resulted primarily from our efforts to control this expense.</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advertising expense from 2011 to 2012 resulted from our change in advertising strategy during 2012 in which we spent more on television advertising than in the prior year as a result of our entry into the national cable market in 2012.</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The year-to-year percentage change from 2010 to 2011 resulted primarily from the following:</w:t>
            </w:r>
          </w:p>
        </w:tc>
        <w:tc>
          <w:tcPr>
            <w:tcW w:w="2080" w:type="dxa"/>
            <w:vAlign w:val="bottom"/>
          </w:tcPr>
          <w:p>
            <w:pPr>
              <w:spacing w:after="0"/>
              <w:rPr>
                <w:sz w:val="20"/>
                <w:szCs w:val="20"/>
                <w:color w:val="auto"/>
              </w:rPr>
            </w:pPr>
          </w:p>
        </w:tc>
      </w:tr>
      <w:tr>
        <w:trPr>
          <w:trHeight w:val="445"/>
        </w:trPr>
        <w:tc>
          <w:tcPr>
            <w:tcW w:w="8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80" w:type="dxa"/>
            <w:vAlign w:val="bottom"/>
          </w:tcPr>
          <w:p>
            <w:pPr>
              <w:jc w:val="center"/>
              <w:ind w:right="130"/>
              <w:spacing w:after="0"/>
              <w:rPr>
                <w:sz w:val="20"/>
                <w:szCs w:val="20"/>
                <w:color w:val="auto"/>
              </w:rPr>
            </w:pPr>
            <w:r>
              <w:rPr>
                <w:rFonts w:ascii="Arial" w:cs="Arial" w:eastAsia="Arial" w:hAnsi="Arial"/>
                <w:sz w:val="18"/>
                <w:szCs w:val="18"/>
                <w:color w:val="auto"/>
                <w:w w:val="89"/>
              </w:rPr>
              <w:t>2010 to 2011</w:t>
            </w:r>
          </w:p>
        </w:tc>
      </w:tr>
      <w:tr>
        <w:trPr>
          <w:trHeight w:val="216"/>
        </w:trPr>
        <w:tc>
          <w:tcPr>
            <w:tcW w:w="8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8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of Total Revenue</w:t>
            </w:r>
          </w:p>
        </w:tc>
      </w:tr>
      <w:tr>
        <w:trPr>
          <w:trHeight w:val="216"/>
        </w:trPr>
        <w:tc>
          <w:tcPr>
            <w:tcW w:w="8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Supplies</w:t>
            </w:r>
          </w:p>
        </w:tc>
        <w:tc>
          <w:tcPr>
            <w:tcW w:w="20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General insurance expenses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increase in advertising expense resulted from increased spending related to billboards and consumer research as compared to the prior year. We purchased additional billboard coverage during the 2011 summer travel season to better capture available guest traffic. Additionally, the incremental consumer research was conducted to gain consumer insight into menu offerings and recent guest traffic trends. The increase in supplies expense resulted from increases in numerous supply categories including office supplies and shopping bags. Higher general insurance expense resulted from favorable actuarial reserve adjustments made in the prior year.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expenses as a percentage of total revenue were 5.7%, 5.7% and 6.1% in 2012, 2011 and 2010, respectively.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as a percentage of total revenue remained flat at 5.7% in 2012 as compared to 2011 as a result of the following offsetting variances: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0" w:type="dxa"/>
            <w:vAlign w:val="bottom"/>
          </w:tcPr>
          <w:p>
            <w:pPr>
              <w:jc w:val="center"/>
              <w:ind w:right="190"/>
              <w:spacing w:after="0"/>
              <w:rPr>
                <w:sz w:val="20"/>
                <w:szCs w:val="20"/>
                <w:color w:val="auto"/>
              </w:rPr>
            </w:pPr>
            <w:r>
              <w:rPr>
                <w:rFonts w:ascii="Arial" w:cs="Arial" w:eastAsia="Arial" w:hAnsi="Arial"/>
                <w:sz w:val="18"/>
                <w:szCs w:val="18"/>
                <w:color w:val="auto"/>
                <w:w w:val="91"/>
              </w:rPr>
              <w:t>2011 to 2012</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0" w:type="dxa"/>
            <w:vAlign w:val="bottom"/>
          </w:tcPr>
          <w:p>
            <w:pPr>
              <w:jc w:val="center"/>
              <w:ind w:right="190"/>
              <w:spacing w:after="0"/>
              <w:rPr>
                <w:sz w:val="20"/>
                <w:szCs w:val="20"/>
                <w:color w:val="auto"/>
              </w:rPr>
            </w:pPr>
            <w:r>
              <w:rPr>
                <w:rFonts w:ascii="Arial" w:cs="Arial" w:eastAsia="Arial" w:hAnsi="Arial"/>
                <w:sz w:val="18"/>
                <w:szCs w:val="18"/>
                <w:color w:val="auto"/>
                <w:w w:val="87"/>
              </w:rPr>
              <w:t>(Decrease) Increase as a</w:t>
            </w: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Percentage of Total Revenue</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Incentive compensation</w:t>
            </w:r>
          </w:p>
        </w:tc>
        <w:tc>
          <w:tcPr>
            <w:tcW w:w="24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December 2011 proxy contest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Lower payroll and related expenses in 2012 as compared to 2011 resulted primarily from our organizational restructurings (see sub-section above entitled “Restructurings”). Higher incentive compensation in 2012 as compared to 2011 resulted primarily from better performance against financial objectives.</w:t>
      </w:r>
    </w:p>
    <w:p>
      <w:pPr>
        <w:spacing w:after="0" w:line="15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August 2012, we were notified by a shareholder of its intent to nominate two candidates for election to our board of directors at the 2012 Annual Meeting of Shareholders in November 2012. Should this nomination result in a proxy contest at the upcoming Annual Meeting of Shareholders, we would likely incur proxy contest costs in 2013, but management currently expects these costs to be modestly lower than incurred in 2012.</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The year-to-year percentage change from 2010 to 2011 resulted from the following:</w:t>
            </w:r>
          </w:p>
        </w:tc>
        <w:tc>
          <w:tcPr>
            <w:tcW w:w="2460" w:type="dxa"/>
            <w:vAlign w:val="bottom"/>
          </w:tcPr>
          <w:p>
            <w:pPr>
              <w:spacing w:after="0"/>
              <w:rPr>
                <w:sz w:val="20"/>
                <w:szCs w:val="20"/>
                <w:color w:val="auto"/>
              </w:rPr>
            </w:pPr>
          </w:p>
        </w:tc>
      </w:tr>
      <w:tr>
        <w:trPr>
          <w:trHeight w:val="445"/>
        </w:trPr>
        <w:tc>
          <w:tcPr>
            <w:tcW w:w="8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460" w:type="dxa"/>
            <w:vAlign w:val="bottom"/>
          </w:tcPr>
          <w:p>
            <w:pPr>
              <w:jc w:val="right"/>
              <w:ind w:right="810"/>
              <w:spacing w:after="0"/>
              <w:rPr>
                <w:sz w:val="20"/>
                <w:szCs w:val="20"/>
                <w:color w:val="auto"/>
              </w:rPr>
            </w:pPr>
            <w:r>
              <w:rPr>
                <w:rFonts w:ascii="Arial" w:cs="Arial" w:eastAsia="Arial" w:hAnsi="Arial"/>
                <w:sz w:val="18"/>
                <w:szCs w:val="18"/>
                <w:color w:val="auto"/>
              </w:rPr>
              <w:t>2010 to 2011</w:t>
            </w:r>
          </w:p>
        </w:tc>
      </w:tr>
      <w:tr>
        <w:trPr>
          <w:trHeight w:val="216"/>
        </w:trPr>
        <w:tc>
          <w:tcPr>
            <w:tcW w:w="8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460" w:type="dxa"/>
            <w:vAlign w:val="bottom"/>
          </w:tcPr>
          <w:p>
            <w:pPr>
              <w:jc w:val="right"/>
              <w:ind w:right="410"/>
              <w:spacing w:after="0"/>
              <w:rPr>
                <w:sz w:val="20"/>
                <w:szCs w:val="20"/>
                <w:color w:val="auto"/>
              </w:rPr>
            </w:pPr>
            <w:r>
              <w:rPr>
                <w:rFonts w:ascii="Arial" w:cs="Arial" w:eastAsia="Arial" w:hAnsi="Arial"/>
                <w:sz w:val="18"/>
                <w:szCs w:val="18"/>
                <w:color w:val="auto"/>
                <w:w w:val="95"/>
              </w:rPr>
              <w:t>(Decrease) Increase as a</w:t>
            </w:r>
          </w:p>
        </w:tc>
      </w:tr>
      <w:tr>
        <w:trPr>
          <w:trHeight w:val="237"/>
        </w:trPr>
        <w:tc>
          <w:tcPr>
            <w:tcW w:w="8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Percentage of Total Revenue</w:t>
            </w:r>
          </w:p>
        </w:tc>
      </w:tr>
      <w:tr>
        <w:trPr>
          <w:trHeight w:val="216"/>
        </w:trPr>
        <w:tc>
          <w:tcPr>
            <w:tcW w:w="8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incentive compensation reflected lower performance against financial objectives in 2011 as compared to the prior year. The increase in payroll and related expenses resulted primarily from severance charges related to our restructuring in July 2011 (see sub-section above entitled “Restructurings”) and an increase in the number of store managers in training.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Impairment and Store Dispositions, Net</w:t>
            </w:r>
          </w:p>
        </w:tc>
        <w:tc>
          <w:tcPr>
            <w:tcW w:w="2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Impairment and store dispositions, net consisted of the following at:</w:t>
            </w: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2,672</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Gains on disposition of stores</w:t>
            </w:r>
          </w:p>
        </w:tc>
        <w:tc>
          <w:tcPr>
            <w:tcW w:w="200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Store closing costs</w:t>
            </w:r>
          </w:p>
        </w:tc>
        <w:tc>
          <w:tcPr>
            <w:tcW w:w="20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6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2,800</w:t>
            </w:r>
          </w:p>
        </w:tc>
      </w:tr>
      <w:tr>
        <w:trPr>
          <w:trHeight w:val="21"/>
        </w:trPr>
        <w:tc>
          <w:tcPr>
            <w:tcW w:w="20" w:type="dxa"/>
            <w:vAlign w:val="bottom"/>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2011, we recorded impairment charges of $1,044 and $2,175, respectively, for office space classified as property held for sale and a leased store. The leased store was impaired because of declining operating performance and resulting negative cash flow projections. During 2010, we also determined that one leased store was impaired and closed one owned store, resulting in total impairment charges of $2,672.</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2011, we sold two closed stores. Additionally, one of our stores was acquired by the State of Florida for road expansion pursuant to eminent domain. These transactions resulted in a net gain of $4,109.</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interest expense for the past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44,687</w:t>
        <w:tab/>
        <w:t>$</w:t>
      </w:r>
      <w:r>
        <w:rPr>
          <w:sz w:val="20"/>
          <w:szCs w:val="20"/>
          <w:color w:val="auto"/>
        </w:rPr>
        <w:tab/>
      </w:r>
      <w:r>
        <w:rPr>
          <w:rFonts w:ascii="Arial" w:cs="Arial" w:eastAsia="Arial" w:hAnsi="Arial"/>
          <w:sz w:val="18"/>
          <w:szCs w:val="18"/>
          <w:color w:val="auto"/>
        </w:rPr>
        <w:t>51,490</w:t>
        <w:tab/>
        <w:t>$</w:t>
      </w:r>
      <w:r>
        <w:rPr>
          <w:sz w:val="20"/>
          <w:szCs w:val="20"/>
          <w:color w:val="auto"/>
        </w:rPr>
        <w:tab/>
      </w:r>
      <w:r>
        <w:rPr>
          <w:rFonts w:ascii="Arial" w:cs="Arial" w:eastAsia="Arial" w:hAnsi="Arial"/>
          <w:sz w:val="16"/>
          <w:szCs w:val="16"/>
          <w:color w:val="auto"/>
        </w:rPr>
        <w:t>48,959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year-to-year decrease from 2011 to 2012 resulted primarily from the non-recurrence of costs related to our debt refinancing in July 2011 and lower average debt outstanding. The additional week in 2012 increased interest expense by $811. The year-to-year increase from 2010 to 2011 resulted primarily from costs related to our debt refinancing in July 2011 partially offset by lower average debt outstanding. As part of our debt refinancing, we incurred additional expenses of $5,136 in 2011 related to transaction fees and the write-off of deferred financing costs. We presently expect a reduction in interest expense of approximately $8,000 to $9,000 in 2013 primarily because of the expiration of a seven-year interest rate swap with a fixed interest rate of 5.57% plus our current credit spread.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provision for income taxes as a percentage of income before income taxes (“effective tax rate”) for the past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2010</w:t>
            </w:r>
          </w:p>
        </w:tc>
      </w:tr>
      <w:tr>
        <w:trPr>
          <w:trHeight w:val="257"/>
        </w:trPr>
        <w:tc>
          <w:tcPr>
            <w:tcW w:w="20" w:type="dxa"/>
            <w:vAlign w:val="bottom"/>
          </w:tcPr>
          <w:p>
            <w:pPr>
              <w:spacing w:after="0"/>
              <w:rPr>
                <w:sz w:val="22"/>
                <w:szCs w:val="22"/>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2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29.5%</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26.3%</w:t>
            </w: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26.3%</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our effective tax rate from 2011 to 2012 resulted primarily from a net increase in our liability for uncertain tax positions in 2012, a deferred tax benefit for a state rate change realized in 2011 but not in 2012 and the increase in pretax income. Our effective tax rate remained flat at 2011 compared to 2010. We presently expect our effective tax rate for 2013 to be approximately 32% to 33% because of the expiration of the Work Opportunity Tax Credit offset by lower state taxes.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 summary of our cash flows for the last three years: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219,822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138,212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212,106</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(79,547)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(69,489)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(69,626)</w:t>
            </w:r>
          </w:p>
        </w:tc>
      </w:tr>
      <w:tr>
        <w:trPr>
          <w:trHeight w:val="223"/>
        </w:trPr>
        <w:tc>
          <w:tcPr>
            <w:tcW w:w="20" w:type="dxa"/>
            <w:vAlign w:val="bottom"/>
          </w:tcPr>
          <w:p>
            <w:pPr>
              <w:spacing w:after="0"/>
              <w:rPr>
                <w:sz w:val="19"/>
                <w:szCs w:val="19"/>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(106,389)</w:t>
            </w:r>
          </w:p>
        </w:tc>
      </w:tr>
      <w:tr>
        <w:trPr>
          <w:trHeight w:val="216"/>
        </w:trPr>
        <w:tc>
          <w:tcPr>
            <w:tcW w:w="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increase in cash and cash equivalents</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99,688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4,574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36,091</w:t>
            </w:r>
          </w:p>
        </w:tc>
      </w:tr>
      <w:tr>
        <w:trPr>
          <w:trHeight w:val="21"/>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revolving credit facility. Our internally generated cash, along with cash on hand at July 29, 2011, our borrowings under our revolving credit facility and proceeds from exercises of share-based compensation awards, were sufficient to finance all of our growth, share repurchases, dividend payments, working capital needs and other cash payment obligations in 2012.</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cash at August 3, 2012, along with cash expected to be generated from our operating activities, the borrowing capacity under our revolving credit facility and expected proceeds from exercises of share-based compensation awards will be sufficient to finance our continuing operations, our continuing expansion plans, our share repurchase plans and our expected dividend payments for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from Operations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net cash flow provided by operating activities from 2011 to 2012 reflected lower annual bonus payments made in 2012 for the prior year’s performance, higher net income and the timing of payments for accounts payable and income taxes.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decrease in net cash flow provided by operating activities from 2010 to 2011 reflected a decrease in accounts payable, payments for estimated income taxes and higher annual bonus payments made in 2011 for the prior year’s performance partially offset by the change in retail inventories. The decrease in accounts payable reflected the results of conversion to more electronic payment methods and lower accounts payable related to retail inventory. The change in retail inventories was primarily related to the timing of seasonal inventory purchases.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capital expenditures (purchase of property and equipment), net of proceeds from insurance recoveries, for the last three years:</w:t>
      </w:r>
    </w:p>
    <w:p>
      <w:pPr>
        <w:spacing w:after="0" w:line="197"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Capital expenditures, net of proceeds from insurance recoveries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80,170</w:t>
        <w:tab/>
        <w:t>$</w:t>
      </w:r>
      <w:r>
        <w:rPr>
          <w:sz w:val="20"/>
          <w:szCs w:val="20"/>
          <w:color w:val="auto"/>
        </w:rPr>
        <w:tab/>
      </w:r>
      <w:r>
        <w:rPr>
          <w:rFonts w:ascii="Arial" w:cs="Arial" w:eastAsia="Arial" w:hAnsi="Arial"/>
          <w:sz w:val="18"/>
          <w:szCs w:val="18"/>
          <w:color w:val="auto"/>
        </w:rPr>
        <w:t>77,686</w:t>
        <w:tab/>
        <w:t>$</w:t>
      </w:r>
      <w:r>
        <w:rPr>
          <w:sz w:val="20"/>
          <w:szCs w:val="20"/>
          <w:color w:val="auto"/>
        </w:rPr>
        <w:tab/>
      </w:r>
      <w:r>
        <w:rPr>
          <w:rFonts w:ascii="Arial" w:cs="Arial" w:eastAsia="Arial" w:hAnsi="Arial"/>
          <w:sz w:val="16"/>
          <w:szCs w:val="16"/>
          <w:color w:val="auto"/>
        </w:rPr>
        <w:t>69,891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capital expenditures consisted primarily of costs of new store locations and capital expenditures for maintenance programs in 2012 and 2011 and capital expenditures for maintenance programs in 2010. The increases in capital expenditures from 2011 and 2012 and from 2010 to 2011 both resulted primarily from increases in the number of new store locations acquired and under construction as compared to the prior year partially offset by lower capital expenditures for maintenance programs.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that our capital expenditures during 2013 will be between $90,000 and $100,000. This estimate includes certain costs related to the acquisition of sites and construction of new stores that have opened or will open during 2013, as well as for acquisition and construction costs for store locations to be opened in future years and capital expenditures for maintenance programs. We intend to fund our capital expenditures with cash generated by operations and borrowings under our revolving credit facility, as necessary.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Property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2011, we received net proceeds of $1,054 from the sale of two closed stores and $6,576 as a result of a condemnation award.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and Debt Covenants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provide us with increased flexibility in our capital structure, in July 2011, we entered into a five-year $750,000 credit facility (the “Credit Facility”) consisting of a $250,000 term loan (aggregate outstanding at August 3, 2012 and July 29, 2011 was $212,500 and $231,250, respectively) and a $500,000 revolving credit facility (“the Revolving Credit Facility”). The Credit Facility replaced term loans totaling $575,000 and a $165,000 revolving credit facility.</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our borrowing capacity and outstanding borrowings under the Revolving Credit Facility, our standby letters of credit and our borrowing availability under the Revolving Credit Facility as of August 3,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ind w:left="2940"/>
              <w:spacing w:after="0"/>
              <w:rPr>
                <w:sz w:val="20"/>
                <w:szCs w:val="20"/>
                <w:color w:val="auto"/>
              </w:rPr>
            </w:pPr>
            <w:r>
              <w:rPr>
                <w:rFonts w:ascii="Arial" w:cs="Arial" w:eastAsia="Arial" w:hAnsi="Arial"/>
                <w:sz w:val="18"/>
                <w:szCs w:val="18"/>
                <w:color w:val="auto"/>
                <w:w w:val="99"/>
              </w:rPr>
              <w:t>August 3, 2012</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under the Revolving Credit Facility</w:t>
            </w:r>
          </w:p>
        </w:tc>
        <w:tc>
          <w:tcPr>
            <w:tcW w:w="324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Outstanding borrowings under the Revolving Credit Facility</w:t>
            </w:r>
          </w:p>
        </w:tc>
        <w:tc>
          <w:tcPr>
            <w:tcW w:w="3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312,500</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Standby letters of credit</w:t>
            </w:r>
            <w:r>
              <w:rPr>
                <w:rFonts w:ascii="Arial" w:cs="Arial" w:eastAsia="Arial" w:hAnsi="Arial"/>
                <w:sz w:val="25"/>
                <w:szCs w:val="25"/>
                <w:color w:val="auto"/>
                <w:vertAlign w:val="superscript"/>
              </w:rPr>
              <w:t>*</w:t>
            </w:r>
          </w:p>
        </w:tc>
        <w:tc>
          <w:tcPr>
            <w:tcW w:w="3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31,506</w:t>
            </w: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 availability under the Revolving Credit Facility</w:t>
            </w:r>
          </w:p>
        </w:tc>
        <w:tc>
          <w:tcPr>
            <w:tcW w:w="324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155,994</w:t>
            </w:r>
          </w:p>
        </w:tc>
      </w:tr>
      <w:tr>
        <w:trPr>
          <w:trHeight w:val="21"/>
        </w:trPr>
        <w:tc>
          <w:tcPr>
            <w:tcW w:w="20" w:type="dxa"/>
            <w:vAlign w:val="bottom"/>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180" w:hanging="172"/>
        <w:spacing w:after="0" w:line="261"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sectPr>
          <w:pgSz w:w="11900" w:h="16838" w:orient="portrait"/>
          <w:cols w:equalWidth="0" w:num="1">
            <w:col w:w="11420"/>
          </w:cols>
          <w:pgMar w:left="240" w:top="121" w:right="239" w:bottom="1440" w:gutter="0" w:footer="0" w:header="0"/>
        </w:sectPr>
      </w:pP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reduced our borrowings under our Credit Facility by $25,000 in both 2012 and 2011 and by $64,856 in 2010. primarily by making optional prepayments under our term loan facilities by using excess cash generated from operations. optional prepayments made under our term loan facilities for the last three years: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firstLine="28"/>
        <w:spacing w:after="0" w:line="342" w:lineRule="auto"/>
        <w:rPr>
          <w:sz w:val="20"/>
          <w:szCs w:val="20"/>
          <w:color w:val="auto"/>
        </w:rPr>
      </w:pPr>
      <w:r>
        <w:rPr>
          <w:rFonts w:ascii="Arial" w:cs="Arial" w:eastAsia="Arial" w:hAnsi="Arial"/>
          <w:sz w:val="16"/>
          <w:szCs w:val="16"/>
          <w:color w:val="auto"/>
        </w:rPr>
        <w:t>We were able to reduce our debt The following table highlights the</w:t>
      </w:r>
    </w:p>
    <w:p>
      <w:pPr>
        <w:spacing w:after="0" w:line="358" w:lineRule="exact"/>
        <w:rPr>
          <w:sz w:val="20"/>
          <w:szCs w:val="20"/>
          <w:color w:val="auto"/>
        </w:rPr>
      </w:pPr>
    </w:p>
    <w:p>
      <w:pPr>
        <w:sectPr>
          <w:pgSz w:w="11900" w:h="16838" w:orient="portrait"/>
          <w:cols w:equalWidth="0" w:num="2">
            <w:col w:w="8840" w:space="100"/>
            <w:col w:w="2480"/>
          </w:cols>
          <w:pgMar w:left="240" w:top="121" w:right="239" w:bottom="1440" w:gutter="0" w:footer="0" w:header="0"/>
          <w:type w:val="continuous"/>
        </w:sectPr>
      </w:pPr>
    </w:p>
    <w:p>
      <w:pPr>
        <w:spacing w:after="0" w:line="8"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Optional principal prepayments under our term loan facilities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18,750</w:t>
        <w:tab/>
        <w:t>$</w:t>
      </w:r>
      <w:r>
        <w:rPr>
          <w:sz w:val="20"/>
          <w:szCs w:val="20"/>
          <w:color w:val="auto"/>
        </w:rPr>
        <w:tab/>
      </w:r>
      <w:r>
        <w:rPr>
          <w:rFonts w:ascii="Arial" w:cs="Arial" w:eastAsia="Arial" w:hAnsi="Arial"/>
          <w:sz w:val="18"/>
          <w:szCs w:val="18"/>
          <w:color w:val="auto"/>
        </w:rPr>
        <w:t>18,750</w:t>
        <w:tab/>
        <w:t>$</w:t>
      </w:r>
      <w:r>
        <w:rPr>
          <w:sz w:val="20"/>
          <w:szCs w:val="20"/>
          <w:color w:val="auto"/>
        </w:rPr>
        <w:tab/>
      </w:r>
      <w:r>
        <w:rPr>
          <w:rFonts w:ascii="Arial" w:cs="Arial" w:eastAsia="Arial" w:hAnsi="Arial"/>
          <w:sz w:val="16"/>
          <w:szCs w:val="16"/>
          <w:color w:val="auto"/>
        </w:rPr>
        <w:t>57,856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See “Material Commitments” below and Note 5 to our Consolidated Financial Statements for further information on our long-term debt.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We presently are and expect to remain in compliance with the Credit Facility’s financial covenants for the remaining term of the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Dividends, Share Repurchases and Proceeds from the Exercise of Share-Based Compensation Awards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Credit Facility imposes restrictions on the amount of dividends we are permitted to pay and the amount of shares we are permitted to repurchase. In April 2012, we amended our Credit Facility to provide more flexibility with regard to the dividends we are permitted to pay as well as the amount of shares we are able to repurchase.</w:t>
      </w:r>
    </w:p>
    <w:p>
      <w:pPr>
        <w:spacing w:after="0" w:line="2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If there is no default then existing and the total of our availability under our Revolving Credit Facility plus our cash and cash equivalents on hand is at least $100,000 (the “liquidity requirements”), we may declare and pay cash dividends on shares of our common stock if the aggregate amount of dividends paid during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2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each of the first three quarters of 2012, we declared a quarterly dividend of $0.25 per share of our common stock, an increase from the quarterly dividend of $0.22 per share paid in the first quarter of 2012. Additionally, during the third quarter of 2012, we further increased our quarterly dividend by sixty percent by declaring an additional dividend of $0.40 per share payable on August 6, 2012 to shareholders of record on July 20, 2012. In the first quarter of 2013, we declared a dividend of $0.50 per share payable on November 5, 2012 to shareholders of record on October 19, 2012.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dividends per share we paid for the last three years:</w:t>
      </w:r>
    </w:p>
    <w:p>
      <w:pPr>
        <w:spacing w:after="0" w:line="252"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260" w:val="left"/>
          <w:tab w:leader="none" w:pos="8800" w:val="left"/>
          <w:tab w:leader="none" w:pos="9620" w:val="left"/>
          <w:tab w:leader="none" w:pos="10160" w:val="left"/>
          <w:tab w:leader="none" w:pos="1098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0.97</w:t>
        <w:tab/>
        <w:t>$</w:t>
      </w:r>
      <w:r>
        <w:rPr>
          <w:sz w:val="20"/>
          <w:szCs w:val="20"/>
          <w:color w:val="auto"/>
        </w:rPr>
        <w:tab/>
      </w:r>
      <w:r>
        <w:rPr>
          <w:rFonts w:ascii="Arial" w:cs="Arial" w:eastAsia="Arial" w:hAnsi="Arial"/>
          <w:sz w:val="18"/>
          <w:szCs w:val="18"/>
          <w:color w:val="auto"/>
        </w:rPr>
        <w:t>0.86</w:t>
        <w:tab/>
        <w:t>$</w:t>
      </w:r>
      <w:r>
        <w:rPr>
          <w:sz w:val="20"/>
          <w:szCs w:val="20"/>
          <w:color w:val="auto"/>
        </w:rPr>
        <w:tab/>
      </w:r>
      <w:r>
        <w:rPr>
          <w:rFonts w:ascii="Arial" w:cs="Arial" w:eastAsia="Arial" w:hAnsi="Arial"/>
          <w:sz w:val="16"/>
          <w:szCs w:val="16"/>
          <w:color w:val="auto"/>
        </w:rPr>
        <w:t>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amended Credit Facility, as long as the liquidity requirements are met, the maximum amount of shares we may repurchase is $100,000. During 2012, we were authorized by our Board of Directors to repurchase shares at the discretion of management up to $65,000. Additionally, we have been authorized by our Board of Directors to repurchase shares at the discretion of management up to $100,000 during 2013. Our current criteria for share repurchases are that they be accretive to expected net income per share and are within the limits imposed by our Credit Facility.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our share repurchases for the last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repurchased</w:t>
            </w:r>
          </w:p>
        </w:tc>
        <w:tc>
          <w:tcPr>
            <w:tcW w:w="2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265,538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676,600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1,352,000</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shares repurchased</w:t>
            </w:r>
          </w:p>
        </w:tc>
        <w:tc>
          <w:tcPr>
            <w:tcW w:w="26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14,923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33,563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62,487</w:t>
            </w:r>
          </w:p>
        </w:tc>
      </w:tr>
      <w:tr>
        <w:trPr>
          <w:trHeight w:val="21"/>
        </w:trPr>
        <w:tc>
          <w:tcPr>
            <w:tcW w:w="20" w:type="dxa"/>
            <w:vAlign w:val="bottom"/>
          </w:tcPr>
          <w:p>
            <w:pPr>
              <w:spacing w:after="0" w:line="20" w:lineRule="exact"/>
              <w:rPr>
                <w:sz w:val="1"/>
                <w:szCs w:val="1"/>
                <w:color w:val="auto"/>
              </w:rPr>
            </w:pPr>
          </w:p>
        </w:tc>
        <w:tc>
          <w:tcPr>
            <w:tcW w:w="10040" w:type="dxa"/>
            <w:vAlign w:val="bottom"/>
            <w:tcBorders>
              <w:bottom w:val="single" w:sz="8" w:color="auto"/>
            </w:tcBorders>
            <w:gridSpan w:val="5"/>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0040" w:type="dxa"/>
            <w:vAlign w:val="bottom"/>
            <w:gridSpan w:val="5"/>
          </w:tcPr>
          <w:p>
            <w:pPr>
              <w:jc w:val="right"/>
              <w:ind w:right="170"/>
              <w:spacing w:after="0"/>
              <w:rPr>
                <w:sz w:val="20"/>
                <w:szCs w:val="20"/>
                <w:color w:val="auto"/>
              </w:rPr>
            </w:pPr>
            <w:r>
              <w:rPr>
                <w:rFonts w:ascii="Arial" w:cs="Arial" w:eastAsia="Arial" w:hAnsi="Arial"/>
                <w:sz w:val="18"/>
                <w:szCs w:val="18"/>
                <w:color w:val="auto"/>
                <w:w w:val="92"/>
              </w:rPr>
              <w:t>The following table highlights the proceeds received from the exercise of share-based compensation awards for the last three years: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57"/>
        </w:trPr>
        <w:tc>
          <w:tcPr>
            <w:tcW w:w="20" w:type="dxa"/>
            <w:vAlign w:val="bottom"/>
          </w:tcPr>
          <w:p>
            <w:pPr>
              <w:spacing w:after="0"/>
              <w:rPr>
                <w:sz w:val="22"/>
                <w:szCs w:val="22"/>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exercise of share-based compensation awards</w:t>
            </w:r>
          </w:p>
        </w:tc>
        <w:tc>
          <w:tcPr>
            <w:tcW w:w="2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17,602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20,540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37,460</w:t>
            </w:r>
          </w:p>
        </w:tc>
      </w:tr>
      <w:tr>
        <w:trPr>
          <w:trHeight w:val="54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80" w:type="dxa"/>
            <w:vAlign w:val="bottom"/>
          </w:tcPr>
          <w:p>
            <w:pPr>
              <w:jc w:val="right"/>
              <w:ind w:right="1816"/>
              <w:spacing w:after="0"/>
              <w:rPr>
                <w:sz w:val="20"/>
                <w:szCs w:val="20"/>
                <w:color w:val="auto"/>
              </w:rPr>
            </w:pPr>
            <w:r>
              <w:rPr>
                <w:rFonts w:ascii="Arial" w:cs="Arial" w:eastAsia="Arial" w:hAnsi="Arial"/>
                <w:sz w:val="14"/>
                <w:szCs w:val="14"/>
                <w:color w:val="auto"/>
              </w:rPr>
              <w:t>37</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9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restaurant inventories purchased locally generally are financed from normal trade credit. Because of our gift shop, which has a lower product turnover than the restaurant,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our working capital:</w:t>
      </w:r>
    </w:p>
    <w:p>
      <w:pPr>
        <w:spacing w:after="0" w:line="252"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380" w:val="left"/>
          <w:tab w:leader="none" w:pos="10160" w:val="left"/>
          <w:tab w:leader="none" w:pos="10740" w:val="left"/>
        </w:tabs>
        <w:rPr>
          <w:sz w:val="20"/>
          <w:szCs w:val="20"/>
          <w:color w:val="auto"/>
        </w:rPr>
      </w:pPr>
      <w:r>
        <w:rPr>
          <w:rFonts w:ascii="Arial" w:cs="Arial" w:eastAsia="Arial" w:hAnsi="Arial"/>
          <w:sz w:val="18"/>
          <w:szCs w:val="18"/>
          <w:color w:val="auto"/>
        </w:rPr>
        <w:t>Working capital (deficit)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18,249</w:t>
        <w:tab/>
        <w:t>$</w:t>
      </w:r>
      <w:r>
        <w:rPr>
          <w:sz w:val="20"/>
          <w:szCs w:val="20"/>
          <w:color w:val="auto"/>
        </w:rPr>
        <w:tab/>
      </w:r>
      <w:r>
        <w:rPr>
          <w:rFonts w:ascii="Arial" w:cs="Arial" w:eastAsia="Arial" w:hAnsi="Arial"/>
          <w:sz w:val="18"/>
          <w:szCs w:val="18"/>
          <w:color w:val="auto"/>
        </w:rPr>
        <w:t>(21,188)</w:t>
        <w:tab/>
        <w:t>$</w:t>
      </w:r>
      <w:r>
        <w:rPr>
          <w:sz w:val="20"/>
          <w:szCs w:val="20"/>
          <w:color w:val="auto"/>
        </w:rPr>
        <w:tab/>
      </w:r>
      <w:r>
        <w:rPr>
          <w:rFonts w:ascii="Arial" w:cs="Arial" w:eastAsia="Arial" w:hAnsi="Arial"/>
          <w:sz w:val="16"/>
          <w:szCs w:val="16"/>
          <w:color w:val="auto"/>
        </w:rPr>
        <w:t>(73,289)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change in working capital at August 3, 2012 compared to July 29, 2011 primarily reflected cash generated from operations and proceeds received from share-based compensation exercises partially offset by the current portion of our interest rate swap liability, higher incentive compensation accruals based on better performance against financial objectives in 2012 and the timing of payments for estimated income taxes.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change in working capital at July 29, 2011 compared with July 30, 2010 primarily reflected the decrease in accounts payable, payments for estimated income taxes, lower incentive compensation accruals and an optional prepayment of our required principal payments due within the next twelve months on our outstanding term loan. The decrease in accounts payable reflected the results of conversion to more electronic payment methods and lower accounts payable related to retail inventory. Lower incentive compensation accruals resulted from the payment of annual bonuses in the first quarter of 2011 that were earned for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various operating leases, which are disclosed more fully in “Material Commitments” below and Notes 2 and 10 to our Consolidated Financial Statements, we have no other material off-balance sheet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Material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cash obligations and commitments as of August 3, 2012, are summarized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8"/>
              </w:rPr>
              <w:t>Payments due by Year</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Obligations (a)</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2014-2015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2016-2017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After 2017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Term loan payable on or before July 8, 2016 (b)</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212,500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162,500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Revolving Credit Facility expiring on July 8, 2016 (b)</w:t>
            </w:r>
          </w:p>
        </w:tc>
        <w:tc>
          <w:tcPr>
            <w:tcW w:w="6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312,500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312,500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Note payable (c)</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leases (d)</w:t>
            </w:r>
          </w:p>
        </w:tc>
        <w:tc>
          <w:tcPr>
            <w:tcW w:w="6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797,918</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58,537</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89,429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79,732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570,220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(e)</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147,101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87,474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30,308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20,676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8,643</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obligations (f)</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42,043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31,073</w:t>
            </w:r>
          </w:p>
        </w:tc>
      </w:tr>
      <w:tr>
        <w:trPr>
          <w:trHeight w:val="257"/>
        </w:trPr>
        <w:tc>
          <w:tcPr>
            <w:tcW w:w="20" w:type="dxa"/>
            <w:vAlign w:val="bottom"/>
          </w:tcPr>
          <w:p>
            <w:pPr>
              <w:spacing w:after="0"/>
              <w:rPr>
                <w:sz w:val="22"/>
                <w:szCs w:val="22"/>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1,512,207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149,298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177,350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575,623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609,936</w:t>
            </w:r>
          </w:p>
        </w:tc>
      </w:tr>
      <w:tr>
        <w:trPr>
          <w:trHeight w:val="460"/>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color w:val="auto"/>
                <w:w w:val="94"/>
              </w:rPr>
              <w:t>Amount of Commitment Expirations by Year</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2014-2015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2016-2017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After 2017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expiring on July 8, 2016 (b)</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6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31,506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10,870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20,636</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Guarantees (g)</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1,295</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commitments</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532,801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11,338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500,235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r>
      <w:tr>
        <w:trPr>
          <w:trHeight w:val="21"/>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both"/>
        <w:ind w:left="340" w:hanging="332"/>
        <w:spacing w:after="0" w:line="25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August 3, 2012,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$24,703 is not included in the contractual cash obligations and commitments table above.</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Using our expected principal payments and projected interest rates, we will have interest payments of $35,266, $41,535, and $22,880 in 2013, 2014-2015 and 2016, respectively. The projected interest rates for our swapped portion of our outstanding borrowings are our fixed rates under our interest rate swaps (see Note 6 to the Consolidated Financial Statements) plus our current credit spread of 2.00%. The projected interest rate for our unswapped portion of our outstanding borrowings is the average of the three-year and five-year swap rates at August 3, 2012 of 0.70% plus our current credit spread. Based on our outstanding borrowings under our Revolving Credit Facility at August 3, 2012 and our current unused commitment fee as defined in the Credit Facility, our unused commitment fees in 2012 would be $481; however, the actual amount will differ based on actual usage of the Revolving Credit Facility in 2013.</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note payable consists of a five-year note with a vendor in the original principal amount of $507 and represents the financing of prepaid maintenance for telecommunications equipment. The note payable is payable in monthly installments of principal and interest of $9 through October 16, 2013 and bears interest at 2.88%. Principal and interest payments for the note payable are included in the contractual cash obligations and commitments table above.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assured that we will exercise.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long-term obligations include our Non-Qualified Savings Plan ($29,443, with a corresponding long-term asset to fund the liability; see Note 13 to the Consolidated Financial Statements), Deferred Compensation Plan ($4,808) and our long-term incentive plans ($7,792).</w:t>
      </w:r>
    </w:p>
    <w:p>
      <w:pPr>
        <w:ind w:left="340" w:hanging="332"/>
        <w:spacing w:after="0" w:line="26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solely of guarantees associated with lease payments for two properties. We are not aware of any non-performance under these arrangements that would result in us having to perform in accordance with the terms of those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 and Not Yet Adopted</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2 to the accompanying Consolidated Financial Statements for a discussion of recent accounting guidance adopted and not yet adopted. None of the accounting guidance discussed in Note 2 either had or is expected to have a significant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0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 and Provision for Asset Dispositions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on long-lived assets. However, if actual results are not consistent with our estimates and assumptions used in estimating future cash flows and fair values of long-lived assets, we may be exposed to losses that could be material.</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2011 and 2010, we incurred impairment charges related to our stores. In 2011, we also incurred impairment charges related to a corporate property held for sale. For a more detailed discussion of these costs see the sub-section entitled “Impairment and Store Dispositions, Net” under the section above entitled “Results of Operations” presented earlier in the MD&amp;A.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Insurance Reserves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self-insure a significant portion of our expected workers’ compensation, general liability and health insurance programs.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purchase insurance for individual workers’ compensation claims that exceed $250, $500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claims (“IBNR”). These reserves and estimates of IBNR claims are based upon a full scope actuarial study which is performed annually at the end of our third quarter and is adjusted by the actuarially determined losses and actual claims payments for the fourth quarter. The reserves and losses in the actuarial study represent a range of possible outcomes within which no given estimate is more likely than any other estimate. As such, we record the losses at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 Beginning in the second quarter of 2011, we began performing limited scope actuarial studies on a quarterly basis to verify and/or modify our reserves.</w:t>
      </w:r>
    </w:p>
    <w:p>
      <w:pPr>
        <w:spacing w:after="0" w:line="2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significant portion of our health insurance program is self-insured. For our calendar 2009 plan, benefits for any individual (employee or dependents) in the self-insured program were limited to not more than $1,000 lifetime, $100 in any given plan year and, in certain cases, to not more than $15 in any given plan year. For our calendar 2012, 2011 and 2010 plans,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Beginning in the first quarter of 2012, the fully-insured portion of our health insurance program contains a retrospective feature which could increase or decrease premiums based on actual claims experience.</w:t>
      </w:r>
    </w:p>
    <w:p>
      <w:pPr>
        <w:spacing w:after="0" w:line="2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Retail Inventory Valuation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Tax Provision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share-based compensation consists of nonvested stock awards, performance-based market stock units (“MSU Grants”) and stock options.</w:t>
      </w:r>
    </w:p>
    <w:p>
      <w:pPr>
        <w:spacing w:after="0" w:line="2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Share-based compensation expense is measured at the grant date based on the fair value of the award. We recognize share-based compensation expense on a straight-line basis over the requisite service period, which is generally the award’s vesting period, or the date on which retirement is achieved, if shorter. Share-based compensation expense for awards with performance conditions is recorded when it is probable that the performance criteria will be met.</w:t>
      </w:r>
    </w:p>
    <w:p>
      <w:pPr>
        <w:spacing w:after="0" w:line="17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in-substance, multiple awards. We update the estimated forfeiture rate to actual at each reporting period and adjust compensation expense accordingly so that the amount of compensation expense recognized at any date is at least equal to the portion of the grant-date value of the award that is vested at that date.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Nonvested Stock</w:t>
      </w:r>
    </w:p>
    <w:p>
      <w:pPr>
        <w:spacing w:after="0" w:line="252"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targets under our long-term incentive plans. Determining whether the performance targets will be achieved involves judgment and the estimate of expense for nonvested stock awards may be revised periodically based on the probability of achieving the performance targets. Revisions are reflected in the period in which the estimate is changed. If any performance goals are not met, no shares will be granted, no compensation will ultimately be recognized and, to the extent previously recognized, compensation expense will be reversed.</w:t>
      </w:r>
    </w:p>
    <w:p>
      <w:pPr>
        <w:spacing w:after="0" w:line="220"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Generally, the fair value of each nonvested stock award which does not accure dividends is equal to the market price of our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MSU Grants</w:t>
      </w:r>
    </w:p>
    <w:p>
      <w:pPr>
        <w:spacing w:after="0" w:line="252"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In 2011, we adopted annual long-term incentive plans that award MSU Grants to our executives instead of stock options. In addition to providing the requisite service, MSU Grants contain both a market condition, total shareholder return, and a performance condition. Total shareholder return is defined as increases in our stock price plus dividends paid during the performance period. The number of shares awarded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left="340" w:right="20" w:firstLine="324"/>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214" w:lineRule="exact"/>
        <w:rPr>
          <w:sz w:val="20"/>
          <w:szCs w:val="20"/>
          <w:color w:val="auto"/>
        </w:rPr>
      </w:pPr>
    </w:p>
    <w:p>
      <w:pPr>
        <w:ind w:left="660" w:right="2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The expected life is a by-product of the lattice model and was updated when new grants were made. No stock options were granted in 2012.</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past three years. We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such as changes in interest rates and commodity prices. We do not hold or use derivative financial instruments for trading purposes.</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Interest Rate Risk. We have interest rate risk relative to our outstanding borrowings under our Credit Facility. At August 3, 2012, our outstanding borrowings under our Credit Facility totaled $525,000 (see Note 5 to our Consolidated Financial Statements). Loans under the Credit Facility bear interest, at our election, either at the prime rate or LIBOR plus a percentage point spread based on certain specified financial ratios. Our policy has been to manage interest cost using a mix of fixed and variable rate debt (see Notes 5, 6 and 10 to our Consolidated Financial Statements). To manage this risk in a cost efficient manner, we have entered into interest rate swaps. A summary of our interest rate swaps at August 3, 2012 is as follows: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5"/>
              </w:rPr>
              <w:t>Term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Fixed</w:t>
            </w:r>
          </w:p>
        </w:tc>
      </w:tr>
      <w:tr>
        <w:trPr>
          <w:trHeight w:val="237"/>
        </w:trPr>
        <w:tc>
          <w:tcPr>
            <w:tcW w:w="28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Trade Date</w:t>
            </w:r>
          </w:p>
        </w:tc>
        <w:tc>
          <w:tcPr>
            <w:tcW w:w="100" w:type="dxa"/>
            <w:vAlign w:val="bottom"/>
          </w:tcPr>
          <w:p>
            <w:pPr>
              <w:spacing w:after="0"/>
              <w:rPr>
                <w:sz w:val="20"/>
                <w:szCs w:val="20"/>
                <w:color w:val="auto"/>
              </w:rPr>
            </w:pPr>
          </w:p>
        </w:tc>
        <w:tc>
          <w:tcPr>
            <w:tcW w:w="27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Effective Date</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2"/>
              </w:rPr>
              <w:t>(in Years)</w:t>
            </w: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Notional Amount</w:t>
            </w:r>
          </w:p>
        </w:tc>
        <w:tc>
          <w:tcPr>
            <w:tcW w:w="180" w:type="dxa"/>
            <w:vAlign w:val="bottom"/>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Rate</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May 4, 2006</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3, 2006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August 10, 2010</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200,000</w:t>
            </w: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July 25, 2011</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3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September 19, 2011</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September 19, 2011</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December 7, 2011</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3, 2013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August 3, 2012, our outstanding borrowings were swapped at a rate of 7.57%, which is the fixed rate of our interest rate swap plus our current credit spread. See Note 6 to our Consolidated Financial Statements for further discussion of our interest rate swaps.</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purchases in 2012:</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820" w:type="dxa"/>
            <w:vAlign w:val="bottom"/>
          </w:tcPr>
          <w:p>
            <w:pPr>
              <w:jc w:val="center"/>
              <w:ind w:left="3230"/>
              <w:spacing w:after="0"/>
              <w:rPr>
                <w:sz w:val="20"/>
                <w:szCs w:val="20"/>
                <w:color w:val="auto"/>
              </w:rPr>
            </w:pPr>
            <w:r>
              <w:rPr>
                <w:rFonts w:ascii="Arial" w:cs="Arial" w:eastAsia="Arial" w:hAnsi="Arial"/>
                <w:sz w:val="18"/>
                <w:szCs w:val="18"/>
                <w:color w:val="auto"/>
                <w:w w:val="87"/>
              </w:rPr>
              <w:t>Percentage of</w:t>
            </w:r>
          </w:p>
        </w:tc>
      </w:tr>
      <w:tr>
        <w:trPr>
          <w:trHeight w:val="216"/>
        </w:trPr>
        <w:tc>
          <w:tcPr>
            <w:tcW w:w="5140" w:type="dxa"/>
            <w:vAlign w:val="bottom"/>
          </w:tcPr>
          <w:p>
            <w:pPr>
              <w:spacing w:after="0"/>
              <w:rPr>
                <w:sz w:val="18"/>
                <w:szCs w:val="18"/>
                <w:color w:val="auto"/>
              </w:rPr>
            </w:pPr>
          </w:p>
        </w:tc>
        <w:tc>
          <w:tcPr>
            <w:tcW w:w="4820" w:type="dxa"/>
            <w:vAlign w:val="bottom"/>
          </w:tcPr>
          <w:p>
            <w:pPr>
              <w:jc w:val="center"/>
              <w:ind w:left="3270"/>
              <w:spacing w:after="0"/>
              <w:rPr>
                <w:sz w:val="20"/>
                <w:szCs w:val="20"/>
                <w:color w:val="auto"/>
              </w:rPr>
            </w:pPr>
            <w:r>
              <w:rPr>
                <w:rFonts w:ascii="Arial" w:cs="Arial" w:eastAsia="Arial" w:hAnsi="Arial"/>
                <w:sz w:val="18"/>
                <w:szCs w:val="18"/>
                <w:color w:val="auto"/>
                <w:w w:val="86"/>
              </w:rPr>
              <w:t>Food Purchases</w:t>
            </w:r>
          </w:p>
        </w:tc>
      </w:tr>
      <w:tr>
        <w:trPr>
          <w:trHeight w:val="237"/>
        </w:trPr>
        <w:tc>
          <w:tcPr>
            <w:tcW w:w="514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jc w:val="center"/>
              <w:ind w:left="3270"/>
              <w:spacing w:after="0"/>
              <w:rPr>
                <w:sz w:val="20"/>
                <w:szCs w:val="20"/>
                <w:color w:val="auto"/>
              </w:rPr>
            </w:pPr>
            <w:r>
              <w:rPr>
                <w:rFonts w:ascii="Arial" w:cs="Arial" w:eastAsia="Arial" w:hAnsi="Arial"/>
                <w:sz w:val="18"/>
                <w:szCs w:val="18"/>
                <w:color w:val="auto"/>
                <w:w w:val="91"/>
              </w:rPr>
              <w:t>in 2012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4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Dairy (including eggs)</w:t>
            </w:r>
          </w:p>
        </w:tc>
        <w:tc>
          <w:tcPr>
            <w:tcW w:w="4820" w:type="dxa"/>
            <w:vAlign w:val="bottom"/>
          </w:tcPr>
          <w:p>
            <w:pPr>
              <w:jc w:val="right"/>
              <w:ind w:right="45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4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Poultry</w:t>
            </w:r>
          </w:p>
        </w:tc>
        <w:tc>
          <w:tcPr>
            <w:tcW w:w="4820" w:type="dxa"/>
            <w:vAlign w:val="bottom"/>
          </w:tcPr>
          <w:p>
            <w:pPr>
              <w:jc w:val="right"/>
              <w:ind w:right="450"/>
              <w:spacing w:after="0"/>
              <w:rPr>
                <w:sz w:val="20"/>
                <w:szCs w:val="20"/>
                <w:color w:val="auto"/>
              </w:rPr>
            </w:pPr>
            <w:r>
              <w:rPr>
                <w:rFonts w:ascii="Arial" w:cs="Arial" w:eastAsia="Arial" w:hAnsi="Arial"/>
                <w:sz w:val="18"/>
                <w:szCs w:val="18"/>
                <w:color w:val="auto"/>
              </w:rPr>
              <w:t>10%</w:t>
            </w:r>
          </w:p>
        </w:tc>
      </w:tr>
      <w:tr>
        <w:trPr>
          <w:trHeight w:val="223"/>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Pork</w:t>
            </w:r>
          </w:p>
        </w:tc>
        <w:tc>
          <w:tcPr>
            <w:tcW w:w="48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categories affected by the commodities markets, such as grains and seafood, may each account for as much as 7% of our food purchases. While we have some of our food items prepared to our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Cracker Barrel Old Country Store, Inc. and subsidiaries (the “Company”) as of August 3, 2012 and July 29, 2011, and the related consolidated statements of income, changes in shareholders’ equity, and cash flows for each of the three fiscal years in the period ended August 3, 2012.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Cracker Barrel Old Country Store, Inc. and subsidiaries as of August 3, 2012 and July 29, 2011, and the results of their operations and their cash flows for each of the three fiscal years in the period ended August 3, 2012, in conformity with accounting principles generally accepted in the United States of America.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August 3,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September 25, 2012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6"/>
                <w:szCs w:val="16"/>
                <w:color w:val="auto"/>
              </w:rPr>
            </w:pPr>
          </w:p>
        </w:tc>
        <w:tc>
          <w:tcPr>
            <w:tcW w:w="2520" w:type="dxa"/>
            <w:vAlign w:val="bottom"/>
            <w:gridSpan w:val="3"/>
          </w:tcPr>
          <w:p>
            <w:pPr>
              <w:jc w:val="right"/>
              <w:ind w:right="110"/>
              <w:spacing w:after="0" w:line="189" w:lineRule="exact"/>
              <w:rPr>
                <w:sz w:val="20"/>
                <w:szCs w:val="20"/>
                <w:color w:val="auto"/>
              </w:rPr>
            </w:pPr>
            <w:r>
              <w:rPr>
                <w:rFonts w:ascii="Arial" w:cs="Arial" w:eastAsia="Arial" w:hAnsi="Arial"/>
                <w:sz w:val="18"/>
                <w:szCs w:val="18"/>
                <w:color w:val="auto"/>
                <w:w w:val="87"/>
              </w:rPr>
              <w:t>(In thousands except share data)</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auto"/>
            </w:tcBorders>
            <w:gridSpan w:val="2"/>
            <w:vMerge w:val="continue"/>
          </w:tcPr>
          <w:p>
            <w:pPr>
              <w:spacing w:after="0"/>
              <w:rPr>
                <w:sz w:val="20"/>
                <w:szCs w:val="20"/>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August 3, 2012</w:t>
            </w: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29, 2011</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151,962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held for sale</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14,609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143,267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11,405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15,181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337,308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296,500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726,814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3,289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458,370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242,305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222,496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14,293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1,741,571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1,673,873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719,201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and equipment –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1,022,370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59,314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1,418,992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1,310,884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101,271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and accrued</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39,704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5,825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66,923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26,546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37,696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interest rate swap liability</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20,215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20,879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319,059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525,036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interest rate swap liability</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14,166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114,897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63,159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and 17)</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 100,000,000 shares of $.01 par value authorized; no shares issued</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2012 – 23,473,024 shares issued and outstanding;</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2011 – 22,840,974 shares issued and outstanding</w:t>
            </w:r>
          </w:p>
        </w:tc>
        <w:tc>
          <w:tcPr>
            <w:tcW w:w="2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28,676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(21,158)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374,923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382,675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268,034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1,418,992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1,310,884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gridSpan w:val="5"/>
          </w:tcPr>
          <w:p>
            <w:pPr>
              <w:jc w:val="center"/>
              <w:ind w:right="230"/>
              <w:spacing w:after="0"/>
              <w:rPr>
                <w:sz w:val="20"/>
                <w:szCs w:val="20"/>
                <w:color w:val="auto"/>
              </w:rPr>
            </w:pPr>
            <w:r>
              <w:rPr>
                <w:rFonts w:ascii="Arial" w:cs="Arial" w:eastAsia="Arial" w:hAnsi="Arial"/>
                <w:sz w:val="18"/>
                <w:szCs w:val="18"/>
                <w:color w:val="auto"/>
                <w:w w:val="88"/>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Fiscal years ended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August 3, 2012</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July 29, 2011</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30,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2,580,195</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2,434,435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2,404,515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827,484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772,471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1,752,711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1,661,964</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951,435</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904,229</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908,211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464,130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451,957</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Store operating income</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337,146</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305,778</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139,222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and store dispositions, net</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190,975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167,181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51,490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115,691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30,483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85,208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2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23,067,566</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22,998,200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23,007,856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23,408,126</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23,634,675</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23,579,752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(In thousands except share data)</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40" w:type="dxa"/>
            <w:vAlign w:val="bottom"/>
            <w:gridSpan w:val="2"/>
          </w:tcPr>
          <w:p>
            <w:pPr>
              <w:jc w:val="right"/>
              <w:ind w:right="35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Shareholders’</w:t>
            </w: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Shares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Capital</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Loss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5"/>
              </w:rPr>
              <w:t>Equity</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2009</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22,722,685</w:t>
            </w:r>
          </w:p>
        </w:tc>
        <w:tc>
          <w:tcPr>
            <w:tcW w:w="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12,972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167,245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135,622</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85,258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85,258</w:t>
            </w: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rPr>
              <w:t>Change in fair value of interest rate</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swap, net of tax benefit of $1,022</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(See Note 6)</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85,258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81,231</w:t>
            </w: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w w:val="96"/>
              </w:rPr>
              <w:t>Cash dividends declared - $.80 per share</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(18,465)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13,193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13,193</w:t>
            </w: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rPr>
              <w:t>Exercise of share-based compensation</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awards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1,362,096</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37,446</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37,460</w:t>
            </w: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awards</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5,063</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(1,352,000)</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(62,474)</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(62,487)</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30, 2010</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22,732,781</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228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234,038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191,617</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85,208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85,208</w:t>
            </w: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rPr>
              <w:t>Change in fair value of interest rate</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w w:val="99"/>
              </w:rPr>
              <w:t>swaps, net of tax expense of $3,860</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(See Note 6)</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10,817</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10,817</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10,817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85,208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96,025</w:t>
            </w: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w w:val="96"/>
              </w:rPr>
              <w:t>Cash dividends declared - $.88 per share</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(20,489)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(20,489)</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9,796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9,796</w:t>
            </w: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rPr>
              <w:t>Exercise of share-based compensation</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awards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784,793</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20,533</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20,540</w:t>
            </w: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awards</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4,108</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4,108</w:t>
            </w: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(676,600)</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(33,563)</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29, 2011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22,840,974</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228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7,081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298,757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268,034</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103,081</w:t>
            </w: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rPr>
              <w:t>Change in fair value of interest rate</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swaps, net of tax expense of $349</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(See Note 6)</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16,874</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16,874</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16,874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119,955</w:t>
            </w: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rPr>
              <w:t>Cash dividends declared - $.1.15 per</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share</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(26,915)</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(26,915)</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14,420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14,420</w:t>
            </w: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rPr>
              <w:t>Exercise of share-based compensation</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awards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897,588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17,593</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17,602</w:t>
            </w: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awards</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4,502</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4,502</w:t>
            </w:r>
          </w:p>
        </w:tc>
      </w:tr>
      <w:tr>
        <w:trPr>
          <w:trHeight w:val="202"/>
        </w:trPr>
        <w:tc>
          <w:tcPr>
            <w:tcW w:w="20" w:type="dxa"/>
            <w:vAlign w:val="bottom"/>
          </w:tcPr>
          <w:p>
            <w:pPr>
              <w:spacing w:after="0"/>
              <w:rPr>
                <w:sz w:val="17"/>
                <w:szCs w:val="17"/>
                <w:color w:val="auto"/>
              </w:rPr>
            </w:pPr>
          </w:p>
        </w:tc>
        <w:tc>
          <w:tcPr>
            <w:tcW w:w="336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(265,538)</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(14,923)</w:t>
            </w:r>
          </w:p>
        </w:tc>
      </w:tr>
      <w:tr>
        <w:trPr>
          <w:trHeight w:val="257"/>
        </w:trPr>
        <w:tc>
          <w:tcPr>
            <w:tcW w:w="20" w:type="dxa"/>
            <w:vAlign w:val="bottom"/>
          </w:tcPr>
          <w:p>
            <w:pPr>
              <w:spacing w:after="0"/>
              <w:rPr>
                <w:sz w:val="22"/>
                <w:szCs w:val="22"/>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3, 2012</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23,473,024</w:t>
            </w:r>
          </w:p>
        </w:tc>
        <w:tc>
          <w:tcPr>
            <w:tcW w:w="9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28,676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374,923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382,675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8"/>
              </w:rPr>
              <w:t>Fiscal years ended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August 3, 2012</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July 29, 2011</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85,208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62,788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Loss (gain) on disposition of property and equipment</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(1,418)</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Impairment</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9,796</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Excess tax benefit from share-based compensation</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Income taxes receivable</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7,898</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(7,898)</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(2,405)</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(16,539)</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 withheld and accrued</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10,327</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(3,516)</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employee compensation</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Accrued employee benefits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(2,701)</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(1,690)</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5,086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long-term obligations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12,576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Deferred income taxes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7,798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219,822</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138,212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Proceeds from insurance recoveries of property and equipment</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8,197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(79,547)</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(69,489)</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92,600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687,000</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share-based compensation awards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20,540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(117,733)</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(717,263)</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(5,125)</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on common stock</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4,108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(64,149)</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99,688</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4,574</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52,274</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47,700</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151,962</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52,274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50,357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46,301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32,248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financing activity:</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17,223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14,677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Description of the Business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Cracker Barrel Old Country Store, Inc. and its affiliates (collectively, in the Notes, the “Company”) are principally engaged in the operation and development in the United States of the Cracker Barrel Old Country Store® (“Cracker Barrel”) concept.</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20, 2011, the Company’s shareholders approved an agreement and plan of merger (the “merger agreement”) effecting an internal restructuring of the Company through the merger of Cracker Barrel Old Country Store, Inc. (“Holdco”) with and into CBOCS, Inc., a wholly-owned subsidiary of Holdco, effective as of December 23, 2011. At the effective time of the merger, the name of CBOCS, Inc., the surviving corporation in the merger, was changed to Cracker Barrel Old Country Store, Inc. Pursuant to the merger agreement, the outstanding shares of Holdco’s common stock, par value $0.01 per share, were converted into an equivalent number of shares of the surviving corporation’s common stock and were owned directly by the Company’s shareholders in the same proportion as their ownership of Holdco immediately prior to the merger. The Company’s common stock continues to be listed on The NASDAQ Global Select Market under the same ticker symbol, “CBRL.” The merger did not result in any material changes in the business, offices, assets, liabilities, obligations, net worth, directors, officers or employees of Holdco.</w:t>
      </w:r>
    </w:p>
    <w:p>
      <w:pPr>
        <w:spacing w:after="0" w:line="20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GAAP – The accompanying Consolidated Financial Statements have been prepared in accordance with generally accepted accounting principles in the United States (“GAAP”).</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Fiscal year – The Company’s fiscal year ends on the Friday nearest July 31st and each quarter consists of thirteen weeks unless noted otherwise. The Company’s fiscal year ended August 3, 2012 consisted of 53 weeks and the fourth quarter of 2012 consisted of fourteen weeks. References in these Notes to a year or quarter are to the Company’s fiscal year or quarter unless noted otherwise.</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 The Company’s policy is to consider all highly liquid investments purchased with an original maturity of three months or less to be cash equivalents.</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Property held for sale – Property held for sale consists of real estate properties that the Company expects to sell within one year and is reported at the lower of carrying amount or fair value less costs to sell. At August 3, 2012 and July 29, 2011, property held for sale consisted of office space.</w:t>
      </w:r>
    </w:p>
    <w:p>
      <w:pPr>
        <w:spacing w:after="0" w:line="1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Accounts receivable – Accounts receivable, net of the allowance for doubtful accounts, represents their estimated net realizable value. Provisions for doubtful accounts are recorded based on historical collection experience and the age of the receivables. Accounts receivable are written off when they are deemed uncollectible.</w:t>
      </w:r>
    </w:p>
    <w:p>
      <w:pPr>
        <w:spacing w:after="0" w:line="20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Inventories – Inventories are stated at the lower of cost or market. Cost of restaurant inventory is determined by the first-in, first-out (“FIFO”) method. Retail inventories are valued using the retail inventory method (“RIM”) except at the retail distribution center which uses average cost. In 2012, approximately 75% of retail inventories are valued using RIM and the remaining 25% are valued using an average cost method. In 2011, due to lower inventory levels at the Company’s retail distribution center as compared to prior years, approximately 80% of retail inventories are valued using RIM and the remaining 20% are valued using an average cost method. See Note 4 for additional information regarding the components of inventory.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Valuation provisions are included for retail inventory obsolescence, retail inventory shrinkage, returns and amortization of certain items. Cost of goods sold includes an estimate of retail inventory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9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Property and equipment – Property and equipment are stated at cost. For financial reporting purposes, depreciation and amortization on these assets are computed by use of the straight-line and double-declining balance methods over the estimated useful lives of the respective assets,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Years</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1"/>
              </w:rPr>
              <w:t>30-45</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Arial" w:cs="Arial" w:eastAsia="Arial" w:hAnsi="Arial"/>
                <w:sz w:val="18"/>
                <w:szCs w:val="18"/>
                <w:color w:val="auto"/>
                <w:w w:val="91"/>
              </w:rPr>
              <w:t>15-25</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88"/>
              </w:rPr>
              <w:t>2-10</w:t>
            </w: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8"/>
              </w:rPr>
              <w:t>1-35</w:t>
            </w:r>
          </w:p>
        </w:tc>
      </w:tr>
      <w:tr>
        <w:trPr>
          <w:trHeight w:val="459"/>
        </w:trPr>
        <w:tc>
          <w:tcPr>
            <w:tcW w:w="20" w:type="dxa"/>
            <w:vAlign w:val="bottom"/>
          </w:tcPr>
          <w:p>
            <w:pPr>
              <w:spacing w:after="0"/>
              <w:rPr>
                <w:sz w:val="24"/>
                <w:szCs w:val="24"/>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Accelerated depreciation methods are generally used for income tax purposes.</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120" w:type="dxa"/>
            <w:vAlign w:val="bottom"/>
            <w:gridSpan w:val="4"/>
          </w:tcPr>
          <w:p>
            <w:pPr>
              <w:ind w:left="320"/>
              <w:spacing w:after="0"/>
              <w:rPr>
                <w:sz w:val="20"/>
                <w:szCs w:val="20"/>
                <w:color w:val="auto"/>
              </w:rPr>
            </w:pPr>
            <w:r>
              <w:rPr>
                <w:rFonts w:ascii="Arial" w:cs="Arial" w:eastAsia="Arial" w:hAnsi="Arial"/>
                <w:sz w:val="18"/>
                <w:szCs w:val="18"/>
                <w:color w:val="auto"/>
                <w:w w:val="89"/>
              </w:rPr>
              <w:t>Total depreciation expense and depreciation expense related to store operations for each of the three years are as follows: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63,705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61,677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59,930</w:t>
            </w: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Depreciation expense related to store operations*</w:t>
            </w:r>
          </w:p>
        </w:tc>
        <w:tc>
          <w:tcPr>
            <w:tcW w:w="9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58,423</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56,985</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Depreciation expense related to store operations is included in other store operating expenses in the Consolidated Statements of Income.</w:t>
      </w:r>
    </w:p>
    <w:p>
      <w:pPr>
        <w:spacing w:after="0" w:line="2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or loss is recognized upon disposal of property and equipment. The asset and related accumulated depreciation and amortization amounts are removed from the accounts.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Maintenance and repairs, including the replacement of minor items, are charged to expense and major additions to property and equipment are capitalized.</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 See Notes 3 and 9 for additional information on the Company’s impairment of long-lived assets.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credit facility (see Note 5). The Company’s policy has been to manage interest cost using a mix of fixed and variable rate debt. To manage this risk in a cost efficient manner, the Company uses derivative instruments, specifically interest rate swaps.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6 for additional information on the Company’s derivative and hedging activities.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Utilizing these criteria, the Company manages its business on the basis of one reportable operating segment (see Note 8 for additional information regarding segment reporting).</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recognition – The Company records revenue from the sale of products as they are sold. The Company provides for estimated returns based on return history and sales levels. The Company’s policy is to present sales in the Consolidated Statements of Income on a net presentation basis after deducting sales tax.</w:t>
      </w:r>
    </w:p>
    <w:p>
      <w:pPr>
        <w:spacing w:after="0" w:line="2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Insurance – The Company self-insures a significant portion of its workers’ compensation, general liability and health insurance programs. The Company purchases insurance for individual workers’ compensation claims that exceed $250, $500 or $1,000 depending on the state in which the claim originates. The Company purchases insurance for individual general liability claims that exceed $500.</w:t>
      </w:r>
    </w:p>
    <w:p>
      <w:pPr>
        <w:spacing w:after="0" w:line="2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The reserves and losses in the actuarial study represent a range of possible outcomes within which no given estimate is more likely than any other estimate. As such, the Company records the losses at the lower end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 Beginning in the second quarter of 2011, the Company began performing limited scope actuarial studies on a quarterly basis to verify and/or modify the Company’s reserves.</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Company’s calendar 2009 health insurance plan, benefits for any individual (employee or dependents) in the self-insured program were limited to not more than $1,000 lifetime, $100 in any given plan year and, in certain cases, to not more than $15 in any given plan year. For the Company’s calendar 2010, 2011 and 2012 health insurance plans, benefits for any individual (employee or dependents) in the self-insured program are limited to not more than $20 in any given year, and, in certain cases, to not more than $8 in any given year. The Company records a liability for the self-insured portion of its group health program for all unpaid claims based upon a loss development analysis derived from actual group health claims payment experience. Beginning in the first quarter of 2012, the fully-insured portion of the Company’s health insurance program contains a retrospective feature which could increase or decrease premiums based on actual claims experience.</w:t>
      </w:r>
    </w:p>
    <w:p>
      <w:pPr>
        <w:spacing w:after="0" w:line="2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 The Company expenses the costs of producing advertising the first time the advertising takes place. Other advertising costs are expensed as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for each of the three years was as follows: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Advertising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56,198</w:t>
        <w:tab/>
        <w:t>$</w:t>
      </w:r>
      <w:r>
        <w:rPr>
          <w:sz w:val="20"/>
          <w:szCs w:val="20"/>
          <w:color w:val="auto"/>
        </w:rPr>
        <w:tab/>
      </w:r>
      <w:r>
        <w:rPr>
          <w:rFonts w:ascii="Arial" w:cs="Arial" w:eastAsia="Arial" w:hAnsi="Arial"/>
          <w:sz w:val="18"/>
          <w:szCs w:val="18"/>
          <w:color w:val="auto"/>
        </w:rPr>
        <w:t>48,889</w:t>
        <w:tab/>
        <w:t>$</w:t>
      </w:r>
      <w:r>
        <w:rPr>
          <w:sz w:val="20"/>
          <w:szCs w:val="20"/>
          <w:color w:val="auto"/>
        </w:rPr>
        <w:tab/>
      </w:r>
      <w:r>
        <w:rPr>
          <w:rFonts w:ascii="Arial" w:cs="Arial" w:eastAsia="Arial" w:hAnsi="Arial"/>
          <w:sz w:val="16"/>
          <w:szCs w:val="16"/>
          <w:color w:val="auto"/>
        </w:rPr>
        <w:t>45,239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 The Company’s share-based compensation consists of nonvested stock, stock options and performance-based market stock units (“MSU Grants”). Share-based compensation is recorded in general and administrative expenses in the Consolidated Statements of Income. Share-based compensation expense is measured at the grant date based on the fair value of the award. The Company recognizes share-based compensation expense on a straight-line basis over the requisite service period, which is generally the award’s vesting period, or to the date on which retirement eligibility is achieved, if shorter.</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nonvested stock awards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Company’s policy is to issue new shares of common stock to satisfy exercises of share-based compensation awards.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15 for additional information regarding income taxes.</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 Comprehensive income includes net income and the effective unrealized portion of the changes in the fair value of the Company’s interest rate swaps.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Discontinued operations – The Company classifies the results of operations of a closed store as a discontinued operation when the operations and cash flows of the store have been or will be eliminated from ongoing operations, the Company no longer has any significant continuing involvement in the operations associated with the store after closure and the results are material to the Company’s consolidated financial position, results of operations or cash flows. In determining whether the cash flows have been or will be eliminated from operations, the Company considers the proximity of the closed store to any remaining open stores in the geographic area to evaluate whether the Company will retain the closed store’s customers at another store in the same market. Unless considered immaterial, if the Company determines that it has exited the market, then the closed store will be classified as a discontinued operation. No closed stores were classified as discontinued operations in 2011 and 2010. The Company did not close any stores in 2012.</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stock options and nonvested stock and stock awards issued by the Company are calculated using the treasury stock method. Outstanding employee and director stock options and nonvested stock and stock awards issued by the Company represent the only dilutive effects on diluted consolidated net income per share. See Note 16 for additional information regarding net income per share.</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 and Disclosure Requirements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2011, the Financial Accounting Standards Board (“FASB”) issued amended accounting guidance which provides additional guidance on how to determine fair value under existing standards and expands existing disclosure requirements on a prospective basis. The guidance is effective for fiscal years and interim periods beginning after December 15, 2011. The adoption of this accounting guidance in the third quarter of 2012 did not have a significant impact on the Company’s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Presentation of Comprehensive Income</w:t>
      </w:r>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In December 2011, the FASB further amended this guidance to indefinitely defer the effective date of the requirement to present reclassification adjustments for each component of accumulated other comprehensive income in both net income and in other comprehensive income on the face of the financial statements. All other provisions of this guidance are effective for fiscal years beginning after December 15, 2011 on a retrospective basis. The Company does not expect that the adoption of this accounting guidance in the first quarter of 2013 will have a significant impact on its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Disclosures about Offsetting Assets and Liabilities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This guidance is effective for fiscal years beginning on or after January 1, 2013 on a retrospective basis. The Company does not expect that the adoption of this accounting guidance in the first quarter of 2014 will have a significant impact on its Consolidated Financial Statements.</w:t>
      </w:r>
    </w:p>
    <w:p>
      <w:pPr>
        <w:spacing w:after="0" w:line="22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20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97" w:lineRule="exact"/>
        <w:rPr>
          <w:rFonts w:ascii="Arial" w:cs="Arial" w:eastAsia="Arial" w:hAnsi="Arial"/>
          <w:sz w:val="18"/>
          <w:szCs w:val="18"/>
          <w:color w:val="auto"/>
        </w:rPr>
      </w:pPr>
    </w:p>
    <w:p>
      <w:pPr>
        <w:ind w:left="340" w:right="1760" w:hanging="332"/>
        <w:spacing w:after="0" w:line="563"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Significant Unobservable Inputs (“Level 3”) – unobservable and significant to the fair value measurement of the asset or liability. The Company’s assets and liabilities measured at fair value on a recurring basis at August 3, 2012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w w:val="96"/>
              </w:rPr>
              <w:t>Fair Value as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9"/>
              </w:rPr>
              <w:t>August 3,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104,531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29,443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133,974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133,974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liability (see Note 6)</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34,381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34,381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July 29, 2011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w w:val="96"/>
              </w:rPr>
              <w:t>Fair Value as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July 29,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29,548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29,665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59,213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liability (see Note 6)</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51,604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Consists of money market fund investments.</w:t>
      </w:r>
    </w:p>
    <w:p>
      <w:pPr>
        <w:spacing w:after="0" w:line="23" w:lineRule="exact"/>
        <w:rPr>
          <w:sz w:val="20"/>
          <w:szCs w:val="20"/>
          <w:color w:val="auto"/>
        </w:rPr>
      </w:pPr>
    </w:p>
    <w:p>
      <w:pPr>
        <w:jc w:val="both"/>
        <w:ind w:left="200" w:right="20" w:hanging="188"/>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 (see Note 13).</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 of the Company’s interest rate swap liability is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accounts receivable and accounts payable at August 3, 2012 and July 29, 2011, approximate their carrying amounts because of their short duration. The fair value of the Company’s variable rate debt, based on quoted market prices, which are considered Level 1 inputs, approximates its carrying amounts at August 3, 2012 and July 29, 2011,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Nonrecurring Basis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2011, the Company recorded an impairment charge on office space classified as property held for sale. The fair value of the office space was determined to be $1,000 based upon market comparables, which are considered Level 2 inputs. Additionally, during 2011, one leased store was determined to be impaired. Fair value of the leased store was determined by using a cash flow model. Assumptions used in the cash flow model included projected annual revenue growth rates and projected cash flows, which can be affected by economic conditions and management’s expectations. The Company has determined that the majority of the inputs used to value its long-lived assets held and used are unobservable inputs, and thus, are considered Level 3 inputs. Based on its analysis, the Company reduced the leased store’s carrying value to zero. See Note 9 for further information on the impairment of these long-lived assets.</w:t>
      </w:r>
    </w:p>
    <w:p>
      <w:pPr>
        <w:spacing w:after="0" w:line="19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Inventories were comprised of the following at: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August 3, 2012</w:t>
            </w: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29, 2011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108,846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108,829</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Restaurant</w:t>
            </w:r>
          </w:p>
        </w:tc>
        <w:tc>
          <w:tcPr>
            <w:tcW w:w="4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19,728</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19,200</w:t>
            </w: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4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14,693</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13,518</w:t>
            </w:r>
          </w:p>
        </w:tc>
      </w:tr>
      <w:tr>
        <w:trPr>
          <w:trHeight w:val="216"/>
        </w:trPr>
        <w:tc>
          <w:tcPr>
            <w:tcW w:w="2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143,267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141,547</w:t>
            </w: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5.</w:t>
        <w:tab/>
        <w:t>Debt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9, 2011, the Company entered into a five-year $750,000 credit facility (the “Credit Facility”) consisting of a $250,000 term loan and a $500,000 revolving credit facility (“the Revolving Credit Facility”). Additionally, the Company has a five-year note with a vendor with an original principal amount of $507 and represents the financing of prepaid maintenance for telecommunications equipment. The note payable is payable in monthly installments of principal and interest of $9 through October 16, 2013 and bears interest at 2.88%.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Long-term debt consisted of the following at:</w:t>
            </w:r>
          </w:p>
        </w:tc>
        <w:tc>
          <w:tcPr>
            <w:tcW w:w="4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ind w:left="4200"/>
              <w:spacing w:after="0"/>
              <w:rPr>
                <w:sz w:val="20"/>
                <w:szCs w:val="20"/>
                <w:color w:val="auto"/>
              </w:rPr>
            </w:pPr>
            <w:r>
              <w:rPr>
                <w:rFonts w:ascii="Arial" w:cs="Arial" w:eastAsia="Arial" w:hAnsi="Arial"/>
                <w:sz w:val="18"/>
                <w:szCs w:val="18"/>
                <w:color w:val="auto"/>
              </w:rPr>
              <w:t>August 3, 2012</w:t>
            </w: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29, 2011</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expiring on July 8, 2016</w:t>
            </w:r>
          </w:p>
        </w:tc>
        <w:tc>
          <w:tcPr>
            <w:tcW w:w="4500" w:type="dxa"/>
            <w:vAlign w:val="bottom"/>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312,500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318,750</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Term loan payable on or before July 8, 2016</w:t>
            </w:r>
          </w:p>
        </w:tc>
        <w:tc>
          <w:tcPr>
            <w:tcW w:w="45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212,500</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231,250</w:t>
            </w: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4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525,142</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550,246</w:t>
            </w: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maturities</w:t>
            </w:r>
          </w:p>
        </w:tc>
        <w:tc>
          <w:tcPr>
            <w:tcW w:w="4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auto"/>
            </w:tcBorders>
          </w:tcPr>
          <w:p>
            <w:pPr>
              <w:ind w:left="4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525,036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550,143</w:t>
            </w:r>
          </w:p>
        </w:tc>
      </w:tr>
      <w:tr>
        <w:trPr>
          <w:trHeight w:val="21"/>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500" w:type="dxa"/>
            <w:vAlign w:val="bottom"/>
          </w:tcPr>
          <w:p>
            <w:pPr>
              <w:jc w:val="right"/>
              <w:ind w:right="3274"/>
              <w:spacing w:after="0"/>
              <w:rPr>
                <w:sz w:val="20"/>
                <w:szCs w:val="20"/>
                <w:color w:val="auto"/>
              </w:rPr>
            </w:pPr>
            <w:r>
              <w:rPr>
                <w:rFonts w:ascii="Arial" w:cs="Arial" w:eastAsia="Arial" w:hAnsi="Arial"/>
                <w:sz w:val="14"/>
                <w:szCs w:val="14"/>
                <w:color w:val="auto"/>
              </w:rPr>
              <w:t>56</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4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maturities of long-term debt subsequent to August 3, 2012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2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2014</w:t>
            </w:r>
          </w:p>
        </w:tc>
        <w:tc>
          <w:tcPr>
            <w:tcW w:w="5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25,036</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2016</w:t>
            </w:r>
          </w:p>
        </w:tc>
        <w:tc>
          <w:tcPr>
            <w:tcW w:w="5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475,000</w:t>
            </w:r>
          </w:p>
        </w:tc>
      </w:tr>
      <w:tr>
        <w:trPr>
          <w:trHeight w:val="257"/>
        </w:trPr>
        <w:tc>
          <w:tcPr>
            <w:tcW w:w="20" w:type="dxa"/>
            <w:vAlign w:val="bottom"/>
          </w:tcPr>
          <w:p>
            <w:pPr>
              <w:spacing w:after="0"/>
              <w:rPr>
                <w:sz w:val="22"/>
                <w:szCs w:val="22"/>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525,142</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August 3, 2012, the Company had $31,506 of standby letters of credit, which reduce the Company’s availability under the Revolving Credit Facility (see Note 17). At August 3, 2012, the Company had $155,994 in borrowing availability under the Revolving Credit Facility.</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the Credit Facility, outstanding borrowings bear interest, at the Company’s election, either at LIBOR or prime plus a percentage point spread based on certain specified financial ratios. At August 3, 2012 and July 29, 2011, the Company’s outstanding borrowings were swapped at a weighted average interest rate of 7.57% (see Note 6 for information on the Company’s interest rate swaps).</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At August 3, 2012 and July 29, 2011, the Company was in compliance with all debt covenants.</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Credit Facility also imposes restrictions on the amount of dividends the Company is permitted to pay and the amount of shares the Company is permitted to repurchase. In April 2012, the Company amended the Credit Facility to provide more flexibility with regard to the dividends the Company is permitted to pay as well as the amount of shares the Company is able to repurchase. If there is no default then existing and the total of the Company’s availability under the Revolving Credit Facility plus the Company’s cash and cash equivalents on hand is at least $100,000 (the “liquidity requirements”), the Company may declare and pay cash dividends on its common stock if the aggregate amount of dividends paid in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20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is fixed at the rates in the table below plus the Company’s credit spread. The Company’s weighted average credit spread at August 3, 2012 and July 29, 2011 was 2.00%. All of the Company’s interest rate swaps are accounted for as cash flow hedges.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interest rate swaps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40" w:type="dxa"/>
            <w:vAlign w:val="bottom"/>
          </w:tcPr>
          <w:p>
            <w:pPr>
              <w:jc w:val="right"/>
              <w:ind w:right="470"/>
              <w:spacing w:after="0"/>
              <w:rPr>
                <w:sz w:val="20"/>
                <w:szCs w:val="20"/>
                <w:color w:val="auto"/>
              </w:rPr>
            </w:pPr>
            <w:r>
              <w:rPr>
                <w:rFonts w:ascii="Arial" w:cs="Arial" w:eastAsia="Arial" w:hAnsi="Arial"/>
                <w:sz w:val="18"/>
                <w:szCs w:val="18"/>
                <w:color w:val="auto"/>
              </w:rPr>
              <w:t>Term</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7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Trade Date</w:t>
            </w:r>
          </w:p>
        </w:tc>
        <w:tc>
          <w:tcPr>
            <w:tcW w:w="31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Effective Date</w:t>
            </w:r>
          </w:p>
        </w:tc>
        <w:tc>
          <w:tcPr>
            <w:tcW w:w="2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(in Years)</w:t>
            </w:r>
          </w:p>
        </w:tc>
        <w:tc>
          <w:tcPr>
            <w:tcW w:w="16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Notional Amount</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Fixed Rate</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May 4, 2006</w:t>
            </w:r>
          </w:p>
        </w:tc>
        <w:tc>
          <w:tcPr>
            <w:tcW w:w="3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August 3, 2006</w:t>
            </w:r>
          </w:p>
        </w:tc>
        <w:tc>
          <w:tcPr>
            <w:tcW w:w="2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525,000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August 10, 2010</w:t>
            </w:r>
          </w:p>
        </w:tc>
        <w:tc>
          <w:tcPr>
            <w:tcW w:w="3140" w:type="dxa"/>
            <w:vAlign w:val="bottom"/>
          </w:tcPr>
          <w:p>
            <w:pPr>
              <w:ind w:left="680"/>
              <w:spacing w:after="0"/>
              <w:rPr>
                <w:sz w:val="20"/>
                <w:szCs w:val="20"/>
                <w:color w:val="auto"/>
              </w:rPr>
            </w:pPr>
            <w:r>
              <w:rPr>
                <w:rFonts w:ascii="Arial" w:cs="Arial" w:eastAsia="Arial" w:hAnsi="Arial"/>
                <w:sz w:val="18"/>
                <w:szCs w:val="18"/>
                <w:color w:val="auto"/>
              </w:rPr>
              <w:t>May 3, 2013</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200,000</w:t>
            </w:r>
          </w:p>
        </w:tc>
        <w:tc>
          <w:tcPr>
            <w:tcW w:w="14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3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May 3, 2013</w:t>
            </w:r>
          </w:p>
        </w:tc>
        <w:tc>
          <w:tcPr>
            <w:tcW w:w="2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July 25, 2011</w:t>
            </w:r>
          </w:p>
        </w:tc>
        <w:tc>
          <w:tcPr>
            <w:tcW w:w="3140" w:type="dxa"/>
            <w:vAlign w:val="bottom"/>
          </w:tcPr>
          <w:p>
            <w:pPr>
              <w:ind w:left="680"/>
              <w:spacing w:after="0"/>
              <w:rPr>
                <w:sz w:val="20"/>
                <w:szCs w:val="20"/>
                <w:color w:val="auto"/>
              </w:rPr>
            </w:pPr>
            <w:r>
              <w:rPr>
                <w:rFonts w:ascii="Arial" w:cs="Arial" w:eastAsia="Arial" w:hAnsi="Arial"/>
                <w:sz w:val="18"/>
                <w:szCs w:val="18"/>
                <w:color w:val="auto"/>
              </w:rPr>
              <w:t>May 3, 2013</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50,000</w:t>
            </w:r>
          </w:p>
        </w:tc>
        <w:tc>
          <w:tcPr>
            <w:tcW w:w="14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September 19, 2011</w:t>
            </w:r>
          </w:p>
        </w:tc>
        <w:tc>
          <w:tcPr>
            <w:tcW w:w="3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May 3, 2013</w:t>
            </w:r>
          </w:p>
        </w:tc>
        <w:tc>
          <w:tcPr>
            <w:tcW w:w="2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September 19, 2011</w:t>
            </w:r>
          </w:p>
        </w:tc>
        <w:tc>
          <w:tcPr>
            <w:tcW w:w="3140" w:type="dxa"/>
            <w:vAlign w:val="bottom"/>
          </w:tcPr>
          <w:p>
            <w:pPr>
              <w:ind w:left="680"/>
              <w:spacing w:after="0"/>
              <w:rPr>
                <w:sz w:val="20"/>
                <w:szCs w:val="20"/>
                <w:color w:val="auto"/>
              </w:rPr>
            </w:pPr>
            <w:r>
              <w:rPr>
                <w:rFonts w:ascii="Arial" w:cs="Arial" w:eastAsia="Arial" w:hAnsi="Arial"/>
                <w:sz w:val="18"/>
                <w:szCs w:val="18"/>
                <w:color w:val="auto"/>
              </w:rPr>
              <w:t>May 3, 2013</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25,000</w:t>
            </w:r>
          </w:p>
        </w:tc>
        <w:tc>
          <w:tcPr>
            <w:tcW w:w="1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7, 2011</w:t>
            </w:r>
          </w:p>
        </w:tc>
        <w:tc>
          <w:tcPr>
            <w:tcW w:w="3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May 3, 2013</w:t>
            </w:r>
          </w:p>
        </w:tc>
        <w:tc>
          <w:tcPr>
            <w:tcW w:w="2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notional amount of the Company’s interest rate swap entered into on May 4, 2006 was $575,000 and $550,000 at July 30, 2010 and July 29, 2011, respectively. At August 3, 2012, the notional amount was $525,000 and will remain at this amount throughout the remainder of its term.</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The estimated fair values of the Company’s derivative instruments were as follows:</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color w:val="auto"/>
                <w:w w:val="89"/>
              </w:rPr>
              <w:t>Balance Sheet Location</w:t>
            </w:r>
          </w:p>
        </w:tc>
        <w:tc>
          <w:tcPr>
            <w:tcW w:w="17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August 3, 2012</w:t>
            </w:r>
          </w:p>
        </w:tc>
        <w:tc>
          <w:tcPr>
            <w:tcW w:w="1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29, 2011</w:t>
            </w: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08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Current interest rate swap liability</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20,215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rate swaps</w:t>
            </w:r>
          </w:p>
        </w:tc>
        <w:tc>
          <w:tcPr>
            <w:tcW w:w="508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color w:val="auto"/>
                <w:w w:val="92"/>
              </w:rPr>
              <w:t>Long-term interest rate swap liability</w:t>
            </w:r>
          </w:p>
        </w:tc>
        <w:tc>
          <w:tcPr>
            <w:tcW w:w="8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14,166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51,604</w:t>
            </w:r>
          </w:p>
        </w:tc>
      </w:tr>
      <w:tr>
        <w:trPr>
          <w:trHeight w:val="257"/>
        </w:trPr>
        <w:tc>
          <w:tcPr>
            <w:tcW w:w="20" w:type="dxa"/>
            <w:vAlign w:val="bottom"/>
          </w:tcPr>
          <w:p>
            <w:pPr>
              <w:spacing w:after="0"/>
              <w:rPr>
                <w:sz w:val="22"/>
                <w:szCs w:val="22"/>
                <w:color w:val="auto"/>
              </w:rPr>
            </w:pPr>
          </w:p>
        </w:tc>
        <w:tc>
          <w:tcPr>
            <w:tcW w:w="3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(See Note 3)</w:t>
            </w:r>
          </w:p>
        </w:tc>
        <w:tc>
          <w:tcPr>
            <w:tcW w:w="50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34,381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51,604</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estimated fair value of the Company’s interest rate swap liabilities incorporates the Company’s non-performance risk. The adjustment related to the Company’s non-performance risk at August 3, 2012 and July 29, 2011 resulted in reductions of $851 and $1,546, respectively, in the total fair value of the interest rate swap liabilities. The offset to the interest rate swap liabilities is recorded in accumulated other comprehensive loss (“AOCL”), net of the deferred tax assets, and will be reclassified into earnings over the term of the underlying debt. As of August 3, 2012, the estimated pre-tax portion of AOCL that is expected to be reclassified into earnings over the next twelve months is $20,539. Cash flows related to the interest rate swaps are included in interest expense and in operating activities.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AOCL at:</w:t>
      </w:r>
    </w:p>
    <w:p>
      <w:pPr>
        <w:spacing w:after="0" w:line="25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Amount of Income (Loss) Recognized in</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AOCL on Derivatives (Effective 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3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3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hedges:</w:t>
            </w:r>
          </w:p>
        </w:tc>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17,223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income at: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2"/>
              </w:rPr>
              <w:t>Location of Loss Reclassified from</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color w:val="auto"/>
                <w:w w:val="94"/>
              </w:rPr>
              <w:t>Amount of Loss Reclassified from AOCL into</w:t>
            </w:r>
          </w:p>
        </w:tc>
      </w:tr>
      <w:tr>
        <w:trPr>
          <w:trHeight w:val="237"/>
        </w:trPr>
        <w:tc>
          <w:tcPr>
            <w:tcW w:w="25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4"/>
              </w:rPr>
              <w:t>AOCL into Income (Effective Portion)</w:t>
            </w: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color w:val="auto"/>
                <w:w w:val="92"/>
              </w:rPr>
              <w:t>Income (Effective Portion)</w:t>
            </w:r>
          </w:p>
        </w:tc>
        <w:tc>
          <w:tcPr>
            <w:tcW w:w="960" w:type="dxa"/>
            <w:vAlign w:val="bottom"/>
            <w:tcBorders>
              <w:bottom w:val="single" w:sz="8" w:color="auto"/>
            </w:tcBorders>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2011</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Cash flow hedges:</w:t>
            </w: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7"/>
        </w:trPr>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46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7"/>
              </w:rPr>
              <w:t>Interest expense</w:t>
            </w: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35,903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30,355</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30,722</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interest rate swaps determined to be ineffective will be recognized currently in earnings. No ineffectiveness has been recorded in 2012, 2011 and 2010.</w:t>
      </w:r>
    </w:p>
    <w:p>
      <w:pPr>
        <w:spacing w:after="0" w:line="19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Repurchases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2012, the Company was authorized to repurchase shares at management’s discretion up to a maximum aggregate purchase price of $65,000. In 2011 and 2010, the Company was authorized to repurchase shares to offset share dilution that resulted from the issuance of shares under its equity compensation plans up to the same maximum aggregate purchase price amount. In 2013, the Company has been authorized to repurchase shares at management’s discretion up to a maximum aggregate purchase price of $100,000.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The following table summarizes our share repurchases for the last three years:</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repurchased</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265,538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676,600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1,352,000</w:t>
            </w:r>
          </w:p>
        </w:tc>
      </w:tr>
      <w:tr>
        <w:trPr>
          <w:trHeight w:val="216"/>
        </w:trPr>
        <w:tc>
          <w:tcPr>
            <w:tcW w:w="2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shares repurchased</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14,923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33,563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62,487</w:t>
            </w:r>
          </w:p>
        </w:tc>
      </w:tr>
      <w:tr>
        <w:trPr>
          <w:trHeight w:val="21"/>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tab/>
        <w:t>Segment Information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56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Total revenue was comprised of the following at:</w:t>
            </w: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2,054,127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1,934,049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1,911,664</w:t>
            </w: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Retail</w:t>
            </w:r>
          </w:p>
        </w:tc>
        <w:tc>
          <w:tcPr>
            <w:tcW w:w="2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526,068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500,386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492,851</w:t>
            </w:r>
          </w:p>
        </w:tc>
      </w:tr>
      <w:tr>
        <w:trPr>
          <w:trHeight w:val="257"/>
        </w:trPr>
        <w:tc>
          <w:tcPr>
            <w:tcW w:w="20" w:type="dxa"/>
            <w:vAlign w:val="bottom"/>
          </w:tcPr>
          <w:p>
            <w:pPr>
              <w:spacing w:after="0"/>
              <w:rPr>
                <w:sz w:val="22"/>
                <w:szCs w:val="22"/>
                <w:color w:val="auto"/>
              </w:rPr>
            </w:pPr>
          </w:p>
        </w:tc>
        <w:tc>
          <w:tcPr>
            <w:tcW w:w="56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2,580,195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2,434,435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2,404,515</w:t>
            </w:r>
          </w:p>
        </w:tc>
      </w:tr>
    </w:tbl>
    <w:p>
      <w:pPr>
        <w:spacing w:after="0" w:line="22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and Store Dispositions, Net</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Impairment and store dispositions, net consisted of the following at: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35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2,672</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Gains on disposition of stores</w:t>
            </w:r>
          </w:p>
        </w:tc>
        <w:tc>
          <w:tcPr>
            <w:tcW w:w="35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Store closing costs</w:t>
            </w:r>
          </w:p>
        </w:tc>
        <w:tc>
          <w:tcPr>
            <w:tcW w:w="3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2,800</w:t>
            </w: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did not incur any impairment charges in 2012. During 2011, the Company recorded impairment charges of $1,044 and $2,175, respectively, for office space which is classified as property held for sale and for a leased store. See Note 3 for information related to the determination of the fair value for this store and office space. During 2010, the Company also determined that one leased store was impaired, resulting in an impairment charge of $2,263. Both leased stores were impaired because of declining operating performance and resulting negative cash flow projections. Additionally, during 2010, the Company closed one store, which resulted in an impairment charge of $409. The decision to close this store was because of its age, expected future capital expenditure requirements and declining operating performance.</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2011, the Company’s gain on disposition of stores included gains resulting from the sale of two closed stores and a condemnation award resulting from an eminent domain proceeding. The Company received net proceeds of $1,054 from the sale of the two closed stores, which resulted in a gain of $485. The condemnation award consisted of net proceeds of $6,576, which resulted in a gain of $3,624. In 2011, the Company closed the store on which the condemnation award was received.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 Leases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August 3, 2012, the Company operated 208 stores in leased facilities and also leased certain land, a retail distribution center and advertising billboards.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under operating leases, including the sale-leaseback transactions discussed below, for each of the three years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spacing w:after="0"/>
              <w:rPr>
                <w:sz w:val="20"/>
                <w:szCs w:val="20"/>
                <w:color w:val="auto"/>
              </w:rPr>
            </w:pPr>
            <w:r>
              <w:rPr>
                <w:rFonts w:ascii="Arial" w:cs="Arial" w:eastAsia="Arial" w:hAnsi="Arial"/>
                <w:sz w:val="18"/>
                <w:szCs w:val="18"/>
                <w:color w:val="auto"/>
              </w:rPr>
              <w:t>Year</w:t>
            </w:r>
          </w:p>
        </w:tc>
        <w:tc>
          <w:tcPr>
            <w:tcW w:w="37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Minimum</w:t>
            </w:r>
          </w:p>
        </w:tc>
        <w:tc>
          <w:tcPr>
            <w:tcW w:w="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4"/>
              </w:rPr>
              <w:t>Contingent</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67,651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67,927</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2011</w:t>
            </w:r>
          </w:p>
        </w:tc>
        <w:tc>
          <w:tcPr>
            <w:tcW w:w="37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65,878</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66,057</w:t>
            </w:r>
          </w:p>
        </w:tc>
      </w:tr>
      <w:tr>
        <w:trPr>
          <w:trHeight w:val="223"/>
        </w:trPr>
        <w:tc>
          <w:tcPr>
            <w:tcW w:w="20" w:type="dxa"/>
            <w:vAlign w:val="bottom"/>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3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65,351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65,870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schedule by year of the future minimum rental payments required under the Company’s operating leases as of August 3,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728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58,537</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2014</w:t>
            </w:r>
          </w:p>
        </w:tc>
        <w:tc>
          <w:tcPr>
            <w:tcW w:w="7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47,501</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41,928</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2016</w:t>
            </w:r>
          </w:p>
        </w:tc>
        <w:tc>
          <w:tcPr>
            <w:tcW w:w="7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39,655</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40,077</w:t>
            </w: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Later years</w:t>
            </w:r>
          </w:p>
        </w:tc>
        <w:tc>
          <w:tcPr>
            <w:tcW w:w="7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570,220</w:t>
            </w:r>
          </w:p>
        </w:tc>
      </w:tr>
      <w:tr>
        <w:trPr>
          <w:trHeight w:val="257"/>
        </w:trPr>
        <w:tc>
          <w:tcPr>
            <w:tcW w:w="20" w:type="dxa"/>
            <w:vAlign w:val="bottom"/>
          </w:tcPr>
          <w:p>
            <w:pPr>
              <w:spacing w:after="0"/>
              <w:rPr>
                <w:sz w:val="22"/>
                <w:szCs w:val="22"/>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797,918</w:t>
            </w:r>
          </w:p>
        </w:tc>
      </w:tr>
      <w:tr>
        <w:trPr>
          <w:trHeight w:val="54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80" w:type="dxa"/>
            <w:vAlign w:val="bottom"/>
          </w:tcPr>
          <w:p>
            <w:pPr>
              <w:jc w:val="right"/>
              <w:ind w:right="4636"/>
              <w:spacing w:after="0"/>
              <w:rPr>
                <w:sz w:val="20"/>
                <w:szCs w:val="20"/>
                <w:color w:val="auto"/>
              </w:rPr>
            </w:pPr>
            <w:r>
              <w:rPr>
                <w:rFonts w:ascii="Arial" w:cs="Arial" w:eastAsia="Arial" w:hAnsi="Arial"/>
                <w:sz w:val="14"/>
                <w:szCs w:val="14"/>
                <w:color w:val="auto"/>
              </w:rPr>
              <w:t>59</w:t>
            </w:r>
          </w:p>
        </w:tc>
        <w:tc>
          <w:tcPr>
            <w:tcW w:w="92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c>
          <w:tcPr>
            <w:tcW w:w="7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Sale-Leaseback Transactions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August 3, 2012 and July 29, 2011, the Company was in compliance with all those covenants.</w:t>
      </w:r>
    </w:p>
    <w:p>
      <w:pPr>
        <w:spacing w:after="0" w:line="214" w:lineRule="exact"/>
        <w:rPr>
          <w:sz w:val="20"/>
          <w:szCs w:val="20"/>
          <w:color w:val="auto"/>
        </w:rPr>
      </w:pPr>
    </w:p>
    <w:p>
      <w:pPr>
        <w:ind w:right="9100" w:firstLine="8"/>
        <w:spacing w:after="0" w:line="638" w:lineRule="auto"/>
        <w:tabs>
          <w:tab w:leader="none" w:pos="324" w:val="left"/>
        </w:tabs>
        <w:numPr>
          <w:ilvl w:val="0"/>
          <w:numId w:val="33"/>
        </w:numPr>
        <w:rPr>
          <w:rFonts w:ascii="Arial" w:cs="Arial" w:eastAsia="Arial" w:hAnsi="Arial"/>
          <w:sz w:val="15"/>
          <w:szCs w:val="15"/>
          <w:color w:val="auto"/>
        </w:rPr>
      </w:pPr>
      <w:r>
        <w:rPr>
          <w:rFonts w:ascii="Arial" w:cs="Arial" w:eastAsia="Arial" w:hAnsi="Arial"/>
          <w:sz w:val="15"/>
          <w:szCs w:val="15"/>
          <w:color w:val="auto"/>
        </w:rPr>
        <w:t>Share-Based Compensation Stock Compensation Plans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one active compensation plan, the 2010 Omnibus Incentive Compensation Plan (the "2010 Omnibus Plan"), for employees and non-employee directors which authorizes the granting of nonvested stock awards, MSU Grants, stock options and other types of share-based awards. The Company also has stock options and nonvested stock outstanding under four other compensation plans (“Prior Plans”) in which no future grants may be made.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2010 Omnibus Plan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2010 Omnibus Plan, which was approved by shareholders on December 1, 2010, authorizes the following types of awards to all eligible participants: nonvested stock awards, MSU Grants, stock options, stock appreciation rights and other share-based awards and performance awards. 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August 3, 2012, the number of shares authorized for future issuance under the Company’s active plan is 1,256,509.</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Plans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 options granted under the Cracker Barrel Old Country Store, Inc. 1989 Stock Option Plan for Non-employee Directors (“Directors Plan”) expire one year from the retirement of the director from the Board of Directors. Stock options granted under the 2000 Non-Executive Stock Option Plan (“Employee Plan”), the Amended and Restated Stock Option Plan (the “A&amp;R Plan”) and the 2002 Omnibus Incentive Compensation Plan (“2002 Omnibus Plan”) expire ten years from the date of grant.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summaries the number of outstanding awards under each plan at August 3, 2012: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 Omnibus Plan</w:t>
            </w:r>
          </w:p>
        </w:tc>
        <w:tc>
          <w:tcPr>
            <w:tcW w:w="7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374,934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Directors Plan</w:t>
            </w:r>
          </w:p>
        </w:tc>
        <w:tc>
          <w:tcPr>
            <w:tcW w:w="7880" w:type="dxa"/>
            <w:vAlign w:val="bottom"/>
          </w:tcPr>
          <w:p>
            <w:pPr>
              <w:jc w:val="right"/>
              <w:ind w:right="13"/>
              <w:spacing w:after="0"/>
              <w:rPr>
                <w:sz w:val="20"/>
                <w:szCs w:val="20"/>
                <w:color w:val="auto"/>
              </w:rPr>
            </w:pPr>
            <w:r>
              <w:rPr>
                <w:rFonts w:ascii="Arial" w:cs="Arial" w:eastAsia="Arial" w:hAnsi="Arial"/>
                <w:sz w:val="18"/>
                <w:szCs w:val="18"/>
                <w:color w:val="auto"/>
              </w:rPr>
              <w:t>16,110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Employee Plan</w:t>
            </w:r>
          </w:p>
        </w:tc>
        <w:tc>
          <w:tcPr>
            <w:tcW w:w="7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42,546</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A&amp;R Plan</w:t>
            </w:r>
          </w:p>
        </w:tc>
        <w:tc>
          <w:tcPr>
            <w:tcW w:w="7880" w:type="dxa"/>
            <w:vAlign w:val="bottom"/>
          </w:tcPr>
          <w:p>
            <w:pPr>
              <w:jc w:val="right"/>
              <w:ind w:right="13"/>
              <w:spacing w:after="0"/>
              <w:rPr>
                <w:sz w:val="20"/>
                <w:szCs w:val="20"/>
                <w:color w:val="auto"/>
              </w:rPr>
            </w:pPr>
            <w:r>
              <w:rPr>
                <w:rFonts w:ascii="Arial" w:cs="Arial" w:eastAsia="Arial" w:hAnsi="Arial"/>
                <w:sz w:val="18"/>
                <w:szCs w:val="18"/>
                <w:color w:val="auto"/>
              </w:rPr>
              <w:t>205,055</w:t>
            </w:r>
          </w:p>
        </w:tc>
      </w:tr>
      <w:tr>
        <w:trPr>
          <w:trHeight w:val="223"/>
        </w:trPr>
        <w:tc>
          <w:tcPr>
            <w:tcW w:w="3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2002 Omnibus Plan</w:t>
            </w:r>
          </w:p>
        </w:tc>
        <w:tc>
          <w:tcPr>
            <w:tcW w:w="7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137,384</w:t>
            </w:r>
          </w:p>
        </w:tc>
      </w:tr>
      <w:tr>
        <w:trPr>
          <w:trHeight w:val="555"/>
        </w:trPr>
        <w:tc>
          <w:tcPr>
            <w:tcW w:w="3540" w:type="dxa"/>
            <w:vAlign w:val="bottom"/>
          </w:tcPr>
          <w:p>
            <w:pPr>
              <w:spacing w:after="0"/>
              <w:rPr>
                <w:sz w:val="24"/>
                <w:szCs w:val="24"/>
                <w:color w:val="auto"/>
              </w:rPr>
            </w:pPr>
          </w:p>
        </w:tc>
        <w:tc>
          <w:tcPr>
            <w:tcW w:w="7880" w:type="dxa"/>
            <w:vAlign w:val="bottom"/>
          </w:tcPr>
          <w:p>
            <w:pPr>
              <w:jc w:val="right"/>
              <w:ind w:right="5553"/>
              <w:spacing w:after="0"/>
              <w:rPr>
                <w:sz w:val="20"/>
                <w:szCs w:val="20"/>
                <w:color w:val="auto"/>
              </w:rPr>
            </w:pPr>
            <w:r>
              <w:rPr>
                <w:rFonts w:ascii="Arial" w:cs="Arial" w:eastAsia="Arial" w:hAnsi="Arial"/>
                <w:sz w:val="14"/>
                <w:szCs w:val="14"/>
                <w:color w:val="auto"/>
              </w:rPr>
              <w:t>60</w:t>
            </w:r>
          </w:p>
        </w:tc>
      </w:tr>
      <w:tr>
        <w:trPr>
          <w:trHeight w:val="103"/>
        </w:trPr>
        <w:tc>
          <w:tcPr>
            <w:tcW w:w="3540" w:type="dxa"/>
            <w:vAlign w:val="bottom"/>
            <w:tcBorders>
              <w:bottom w:val="single" w:sz="8" w:color="808080"/>
            </w:tcBorders>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Share-Based Awards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2009, the Company awarded options for the purchase of 25,000 shares of the Company’s common stock and a nonvested grant of 25,000 shares of the Company’s common stock to an executive. The stock options and nonvested stock grants were made as “inducement grants” outside of the Company’s plans under NASDAQ rules that allow such awards without shareholder approval. The stock options and 16,666 of the shares subject to the nonvested stock grant vested over three years and 8,334 of the shares subject to the nonvested stock grant vested over a two-year period. At August 3, 2012, the nonvested grant had fully vested and was no longer subject to restriction, and the stock options had vested and become exercisable; however, none of the stock options had yet been exercised.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Types of Share-Based Awards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Stock</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Nonvested stock awards consist of the Company’s common stock and generally vest over 2–5 years. Generally, the fair value of each nonvested stock award which does not accrue dividends is equal to the market price of the Company’s stock at the date of grant reduced by the present value of expected dividends to be paid prior to the vesting period, discounted using an appropriate risk-free interest rate. Other nonvested stock awards accrue dividends and their fair value is equal to the market price of the Company’s stock at the date of the grant. Dividends are forfeited for any nonvested stock awards that do not vest.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performance periods and vesting periods for the Company’s long-term performance plans: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8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Vesting Period</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Long-Term Performance Plan (“LTPP”)</w:t>
            </w:r>
          </w:p>
        </w:tc>
        <w:tc>
          <w:tcPr>
            <w:tcW w:w="3200" w:type="dxa"/>
            <w:vAlign w:val="bottom"/>
          </w:tcPr>
          <w:p>
            <w:pPr>
              <w:jc w:val="center"/>
              <w:ind w:left="1390"/>
              <w:spacing w:after="0"/>
              <w:rPr>
                <w:sz w:val="20"/>
                <w:szCs w:val="20"/>
                <w:color w:val="auto"/>
              </w:rPr>
            </w:pPr>
            <w:r>
              <w:rPr>
                <w:rFonts w:ascii="Arial" w:cs="Arial" w:eastAsia="Arial" w:hAnsi="Arial"/>
                <w:sz w:val="18"/>
                <w:szCs w:val="18"/>
                <w:color w:val="auto"/>
                <w:w w:val="89"/>
              </w:rPr>
              <w:t>Performance Period</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(in Years)</w:t>
            </w:r>
          </w:p>
        </w:tc>
      </w:tr>
      <w:tr>
        <w:trPr>
          <w:trHeight w:val="216"/>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 LTPP</w:t>
            </w:r>
          </w:p>
        </w:tc>
        <w:tc>
          <w:tcPr>
            <w:tcW w:w="3200" w:type="dxa"/>
            <w:vAlign w:val="bottom"/>
            <w:tcBorders>
              <w:top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89"/>
              </w:rPr>
              <w:t>2010</w:t>
            </w:r>
          </w:p>
        </w:tc>
        <w:tc>
          <w:tcPr>
            <w:tcW w:w="144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2011 LTPP</w:t>
            </w:r>
          </w:p>
        </w:tc>
        <w:tc>
          <w:tcPr>
            <w:tcW w:w="3200" w:type="dxa"/>
            <w:vAlign w:val="bottom"/>
          </w:tcPr>
          <w:p>
            <w:pPr>
              <w:jc w:val="center"/>
              <w:ind w:left="1370"/>
              <w:spacing w:after="0"/>
              <w:rPr>
                <w:sz w:val="20"/>
                <w:szCs w:val="20"/>
                <w:color w:val="auto"/>
              </w:rPr>
            </w:pPr>
            <w:r>
              <w:rPr>
                <w:rFonts w:ascii="Arial" w:cs="Arial" w:eastAsia="Arial" w:hAnsi="Arial"/>
                <w:sz w:val="18"/>
                <w:szCs w:val="18"/>
                <w:color w:val="auto"/>
                <w:w w:val="89"/>
              </w:rPr>
              <w:t>2011 - 2012</w:t>
            </w: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2012 LTPP</w:t>
            </w:r>
          </w:p>
        </w:tc>
        <w:tc>
          <w:tcPr>
            <w:tcW w:w="3200" w:type="dxa"/>
            <w:vAlign w:val="bottom"/>
            <w:tcBorders>
              <w:bottom w:val="single" w:sz="8" w:color="auto"/>
            </w:tcBorders>
            <w:shd w:val="clear" w:color="auto" w:fill="CCEEFF"/>
          </w:tcPr>
          <w:p>
            <w:pPr>
              <w:jc w:val="center"/>
              <w:ind w:left="1390"/>
              <w:spacing w:after="0"/>
              <w:rPr>
                <w:sz w:val="20"/>
                <w:szCs w:val="20"/>
                <w:color w:val="auto"/>
              </w:rPr>
            </w:pPr>
            <w:r>
              <w:rPr>
                <w:rFonts w:ascii="Arial" w:cs="Arial" w:eastAsia="Arial" w:hAnsi="Arial"/>
                <w:sz w:val="18"/>
                <w:szCs w:val="18"/>
                <w:color w:val="auto"/>
                <w:w w:val="91"/>
              </w:rPr>
              <w:t>2012 - 2013</w:t>
            </w:r>
          </w:p>
        </w:tc>
        <w:tc>
          <w:tcPr>
            <w:tcW w:w="144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2011 LTPP and the 2012 LTPP at August 3, 2012: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 LTPP</w:t>
            </w:r>
          </w:p>
        </w:tc>
        <w:tc>
          <w:tcPr>
            <w:tcW w:w="29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39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2011 LTPP</w:t>
            </w:r>
          </w:p>
        </w:tc>
        <w:tc>
          <w:tcPr>
            <w:tcW w:w="2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459"/>
        </w:trPr>
        <w:tc>
          <w:tcPr>
            <w:tcW w:w="20" w:type="dxa"/>
            <w:vAlign w:val="bottom"/>
          </w:tcPr>
          <w:p>
            <w:pPr>
              <w:spacing w:after="0"/>
              <w:rPr>
                <w:sz w:val="24"/>
                <w:szCs w:val="24"/>
                <w:color w:val="auto"/>
              </w:rPr>
            </w:pPr>
          </w:p>
        </w:tc>
        <w:tc>
          <w:tcPr>
            <w:tcW w:w="11400" w:type="dxa"/>
            <w:vAlign w:val="bottom"/>
            <w:gridSpan w:val="5"/>
          </w:tcPr>
          <w:p>
            <w:pPr>
              <w:jc w:val="right"/>
              <w:ind w:right="1160"/>
              <w:spacing w:after="0"/>
              <w:rPr>
                <w:sz w:val="20"/>
                <w:szCs w:val="20"/>
                <w:color w:val="auto"/>
              </w:rPr>
            </w:pPr>
            <w:r>
              <w:rPr>
                <w:rFonts w:ascii="Arial" w:cs="Arial" w:eastAsia="Arial" w:hAnsi="Arial"/>
                <w:sz w:val="18"/>
                <w:szCs w:val="18"/>
                <w:color w:val="auto"/>
                <w:w w:val="93"/>
              </w:rPr>
              <w:t>A summary of the Company’s nonvested stock activity as of August 3, 2012, and changes during 2012 is presented in the following table:</w:t>
            </w:r>
          </w:p>
        </w:tc>
      </w:tr>
      <w:tr>
        <w:trPr>
          <w:trHeight w:val="466"/>
        </w:trPr>
        <w:tc>
          <w:tcPr>
            <w:tcW w:w="4280" w:type="dxa"/>
            <w:vAlign w:val="bottom"/>
            <w:gridSpan w:val="2"/>
          </w:tcPr>
          <w:p>
            <w:pPr>
              <w:spacing w:after="0"/>
              <w:rPr>
                <w:sz w:val="20"/>
                <w:szCs w:val="20"/>
                <w:color w:val="auto"/>
              </w:rPr>
            </w:pPr>
            <w:r>
              <w:rPr>
                <w:rFonts w:ascii="Arial" w:cs="Arial" w:eastAsia="Arial" w:hAnsi="Arial"/>
                <w:sz w:val="18"/>
                <w:szCs w:val="18"/>
                <w:color w:val="auto"/>
              </w:rPr>
              <w:t>(Shares in thousands)</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2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89"/>
              </w:rPr>
              <w:t>Weighted-Average</w:t>
            </w:r>
          </w:p>
        </w:tc>
        <w:tc>
          <w:tcPr>
            <w:tcW w:w="2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gridSpan w:val="2"/>
          </w:tcPr>
          <w:p>
            <w:pPr>
              <w:jc w:val="right"/>
              <w:ind w:right="2660"/>
              <w:spacing w:after="0"/>
              <w:rPr>
                <w:sz w:val="20"/>
                <w:szCs w:val="20"/>
                <w:color w:val="auto"/>
              </w:rPr>
            </w:pPr>
            <w:r>
              <w:rPr>
                <w:rFonts w:ascii="Arial" w:cs="Arial" w:eastAsia="Arial" w:hAnsi="Arial"/>
                <w:sz w:val="18"/>
                <w:szCs w:val="18"/>
                <w:color w:val="auto"/>
                <w:w w:val="98"/>
              </w:rPr>
              <w:t>Grant Date Fair</w:t>
            </w: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Nonvested Stock</w:t>
            </w:r>
          </w:p>
        </w:tc>
        <w:tc>
          <w:tcPr>
            <w:tcW w:w="2940" w:type="dxa"/>
            <w:vAlign w:val="bottom"/>
          </w:tcPr>
          <w:p>
            <w:pPr>
              <w:ind w:left="224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20"/>
                <w:szCs w:val="20"/>
                <w:color w:val="auto"/>
              </w:rPr>
            </w:pPr>
          </w:p>
        </w:tc>
        <w:tc>
          <w:tcPr>
            <w:tcW w:w="3900" w:type="dxa"/>
            <w:vAlign w:val="bottom"/>
            <w:gridSpan w:val="2"/>
          </w:tcPr>
          <w:p>
            <w:pPr>
              <w:jc w:val="right"/>
              <w:ind w:right="2980"/>
              <w:spacing w:after="0"/>
              <w:rPr>
                <w:sz w:val="20"/>
                <w:szCs w:val="20"/>
                <w:color w:val="auto"/>
              </w:rPr>
            </w:pPr>
            <w:r>
              <w:rPr>
                <w:rFonts w:ascii="Arial" w:cs="Arial" w:eastAsia="Arial" w:hAnsi="Arial"/>
                <w:sz w:val="18"/>
                <w:szCs w:val="18"/>
                <w:color w:val="auto"/>
              </w:rPr>
              <w:t>Value</w:t>
            </w:r>
          </w:p>
        </w:tc>
      </w:tr>
      <w:tr>
        <w:trPr>
          <w:trHeight w:val="216"/>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July 29, 2011</w:t>
            </w:r>
          </w:p>
        </w:tc>
        <w:tc>
          <w:tcPr>
            <w:tcW w:w="2940" w:type="dxa"/>
            <w:vAlign w:val="bottom"/>
            <w:tcBorders>
              <w:top w:val="single" w:sz="8" w:color="auto"/>
            </w:tcBorders>
            <w:shd w:val="clear" w:color="auto" w:fill="CCEEFF"/>
          </w:tcPr>
          <w:p>
            <w:pPr>
              <w:jc w:val="center"/>
              <w:ind w:left="1950"/>
              <w:spacing w:after="0"/>
              <w:rPr>
                <w:sz w:val="20"/>
                <w:szCs w:val="20"/>
                <w:color w:val="auto"/>
              </w:rPr>
            </w:pPr>
            <w:r>
              <w:rPr>
                <w:rFonts w:ascii="Arial" w:cs="Arial" w:eastAsia="Arial" w:hAnsi="Arial"/>
                <w:sz w:val="18"/>
                <w:szCs w:val="18"/>
                <w:color w:val="auto"/>
                <w:w w:val="86"/>
              </w:rPr>
              <w:t>339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42.31</w:t>
            </w: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Granted</w:t>
            </w:r>
          </w:p>
        </w:tc>
        <w:tc>
          <w:tcPr>
            <w:tcW w:w="2940" w:type="dxa"/>
            <w:vAlign w:val="bottom"/>
          </w:tcPr>
          <w:p>
            <w:pPr>
              <w:jc w:val="center"/>
              <w:ind w:left="1950"/>
              <w:spacing w:after="0"/>
              <w:rPr>
                <w:sz w:val="20"/>
                <w:szCs w:val="20"/>
                <w:color w:val="auto"/>
              </w:rPr>
            </w:pPr>
            <w:r>
              <w:rPr>
                <w:rFonts w:ascii="Arial" w:cs="Arial" w:eastAsia="Arial" w:hAnsi="Arial"/>
                <w:sz w:val="18"/>
                <w:szCs w:val="18"/>
                <w:color w:val="auto"/>
                <w:w w:val="89"/>
              </w:rPr>
              <w:t>43</w:t>
            </w:r>
          </w:p>
        </w:tc>
        <w:tc>
          <w:tcPr>
            <w:tcW w:w="3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46.22</w:t>
            </w: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940" w:type="dxa"/>
            <w:vAlign w:val="bottom"/>
            <w:shd w:val="clear" w:color="auto" w:fill="CCEEFF"/>
          </w:tcPr>
          <w:p>
            <w:pPr>
              <w:jc w:val="center"/>
              <w:ind w:left="1950"/>
              <w:spacing w:after="0"/>
              <w:rPr>
                <w:sz w:val="20"/>
                <w:szCs w:val="20"/>
                <w:color w:val="auto"/>
              </w:rPr>
            </w:pPr>
            <w:r>
              <w:rPr>
                <w:rFonts w:ascii="Arial" w:cs="Arial" w:eastAsia="Arial" w:hAnsi="Arial"/>
                <w:sz w:val="18"/>
                <w:szCs w:val="18"/>
                <w:color w:val="auto"/>
                <w:w w:val="90"/>
              </w:rPr>
              <w:t>(302)</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42.96</w:t>
            </w:r>
          </w:p>
        </w:tc>
        <w:tc>
          <w:tcPr>
            <w:tcW w:w="22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294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3, 2012</w:t>
            </w:r>
          </w:p>
        </w:tc>
        <w:tc>
          <w:tcPr>
            <w:tcW w:w="2940" w:type="dxa"/>
            <w:vAlign w:val="bottom"/>
            <w:tcBorders>
              <w:bottom w:val="single" w:sz="8" w:color="auto"/>
            </w:tcBorders>
            <w:shd w:val="clear" w:color="auto" w:fill="CCEEFF"/>
          </w:tcPr>
          <w:p>
            <w:pPr>
              <w:jc w:val="center"/>
              <w:ind w:left="1950"/>
              <w:spacing w:after="0"/>
              <w:rPr>
                <w:sz w:val="20"/>
                <w:szCs w:val="20"/>
                <w:color w:val="auto"/>
              </w:rPr>
            </w:pPr>
            <w:r>
              <w:rPr>
                <w:rFonts w:ascii="Arial" w:cs="Arial" w:eastAsia="Arial" w:hAnsi="Arial"/>
                <w:sz w:val="18"/>
                <w:szCs w:val="18"/>
                <w:color w:val="auto"/>
                <w:w w:val="89"/>
              </w:rPr>
              <w:t>80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41.97</w:t>
            </w:r>
          </w:p>
        </w:tc>
        <w:tc>
          <w:tcPr>
            <w:tcW w:w="2280" w:type="dxa"/>
            <w:vAlign w:val="bottom"/>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fair value of nonvested stock that vested for each of the three years:</w:t>
      </w:r>
    </w:p>
    <w:p>
      <w:pPr>
        <w:spacing w:after="0" w:line="252" w:lineRule="exact"/>
        <w:rPr>
          <w:sz w:val="20"/>
          <w:szCs w:val="20"/>
          <w:color w:val="auto"/>
        </w:rPr>
      </w:pPr>
    </w:p>
    <w:p>
      <w:pPr>
        <w:ind w:left="7920"/>
        <w:spacing w:after="0"/>
        <w:tabs>
          <w:tab w:leader="none" w:pos="9220" w:val="left"/>
          <w:tab w:leader="none" w:pos="1060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540" w:val="left"/>
          <w:tab w:leader="none" w:pos="10160" w:val="left"/>
          <w:tab w:leader="none" w:pos="10880" w:val="left"/>
        </w:tabs>
        <w:rPr>
          <w:sz w:val="20"/>
          <w:szCs w:val="20"/>
          <w:color w:val="auto"/>
        </w:rPr>
      </w:pPr>
      <w:r>
        <w:rPr>
          <w:rFonts w:ascii="Arial" w:cs="Arial" w:eastAsia="Arial" w:hAnsi="Arial"/>
          <w:sz w:val="18"/>
          <w:szCs w:val="18"/>
          <w:color w:val="auto"/>
        </w:rPr>
        <w:t>Total fair value of nonvested stock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12,981</w:t>
        <w:tab/>
        <w:t>$</w:t>
      </w:r>
      <w:r>
        <w:rPr>
          <w:sz w:val="20"/>
          <w:szCs w:val="20"/>
          <w:color w:val="auto"/>
        </w:rPr>
        <w:tab/>
      </w:r>
      <w:r>
        <w:rPr>
          <w:rFonts w:ascii="Arial" w:cs="Arial" w:eastAsia="Arial" w:hAnsi="Arial"/>
          <w:sz w:val="18"/>
          <w:szCs w:val="18"/>
          <w:color w:val="auto"/>
        </w:rPr>
        <w:t>4,393</w:t>
        <w:tab/>
        <w:t>$</w:t>
      </w:r>
      <w:r>
        <w:rPr>
          <w:sz w:val="20"/>
          <w:szCs w:val="20"/>
          <w:color w:val="auto"/>
        </w:rPr>
        <w:tab/>
      </w:r>
      <w:r>
        <w:rPr>
          <w:rFonts w:ascii="Arial" w:cs="Arial" w:eastAsia="Arial" w:hAnsi="Arial"/>
          <w:sz w:val="16"/>
          <w:szCs w:val="16"/>
          <w:color w:val="auto"/>
        </w:rPr>
        <w:t>2,667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Market Stock Units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2011, the Company began awarding MSU Grants instead of stock options. Pursuant to the approval of the 2010 Omnibus Plan on December 1, 2010, the stock options granted on September 22, 2011 were defeased and replaced with MSU Grants to seven executives. The stock option awards would have vested at a cumulative rate of 33% per year beginning on the first anniversary of the grant date. The MSU Grants will vest at the end of the three-year performance period. The defeasance of the stock options and the replacement award of the MSU Grants were accounted for as a modification and resulted in incremental compensation expense of $1,221.</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number of MSU Grants that will ultimately be awarded and will vest at the end of the applicable three-year performance period for each annual plan is based on total shareholder return, which is defined as increases in the Company’s stock price plus dividends paid during the performance period. The number of shares awarded may increase up to 150% of target in direct proportion to any percentage increase in total shareholder return during the performance period. The probability of the actual shares expected to be earned is considered in the grant date valuation; therefore, the expense will not be adjusted to reflect the actual units earned. In addition to a service requirement, the vesting of the MSU Grants is also subject to the achievement of a specified level of operating income during the performance period. If this performance goal is not met, no MSU Grants will be awarded and no compensation expense will be recorded.</w:t>
      </w:r>
    </w:p>
    <w:p>
      <w:pPr>
        <w:spacing w:after="0" w:line="2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the MSU Grants is determined using the Monte-Carlo simulation model, which simulates a range of possible future stock prices and estimates the probabilities of the potential payouts. This model uses the average prices for the 60-consecutive calendar days beginning 30 days prior to and ending 30 days after the first business day of the performance period. This model also incorporates the following ranges of assumptions:</w:t>
      </w:r>
    </w:p>
    <w:p>
      <w:pPr>
        <w:spacing w:after="0" w:line="193" w:lineRule="exact"/>
        <w:rPr>
          <w:sz w:val="20"/>
          <w:szCs w:val="20"/>
          <w:color w:val="auto"/>
        </w:rPr>
      </w:pPr>
    </w:p>
    <w:p>
      <w:pPr>
        <w:ind w:left="660" w:right="2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The following assumptions were used for the Company’s MSU Grants:</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66"/>
        </w:trPr>
        <w:tc>
          <w:tcPr>
            <w:tcW w:w="8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80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Year Ended</w:t>
            </w:r>
          </w:p>
        </w:tc>
      </w:tr>
      <w:tr>
        <w:trPr>
          <w:trHeight w:val="223"/>
        </w:trPr>
        <w:tc>
          <w:tcPr>
            <w:tcW w:w="820" w:type="dxa"/>
            <w:vAlign w:val="bottom"/>
          </w:tcPr>
          <w:p>
            <w:pPr>
              <w:spacing w:after="0"/>
              <w:rPr>
                <w:sz w:val="19"/>
                <w:szCs w:val="19"/>
                <w:color w:val="auto"/>
              </w:rPr>
            </w:pPr>
          </w:p>
        </w:tc>
        <w:tc>
          <w:tcPr>
            <w:tcW w:w="6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August 3, 2012</w:t>
            </w: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July 29, 2011</w:t>
            </w:r>
          </w:p>
        </w:tc>
      </w:tr>
      <w:tr>
        <w:trPr>
          <w:trHeight w:val="216"/>
        </w:trPr>
        <w:tc>
          <w:tcPr>
            <w:tcW w:w="8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range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w:t>
            </w:r>
          </w:p>
        </w:tc>
      </w:tr>
      <w:tr>
        <w:trPr>
          <w:trHeight w:val="216"/>
        </w:trPr>
        <w:tc>
          <w:tcPr>
            <w:tcW w:w="8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45%</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43%</w:t>
            </w:r>
          </w:p>
        </w:tc>
      </w:tr>
      <w:tr>
        <w:trPr>
          <w:trHeight w:val="216"/>
        </w:trPr>
        <w:tc>
          <w:tcPr>
            <w:tcW w:w="8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shares that have been accrued under each annual plan based upon the change in total shareholder return at August 3,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60" w:type="dxa"/>
            <w:vAlign w:val="bottom"/>
          </w:tcPr>
          <w:p>
            <w:pPr>
              <w:jc w:val="center"/>
              <w:ind w:left="3110"/>
              <w:spacing w:after="0"/>
              <w:rPr>
                <w:sz w:val="20"/>
                <w:szCs w:val="20"/>
                <w:color w:val="auto"/>
              </w:rPr>
            </w:pPr>
            <w:r>
              <w:rPr>
                <w:rFonts w:ascii="Arial" w:cs="Arial" w:eastAsia="Arial" w:hAnsi="Arial"/>
                <w:sz w:val="18"/>
                <w:szCs w:val="18"/>
                <w:color w:val="auto"/>
                <w:w w:val="94"/>
              </w:rPr>
              <w:t>Total</w:t>
            </w: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60" w:type="dxa"/>
            <w:vAlign w:val="bottom"/>
          </w:tcPr>
          <w:p>
            <w:pPr>
              <w:jc w:val="center"/>
              <w:ind w:left="3110"/>
              <w:spacing w:after="0"/>
              <w:rPr>
                <w:sz w:val="20"/>
                <w:szCs w:val="20"/>
                <w:color w:val="auto"/>
              </w:rPr>
            </w:pPr>
            <w:r>
              <w:rPr>
                <w:rFonts w:ascii="Arial" w:cs="Arial" w:eastAsia="Arial" w:hAnsi="Arial"/>
                <w:sz w:val="18"/>
                <w:szCs w:val="18"/>
                <w:color w:val="auto"/>
                <w:w w:val="87"/>
              </w:rPr>
              <w:t>Shareholder</w:t>
            </w:r>
          </w:p>
        </w:tc>
        <w:tc>
          <w:tcPr>
            <w:tcW w:w="1100" w:type="dxa"/>
            <w:vAlign w:val="bottom"/>
          </w:tcPr>
          <w:p>
            <w:pPr>
              <w:spacing w:after="0"/>
              <w:rPr>
                <w:sz w:val="18"/>
                <w:szCs w:val="18"/>
                <w:color w:val="auto"/>
              </w:rPr>
            </w:pPr>
          </w:p>
        </w:tc>
      </w:tr>
      <w:tr>
        <w:trPr>
          <w:trHeight w:val="237"/>
        </w:trPr>
        <w:tc>
          <w:tcPr>
            <w:tcW w:w="5260" w:type="dxa"/>
            <w:vAlign w:val="bottom"/>
            <w:gridSpan w:val="2"/>
          </w:tcPr>
          <w:p>
            <w:pPr>
              <w:spacing w:after="0"/>
              <w:rPr>
                <w:sz w:val="20"/>
                <w:szCs w:val="20"/>
                <w:color w:val="auto"/>
              </w:rPr>
            </w:pPr>
            <w:r>
              <w:rPr>
                <w:rFonts w:ascii="Arial" w:cs="Arial" w:eastAsia="Arial" w:hAnsi="Arial"/>
                <w:sz w:val="18"/>
                <w:szCs w:val="18"/>
                <w:color w:val="auto"/>
              </w:rPr>
              <w:t>(Shares in thousands)</w:t>
            </w:r>
          </w:p>
        </w:tc>
        <w:tc>
          <w:tcPr>
            <w:tcW w:w="5060" w:type="dxa"/>
            <w:vAlign w:val="bottom"/>
          </w:tcPr>
          <w:p>
            <w:pPr>
              <w:jc w:val="center"/>
              <w:ind w:left="3110"/>
              <w:spacing w:after="0"/>
              <w:rPr>
                <w:sz w:val="20"/>
                <w:szCs w:val="20"/>
                <w:color w:val="auto"/>
              </w:rPr>
            </w:pPr>
            <w:r>
              <w:rPr>
                <w:rFonts w:ascii="Arial" w:cs="Arial" w:eastAsia="Arial" w:hAnsi="Arial"/>
                <w:sz w:val="18"/>
                <w:szCs w:val="18"/>
                <w:color w:val="auto"/>
                <w:w w:val="92"/>
              </w:rPr>
              <w:t>Return</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 MSU Grants</w:t>
            </w:r>
          </w:p>
        </w:tc>
        <w:tc>
          <w:tcPr>
            <w:tcW w:w="50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141.0%</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23"/>
        </w:trPr>
        <w:tc>
          <w:tcPr>
            <w:tcW w:w="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2011 MSU Grants</w:t>
            </w:r>
          </w:p>
        </w:tc>
        <w:tc>
          <w:tcPr>
            <w:tcW w:w="5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134.1%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2012, stock options were granted with an exercise price equal to the market price of the Company’s stock on the grant date; those option awards generally vest at a cumulative rate of 33% per year beginning on the first anniversary of the grant date and expire ten years from the date of grant. No stock options were granted in 2012.</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 of each option award was estimated on the date of grant using a binomial lattice-based option valuation model, which incorporates ranges of assumptions for inputs as shown in the following table.</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78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Year Ended</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July 29, 2011*</w:t>
            </w: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July 30, 2010</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range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47%</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0.3%- 4.6%</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0.4%- 5.1%</w:t>
            </w: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6.8</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 options granted in 2011 were defeased and replaced with MSU Grants (see sub-section above entitled “Performance-Based Market Stock Units”).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as of August 3, 2012, and changes during 2012 are presented in the following table: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Weighted-</w:t>
            </w:r>
          </w:p>
        </w:tc>
        <w:tc>
          <w:tcPr>
            <w:tcW w:w="19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9"/>
              </w:rPr>
              <w:t>Weighted-Average</w:t>
            </w: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Aggregate</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center"/>
              <w:ind w:right="410"/>
              <w:spacing w:after="0"/>
              <w:rPr>
                <w:sz w:val="20"/>
                <w:szCs w:val="20"/>
                <w:color w:val="auto"/>
              </w:rPr>
            </w:pPr>
            <w:r>
              <w:rPr>
                <w:rFonts w:ascii="Arial" w:cs="Arial" w:eastAsia="Arial" w:hAnsi="Arial"/>
                <w:sz w:val="18"/>
                <w:szCs w:val="18"/>
                <w:color w:val="auto"/>
                <w:w w:val="89"/>
              </w:rPr>
              <w:t>Average</w:t>
            </w:r>
          </w:p>
        </w:tc>
        <w:tc>
          <w:tcPr>
            <w:tcW w:w="1920" w:type="dxa"/>
            <w:vAlign w:val="bottom"/>
          </w:tcPr>
          <w:p>
            <w:pPr>
              <w:jc w:val="center"/>
              <w:ind w:right="10"/>
              <w:spacing w:after="0"/>
              <w:rPr>
                <w:sz w:val="20"/>
                <w:szCs w:val="20"/>
                <w:color w:val="auto"/>
              </w:rPr>
            </w:pPr>
            <w:r>
              <w:rPr>
                <w:rFonts w:ascii="Arial" w:cs="Arial" w:eastAsia="Arial" w:hAnsi="Arial"/>
                <w:sz w:val="18"/>
                <w:szCs w:val="18"/>
                <w:color w:val="auto"/>
                <w:w w:val="90"/>
              </w:rPr>
              <w:t>Remaining</w:t>
            </w:r>
          </w:p>
        </w:tc>
        <w:tc>
          <w:tcPr>
            <w:tcW w:w="420" w:type="dxa"/>
            <w:vAlign w:val="bottom"/>
          </w:tcPr>
          <w:p>
            <w:pPr>
              <w:spacing w:after="0"/>
              <w:rPr>
                <w:sz w:val="18"/>
                <w:szCs w:val="18"/>
                <w:color w:val="auto"/>
              </w:rPr>
            </w:pPr>
          </w:p>
        </w:tc>
        <w:tc>
          <w:tcPr>
            <w:tcW w:w="1140" w:type="dxa"/>
            <w:vAlign w:val="bottom"/>
          </w:tcPr>
          <w:p>
            <w:pPr>
              <w:jc w:val="center"/>
              <w:ind w:right="410"/>
              <w:spacing w:after="0"/>
              <w:rPr>
                <w:sz w:val="20"/>
                <w:szCs w:val="20"/>
                <w:color w:val="auto"/>
              </w:rPr>
            </w:pPr>
            <w:r>
              <w:rPr>
                <w:rFonts w:ascii="Arial" w:cs="Arial" w:eastAsia="Arial" w:hAnsi="Arial"/>
                <w:sz w:val="18"/>
                <w:szCs w:val="18"/>
                <w:color w:val="auto"/>
                <w:w w:val="96"/>
              </w:rPr>
              <w:t>Intrinsic</w:t>
            </w:r>
          </w:p>
        </w:tc>
      </w:tr>
      <w:tr>
        <w:trPr>
          <w:trHeight w:val="237"/>
        </w:trPr>
        <w:tc>
          <w:tcPr>
            <w:tcW w:w="3800" w:type="dxa"/>
            <w:vAlign w:val="bottom"/>
            <w:gridSpan w:val="2"/>
          </w:tcPr>
          <w:p>
            <w:pPr>
              <w:spacing w:after="0"/>
              <w:rPr>
                <w:sz w:val="20"/>
                <w:szCs w:val="20"/>
                <w:color w:val="auto"/>
              </w:rPr>
            </w:pPr>
            <w:r>
              <w:rPr>
                <w:rFonts w:ascii="Arial" w:cs="Arial" w:eastAsia="Arial" w:hAnsi="Arial"/>
                <w:sz w:val="18"/>
                <w:szCs w:val="18"/>
                <w:color w:val="auto"/>
              </w:rPr>
              <w:t>Fixed Options</w:t>
            </w:r>
          </w:p>
        </w:tc>
        <w:tc>
          <w:tcPr>
            <w:tcW w:w="2620" w:type="dxa"/>
            <w:vAlign w:val="bottom"/>
          </w:tcPr>
          <w:p>
            <w:pPr>
              <w:jc w:val="right"/>
              <w:ind w:right="47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1140" w:type="dxa"/>
            <w:vAlign w:val="bottom"/>
          </w:tcPr>
          <w:p>
            <w:pPr>
              <w:jc w:val="center"/>
              <w:ind w:right="410"/>
              <w:spacing w:after="0"/>
              <w:rPr>
                <w:sz w:val="20"/>
                <w:szCs w:val="20"/>
                <w:color w:val="auto"/>
              </w:rPr>
            </w:pPr>
            <w:r>
              <w:rPr>
                <w:rFonts w:ascii="Arial" w:cs="Arial" w:eastAsia="Arial" w:hAnsi="Arial"/>
                <w:sz w:val="18"/>
                <w:szCs w:val="18"/>
                <w:color w:val="auto"/>
                <w:w w:val="87"/>
              </w:rPr>
              <w:t>Price</w:t>
            </w:r>
          </w:p>
        </w:tc>
        <w:tc>
          <w:tcPr>
            <w:tcW w:w="1920" w:type="dxa"/>
            <w:vAlign w:val="bottom"/>
          </w:tcPr>
          <w:p>
            <w:pPr>
              <w:jc w:val="center"/>
              <w:ind w:right="10"/>
              <w:spacing w:after="0"/>
              <w:rPr>
                <w:sz w:val="20"/>
                <w:szCs w:val="20"/>
                <w:color w:val="auto"/>
              </w:rPr>
            </w:pPr>
            <w:r>
              <w:rPr>
                <w:rFonts w:ascii="Arial" w:cs="Arial" w:eastAsia="Arial" w:hAnsi="Arial"/>
                <w:sz w:val="18"/>
                <w:szCs w:val="18"/>
                <w:color w:val="auto"/>
                <w:w w:val="90"/>
              </w:rPr>
              <w:t>Contractual Term</w:t>
            </w:r>
          </w:p>
        </w:tc>
        <w:tc>
          <w:tcPr>
            <w:tcW w:w="420" w:type="dxa"/>
            <w:vAlign w:val="bottom"/>
          </w:tcPr>
          <w:p>
            <w:pPr>
              <w:spacing w:after="0"/>
              <w:rPr>
                <w:sz w:val="20"/>
                <w:szCs w:val="20"/>
                <w:color w:val="auto"/>
              </w:rPr>
            </w:pPr>
          </w:p>
        </w:tc>
        <w:tc>
          <w:tcPr>
            <w:tcW w:w="1140" w:type="dxa"/>
            <w:vAlign w:val="bottom"/>
          </w:tcPr>
          <w:p>
            <w:pPr>
              <w:jc w:val="center"/>
              <w:ind w:right="410"/>
              <w:spacing w:after="0"/>
              <w:rPr>
                <w:sz w:val="20"/>
                <w:szCs w:val="20"/>
                <w:color w:val="auto"/>
              </w:rPr>
            </w:pPr>
            <w:r>
              <w:rPr>
                <w:rFonts w:ascii="Arial" w:cs="Arial" w:eastAsia="Arial" w:hAnsi="Arial"/>
                <w:sz w:val="18"/>
                <w:szCs w:val="18"/>
                <w:color w:val="auto"/>
                <w:w w:val="86"/>
              </w:rPr>
              <w:t>Value</w:t>
            </w:r>
          </w:p>
        </w:tc>
      </w:tr>
      <w:tr>
        <w:trPr>
          <w:trHeight w:val="216"/>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29, 2011</w:t>
            </w:r>
          </w:p>
        </w:tc>
        <w:tc>
          <w:tcPr>
            <w:tcW w:w="26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1,124</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33.01</w:t>
            </w:r>
          </w:p>
        </w:tc>
        <w:tc>
          <w:tcPr>
            <w:tcW w:w="1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Granted</w:t>
            </w: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33.45</w:t>
            </w:r>
          </w:p>
        </w:tc>
        <w:tc>
          <w:tcPr>
            <w:tcW w:w="1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Forfeited</w:t>
            </w:r>
          </w:p>
        </w:tc>
        <w:tc>
          <w:tcPr>
            <w:tcW w:w="262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31.58</w:t>
            </w: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Canceled</w:t>
            </w:r>
          </w:p>
        </w:tc>
        <w:tc>
          <w:tcPr>
            <w:tcW w:w="2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21.88</w:t>
            </w:r>
          </w:p>
        </w:tc>
        <w:tc>
          <w:tcPr>
            <w:tcW w:w="1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August 3, 2012</w:t>
            </w:r>
          </w:p>
        </w:tc>
        <w:tc>
          <w:tcPr>
            <w:tcW w:w="2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33.22</w:t>
            </w: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12,014</w:t>
            </w:r>
          </w:p>
        </w:tc>
      </w:tr>
      <w:tr>
        <w:trPr>
          <w:trHeight w:val="21"/>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w:t>
            </w:r>
          </w:p>
        </w:tc>
        <w:tc>
          <w:tcPr>
            <w:tcW w:w="2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324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33.62</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3.69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9,512</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weighted-average grant-date fair values of options granted and the total intrinsic values of options exercised during each of the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2012</w:t>
            </w: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values of options granted</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intrinsic values of options exercised*</w:t>
            </w:r>
          </w:p>
        </w:tc>
        <w:tc>
          <w:tcPr>
            <w:tcW w:w="184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14,859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11,713</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2780" w:firstLine="8"/>
        <w:spacing w:after="0" w:line="531" w:lineRule="auto"/>
        <w:tabs>
          <w:tab w:leader="none" w:pos="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intrinsic value for stock options is defined as the difference between the current market value and the grant price. Compensation Expense</w:t>
      </w: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highlights the components of share-based compensation expense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2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11,440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9,999</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Stock options</w:t>
            </w:r>
          </w:p>
        </w:tc>
        <w:tc>
          <w:tcPr>
            <w:tcW w:w="28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3,194</w:t>
            </w: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MSU Grants</w:t>
            </w:r>
          </w:p>
        </w:tc>
        <w:tc>
          <w:tcPr>
            <w:tcW w:w="28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1,690</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compensation expense</w:t>
            </w:r>
          </w:p>
        </w:tc>
        <w:tc>
          <w:tcPr>
            <w:tcW w:w="2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14,420</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13,193</w:t>
            </w:r>
          </w:p>
        </w:tc>
      </w:tr>
      <w:tr>
        <w:trPr>
          <w:trHeight w:val="21"/>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total unrecognized compensation expense related to nonvested stock, stock options and MSU Grants and the weighted-average periods over which the expense is expected to be recognized as of August 3,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2"/>
              </w:rPr>
              <w:t>Nonvested</w:t>
            </w:r>
          </w:p>
        </w:tc>
        <w:tc>
          <w:tcPr>
            <w:tcW w:w="32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MSU</w:t>
            </w:r>
          </w:p>
        </w:tc>
      </w:tr>
      <w:tr>
        <w:trPr>
          <w:trHeight w:val="237"/>
        </w:trPr>
        <w:tc>
          <w:tcPr>
            <w:tcW w:w="2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Stock</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Options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Grants</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r>
      <w:tr>
        <w:trPr>
          <w:trHeight w:val="223"/>
        </w:trPr>
        <w:tc>
          <w:tcPr>
            <w:tcW w:w="20" w:type="dxa"/>
            <w:vAlign w:val="bottom"/>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period in years</w:t>
            </w:r>
          </w:p>
        </w:tc>
        <w:tc>
          <w:tcPr>
            <w:tcW w:w="3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55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540" w:type="dxa"/>
            <w:vAlign w:val="bottom"/>
          </w:tcPr>
          <w:p>
            <w:pPr>
              <w:jc w:val="right"/>
              <w:ind w:right="1719"/>
              <w:spacing w:after="0"/>
              <w:rPr>
                <w:sz w:val="20"/>
                <w:szCs w:val="20"/>
                <w:color w:val="auto"/>
              </w:rPr>
            </w:pPr>
            <w:r>
              <w:rPr>
                <w:rFonts w:ascii="Arial" w:cs="Arial" w:eastAsia="Arial" w:hAnsi="Arial"/>
                <w:sz w:val="14"/>
                <w:szCs w:val="14"/>
                <w:color w:val="auto"/>
              </w:rPr>
              <w:t>63</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total income tax benefit recognized in the Consolidated Statements of Income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3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3,470</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2012, cash received from the exercise of share-based compensation awards and the corresponding issuance of 897,588 shares was $17,602. The excess tax benefit realized upon exercise of share-based compensation awards was $4,502.</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August 6, 2012, the Company announced Michael A. Woodhouse’s intention to retire as Executive Chairman of the Company’s Board of Directors effective November 7, 2012. Additionally, Mr. Woodhouse will not stand for election at the Company’s 2012 annual meeting of shareholders, currently scheduled for November 15, 2012. Under the terms of Mr. Woodhouse’s amended employment agreement, based on service provided through November 7, 2012 (the “Term”), he will receive a pro rata award of his 2012 MSU Grants and 2012 LTPP award pursuant to the retirement provisions of these stock awards. He will also receive a pro rata award of any additional long term incentive plan established by the Company prior to the Term. He will forfeit his 2011 MSU Grants. Subject to completion of service through the Term, Mr. Woodhouse will also receive a cash payment of $900,000. Additionally, the Company will provide COBRA premium payments for up to 18 months following the Term.</w:t>
      </w:r>
    </w:p>
    <w:p>
      <w:pPr>
        <w:spacing w:after="0" w:line="20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Shareholder Rights Plans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September 22, 2011 Shareholder Rights Plan</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September 22, 2011, the Company’s Board of Directors adopted a shareholder rights plan (the “September 22, 2011 Rights Agreement”) and the Company declared a dividend of one preferred share purchase right (a “Right”) to shareholders of record on October 3, 2011. The September 22, 2011 Rights Agreement was not approved by the Company’s shareholders at its annual shareholders’ meeting on December 20, 2011. As a result, the September 22, 2011 Rights Agreement was terminated and the Rights expired on December 28, 2011, following certification of voting results at the annual shareholders’ meeting.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9, 2012 Shareholder Rights Plan</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April 9, 2012, the Company’s Board of Directors adopted a shareholder rights plan, as set forth in the Rights Agreement dated as of April 9, 2012 (the “April 9, 2012 Rights Agreement”), by and between the Company and American Stock Transfer &amp; Trust Company, LLC, as rights agent. Pursuant to the terms of the April 9, 2012 Rights Agreement, the Board of Directors declared a dividend of one Right for each outstanding share of common stock, par value $0.01 per share. The dividend was payable on April 20, 2012 to the shareholders of record as of the close of business on April 20,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Rights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the certificates that represent such shares of common stock. New Rights will accompany any new shares of common stock the Company issues after April 20, 2012 until the earlier of the Distribution Date, redemption of the Rights by the Board of Directors or the final expiration date of the April 9, 2012 Rights Agreement, each as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Each Right will allow its holder to purchase from the Company one one-hundredth of a share of Series A Junior Participating Preferred Stock (“Preferred Share”) for $200.00,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Based on the terms of the Rights Agreement, the Rights will not be exercisable until 10 days after the public announcement that a person or group has become an “Acquiring Person” by obtaining beneficial ownership of 20% or more of the Company’s outstanding common stock (the “Distribution Date”). Until the Distribution Date, the balances in the book-entry accounting system of the transfer agent for the Company’s common stock or, in the case of certificated shares, common stock certificates, will evidence the Rights, and any transfer of shares of common stock will constitute a transfer of Rights. After the Distribution Date, the Rights will separate from the common stock and will be evidenced by book-entry credits or by Rights certificates that the Company will mail to all eligible holders of common stock. Any Rights held by an Acquiring Person or any associate or affiliate thereof will be void and may not be exercised.</w:t>
      </w:r>
    </w:p>
    <w:p>
      <w:pPr>
        <w:spacing w:after="0" w:line="2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the Distribution Date, each Right will generally entitle the holder, except the Acquiring Person or any associate or affiliate thereof, to acquire, for the exercise price of $200.00 per Right (subject to adjustment as provided in the April 9, 2012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$200.00 per Right (subject to adjustment as provided in the Rights Agreement), shares of the acquiring corporation having a market value equal to twice the Right's then-current exercise price.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August 3, 2012, none of the Rights are exercisable.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 Provisions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Qualifying Offer Provision</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 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or associates to become an Acquiring Person, and the Rights will immediately expire upon consummation of the qualifying offer.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Exchange</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Anti-Dilution Provisions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terms of the April 9, 2012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Expiration</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April 9, 2012 Rights Agreement is approved by the shareholders at the 2012 annual shareholders’ meeting, the Rights will expire on April 9, 2015. If the shareholders do not approve the April 9, 2012 Rights Agreement, it will expire on the close of business on the day following certification of the vote at the 2012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13. Employee Savings Plans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Contributions under both plans may be invested in various investment funds at the employee’s discretion. Such contributions, including the Company matching contribution described below, may not be invested in the Company’s common stock. In 2012, 2011 and 2010, the Company matched 25% of employee contributions for each participant in either plan up to a total of 6% of the employee’s compensation. Employee contributions vest immediately while Company contributions vest 20% annually beginning on the participant’s first anniversary of employment and are vested 100% on the participant’s fifth anniversary of employment.</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inception of the Non-Qualified Savings Plan, the Company established a Rabbi Trust to fund the plan’s obligations. The market value of the trust assets for the Non-Qualified Savings Plan of $29,443 is included in other assets and the related liability to the participants of $29,443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contributions for each plan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3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23"/>
        </w:trPr>
        <w:tc>
          <w:tcPr>
            <w:tcW w:w="20" w:type="dxa"/>
            <w:vAlign w:val="bottom"/>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Non-Qualified Savings Plan</w:t>
            </w:r>
          </w:p>
        </w:tc>
        <w:tc>
          <w:tcPr>
            <w:tcW w:w="3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r>
      <w:tr>
        <w:trPr>
          <w:trHeight w:val="55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40" w:type="dxa"/>
            <w:vAlign w:val="bottom"/>
          </w:tcPr>
          <w:p>
            <w:pPr>
              <w:jc w:val="right"/>
              <w:ind w:right="1819"/>
              <w:spacing w:after="0"/>
              <w:rPr>
                <w:sz w:val="20"/>
                <w:szCs w:val="20"/>
                <w:color w:val="auto"/>
              </w:rPr>
            </w:pPr>
            <w:r>
              <w:rPr>
                <w:rFonts w:ascii="Arial" w:cs="Arial" w:eastAsia="Arial" w:hAnsi="Arial"/>
                <w:sz w:val="14"/>
                <w:szCs w:val="14"/>
                <w:color w:val="auto"/>
              </w:rPr>
              <w:t>66</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14. Restructurings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April 2012, the Company restructured and streamlined its field organization to better align its restaurant and retail operations under central leadership. The restructuring of the field organization and related changes in the Company’s headquarters in Lebanon, Tennessee, resulted in the elimination of approximately 20 positions. As a result, the Company incurred severance charges of $1,660. In July 2011, as part of its cost reduction and organization streamlining initiative, the Company eliminated approximately 60 management and staff positions. Most of the employees affected worked in the Company’s headquarters, and the restructuring did not affect any store positions. As a result, the Company incurred severance charges of $1,768.</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Severance charges are recorded in general and administrative expenses in the Consolidated Statements of Income and the related liability is recorded in accrued employee compensation in the Consolidated Balance Sheets. The following table highlights the components of the related liability.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August 3, 2012</w:t>
            </w: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29, 2011</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Liability at beginning of year</w:t>
            </w:r>
          </w:p>
        </w:tc>
        <w:tc>
          <w:tcPr>
            <w:tcW w:w="3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Severance</w:t>
            </w:r>
          </w:p>
        </w:tc>
        <w:tc>
          <w:tcPr>
            <w:tcW w:w="37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1,660</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7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w:t>
            </w:r>
          </w:p>
        </w:tc>
        <w:tc>
          <w:tcPr>
            <w:tcW w:w="3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end of year</w:t>
            </w:r>
          </w:p>
        </w:tc>
        <w:tc>
          <w:tcPr>
            <w:tcW w:w="37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r>
    </w:tbl>
    <w:p>
      <w:pPr>
        <w:spacing w:after="0" w:line="22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Significant components of the Company’s net deferred tax liability consisted of the following at: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2"/>
          </w:tcPr>
          <w:p>
            <w:pPr>
              <w:ind w:left="2540"/>
              <w:spacing w:after="0"/>
              <w:rPr>
                <w:sz w:val="20"/>
                <w:szCs w:val="20"/>
                <w:color w:val="auto"/>
              </w:rPr>
            </w:pPr>
            <w:r>
              <w:rPr>
                <w:rFonts w:ascii="Arial" w:cs="Arial" w:eastAsia="Arial" w:hAnsi="Arial"/>
                <w:sz w:val="18"/>
                <w:szCs w:val="18"/>
                <w:color w:val="auto"/>
                <w:w w:val="99"/>
              </w:rPr>
              <w:t>August 3, 2012</w:t>
            </w: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29,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Deferred tax assets:</w:t>
            </w: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accruals without economic performance</w:t>
            </w:r>
          </w:p>
        </w:tc>
        <w:tc>
          <w:tcPr>
            <w:tcW w:w="284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57,881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13,282</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2840" w:type="dxa"/>
            <w:vAlign w:val="bottom"/>
            <w:tcBorders>
              <w:bottom w:val="single" w:sz="8" w:color="auto"/>
            </w:tcBorders>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71,163</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Excess tax depreciation over book</w:t>
            </w:r>
          </w:p>
        </w:tc>
        <w:tc>
          <w:tcPr>
            <w:tcW w:w="2840" w:type="dxa"/>
            <w:vAlign w:val="bottom"/>
          </w:tcPr>
          <w:p>
            <w:pPr>
              <w:ind w:left="25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91,149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27,992</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Deferred tax liabilities</w:t>
            </w:r>
          </w:p>
        </w:tc>
        <w:tc>
          <w:tcPr>
            <w:tcW w:w="2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119,141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118,394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840" w:type="dxa"/>
            <w:vAlign w:val="bottom"/>
            <w:tcBorders>
              <w:bottom w:val="single" w:sz="8" w:color="auto"/>
            </w:tcBorders>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47,978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46,372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provided no valuation allowance against deferred tax assets recorded as of August 3, 2012 and July 29, 2011, as the “more-likely-than-not” valuation method determined all deferred assets to be fully realizable in future taxable periods.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for each of the three years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Current:</w:t>
            </w:r>
          </w:p>
        </w:tc>
        <w:tc>
          <w:tcPr>
            <w:tcW w:w="3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17,231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29,114</w:t>
            </w: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State</w:t>
            </w:r>
          </w:p>
        </w:tc>
        <w:tc>
          <w:tcPr>
            <w:tcW w:w="38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7,928</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5,577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Federal</w:t>
            </w:r>
          </w:p>
        </w:tc>
        <w:tc>
          <w:tcPr>
            <w:tcW w:w="38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886</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9,019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23"/>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8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provision</w:t>
            </w:r>
          </w:p>
        </w:tc>
        <w:tc>
          <w:tcPr>
            <w:tcW w:w="3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43,207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30,483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30,451</w:t>
            </w:r>
          </w:p>
        </w:tc>
      </w:tr>
      <w:tr>
        <w:trPr>
          <w:trHeight w:val="21"/>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4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880" w:type="dxa"/>
            <w:vAlign w:val="bottom"/>
          </w:tcPr>
          <w:p>
            <w:pPr>
              <w:jc w:val="right"/>
              <w:ind w:right="1816"/>
              <w:spacing w:after="0"/>
              <w:rPr>
                <w:sz w:val="20"/>
                <w:szCs w:val="20"/>
                <w:color w:val="auto"/>
              </w:rPr>
            </w:pPr>
            <w:r>
              <w:rPr>
                <w:rFonts w:ascii="Arial" w:cs="Arial" w:eastAsia="Arial" w:hAnsi="Arial"/>
                <w:sz w:val="14"/>
                <w:szCs w:val="14"/>
                <w:color w:val="auto"/>
              </w:rPr>
              <w:t>67</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provision for income taxes and the amount computed by multiplying the income before the provision for income taxes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rate of 35%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51,201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40,492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40,498</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5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6,424</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3,050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Employer tax credits for FICA taxes paid on employee tip income</w:t>
            </w: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employer tax credits</w:t>
            </w:r>
          </w:p>
        </w:tc>
        <w:tc>
          <w:tcPr>
            <w:tcW w:w="1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(3,769)</w:t>
            </w: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Other-net</w:t>
            </w:r>
          </w:p>
        </w:tc>
        <w:tc>
          <w:tcPr>
            <w:tcW w:w="1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16"/>
        </w:trPr>
        <w:tc>
          <w:tcPr>
            <w:tcW w:w="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provision</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43,207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30,483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30,451</w:t>
            </w:r>
          </w:p>
        </w:tc>
      </w:tr>
      <w:tr>
        <w:trPr>
          <w:trHeight w:val="21"/>
        </w:trPr>
        <w:tc>
          <w:tcPr>
            <w:tcW w:w="2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August 3, 2012 and July 29, 2011, the Company’s liability for uncertain tax positions was $24,703 ($16,607, net of related federal tax benefits of $8,096) and $19,547 ($13,223, net of related federal tax benefits of $6,324), respectively.</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highlights the amount of uncertain tax positions that, if recognized, would affect the effective tax rate for each of the three years:</w:t>
      </w:r>
    </w:p>
    <w:p>
      <w:pPr>
        <w:spacing w:after="0" w:line="264"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16,607</w:t>
        <w:tab/>
        <w:t>$</w:t>
      </w:r>
      <w:r>
        <w:rPr>
          <w:sz w:val="20"/>
          <w:szCs w:val="20"/>
          <w:color w:val="auto"/>
        </w:rPr>
        <w:tab/>
      </w:r>
      <w:r>
        <w:rPr>
          <w:rFonts w:ascii="Arial" w:cs="Arial" w:eastAsia="Arial" w:hAnsi="Arial"/>
          <w:sz w:val="18"/>
          <w:szCs w:val="18"/>
          <w:color w:val="auto"/>
        </w:rPr>
        <w:t>13,223</w:t>
        <w:tab/>
        <w:t>$</w:t>
      </w:r>
      <w:r>
        <w:rPr>
          <w:sz w:val="20"/>
          <w:szCs w:val="20"/>
          <w:color w:val="auto"/>
        </w:rPr>
        <w:tab/>
      </w:r>
      <w:r>
        <w:rPr>
          <w:rFonts w:ascii="Arial" w:cs="Arial" w:eastAsia="Arial" w:hAnsi="Arial"/>
          <w:sz w:val="16"/>
          <w:szCs w:val="16"/>
          <w:color w:val="auto"/>
        </w:rPr>
        <w:t>11,791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below is a tabular reconciliation of the beginning and ending balance of the Company’s total gross liability for uncertain tax positions exclusive of interest and penalties: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August 3, 2012</w:t>
            </w: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29, 2011</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30, 2010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14,167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12,965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 positions related to the current year:</w:t>
            </w:r>
          </w:p>
        </w:tc>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2,616</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Reductions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related to the prior year:</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2,556</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987</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Settlements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(4,980)</w:t>
            </w: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18,098</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14,167</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12,965</w:t>
            </w:r>
          </w:p>
        </w:tc>
      </w:tr>
      <w:tr>
        <w:trPr>
          <w:trHeight w:val="21"/>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the amount of interest and penalties related to uncertain tax positions recognized in the provision for income taxes for each of the three years:</w:t>
      </w:r>
    </w:p>
    <w:p>
      <w:pPr>
        <w:spacing w:after="0" w:line="197"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300" w:val="left"/>
          <w:tab w:leader="none" w:pos="8800" w:val="left"/>
          <w:tab w:leader="none" w:pos="9680" w:val="left"/>
          <w:tab w:leader="none" w:pos="10160" w:val="left"/>
          <w:tab w:leader="none" w:pos="11020" w:val="left"/>
        </w:tabs>
        <w:rPr>
          <w:sz w:val="20"/>
          <w:szCs w:val="20"/>
          <w:color w:val="auto"/>
        </w:rPr>
      </w:pPr>
      <w:r>
        <w:rPr>
          <w:rFonts w:ascii="Arial" w:cs="Arial" w:eastAsia="Arial" w:hAnsi="Arial"/>
          <w:sz w:val="18"/>
          <w:szCs w:val="18"/>
          <w:color w:val="auto"/>
        </w:rPr>
        <w:t>Interest and penalties related to 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830</w:t>
        <w:tab/>
        <w:t>$</w:t>
      </w:r>
      <w:r>
        <w:rPr>
          <w:sz w:val="20"/>
          <w:szCs w:val="20"/>
          <w:color w:val="auto"/>
        </w:rPr>
        <w:tab/>
      </w:r>
      <w:r>
        <w:rPr>
          <w:rFonts w:ascii="Arial" w:cs="Arial" w:eastAsia="Arial" w:hAnsi="Arial"/>
          <w:sz w:val="18"/>
          <w:szCs w:val="18"/>
          <w:color w:val="auto"/>
        </w:rPr>
        <w:t>651</w:t>
        <w:tab/>
        <w:t>$</w:t>
      </w:r>
      <w:r>
        <w:rPr>
          <w:sz w:val="20"/>
          <w:szCs w:val="20"/>
          <w:color w:val="auto"/>
        </w:rPr>
        <w:tab/>
      </w:r>
      <w:r>
        <w:rPr>
          <w:rFonts w:ascii="Arial" w:cs="Arial" w:eastAsia="Arial" w:hAnsi="Arial"/>
          <w:sz w:val="16"/>
          <w:szCs w:val="16"/>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highlights the amount of potential interest and penalties, net of tax, included in the Company’s liability for uncertain tax positions at: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2"/>
          </w:tcPr>
          <w:p>
            <w:pPr>
              <w:ind w:left="3280"/>
              <w:spacing w:after="0"/>
              <w:rPr>
                <w:sz w:val="20"/>
                <w:szCs w:val="20"/>
                <w:color w:val="auto"/>
              </w:rPr>
            </w:pPr>
            <w:r>
              <w:rPr>
                <w:rFonts w:ascii="Arial" w:cs="Arial" w:eastAsia="Arial" w:hAnsi="Arial"/>
                <w:sz w:val="18"/>
                <w:szCs w:val="18"/>
                <w:color w:val="auto"/>
                <w:w w:val="99"/>
              </w:rPr>
              <w:t>August 3, 2012</w:t>
            </w:r>
          </w:p>
        </w:tc>
        <w:tc>
          <w:tcPr>
            <w:tcW w:w="1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29, 2011</w:t>
            </w:r>
          </w:p>
        </w:tc>
      </w:tr>
      <w:tr>
        <w:trPr>
          <w:trHeight w:val="257"/>
        </w:trPr>
        <w:tc>
          <w:tcPr>
            <w:tcW w:w="20" w:type="dxa"/>
            <w:vAlign w:val="bottom"/>
          </w:tcPr>
          <w:p>
            <w:pPr>
              <w:spacing w:after="0"/>
              <w:rPr>
                <w:sz w:val="22"/>
                <w:szCs w:val="22"/>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and penalties, net of tax</w:t>
            </w:r>
          </w:p>
        </w:tc>
        <w:tc>
          <w:tcPr>
            <w:tcW w:w="3660" w:type="dxa"/>
            <w:vAlign w:val="bottom"/>
            <w:tcBorders>
              <w:bottom w:val="single" w:sz="8" w:color="auto"/>
            </w:tcBorders>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4,844</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4,014</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the related uncertain tax positions taken regarding previously filed tax returns could decrease from those recorded as liabilities for uncertain tax positions in the Company’s financial statements at August 3, 2012 by approximately $5,000 to $7,000 within the next twelve months. At August 3, 2012, the Company was subject to income tax examinations for its U.S. federal income taxes after 2008 and for state and local income taxes generally after 2008.</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Income Per Share and Weighted Average Shares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103,081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85,208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8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23,067,566</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22,998,200</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23,007,856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 options and nonvested stock and stock awards</w:t>
            </w:r>
          </w:p>
        </w:tc>
        <w:tc>
          <w:tcPr>
            <w:tcW w:w="1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340,560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636,475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571,896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18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23,408,126</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23,634,675</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23,579,752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17. Commitments and Contingencies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21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Related to its insurance coverage, the Company is contingently liable pursuant to standby letters of credit as credit guarantees to certain insurers. As of August 3, 2012, the Company had $31,506 of standby letters of credit related to securing reserved claims under workers’ compensation insurance. All standby letters of credit are renewable annually and reduce the Company’s borrowing availability under its Revolving Credit facility (see Note 5).</w:t>
      </w:r>
    </w:p>
    <w:p>
      <w:pPr>
        <w:spacing w:after="0" w:line="17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August 3, 2012,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Consolidated Balance Sheets for amounts to be paid in case of non-performance by the third parties.</w:t>
      </w:r>
    </w:p>
    <w:p>
      <w:pPr>
        <w:spacing w:after="0" w:line="1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the Consolidated Balance Sheet.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Quarterly Financial Data (Unaudited)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Quarterly financial data for 2012 and 2011 are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1</w:t>
            </w:r>
          </w:p>
        </w:tc>
        <w:tc>
          <w:tcPr>
            <w:tcW w:w="8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4"/>
              </w:rPr>
              <w:t>st</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4"/>
              </w:rPr>
              <w:t>Quarter</w:t>
            </w:r>
          </w:p>
        </w:tc>
        <w:tc>
          <w:tcPr>
            <w:tcW w:w="24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nd</w:t>
            </w: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Quarter</w:t>
            </w:r>
          </w:p>
        </w:tc>
        <w:tc>
          <w:tcPr>
            <w:tcW w:w="28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3</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rd</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4</w:t>
            </w: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73"/>
              </w:rPr>
              <w:t>th</w:t>
            </w:r>
          </w:p>
        </w:tc>
        <w:tc>
          <w:tcPr>
            <w:tcW w:w="600" w:type="dxa"/>
            <w:vAlign w:val="bottom"/>
            <w:vMerge w:val="restart"/>
          </w:tcPr>
          <w:p>
            <w:pPr>
              <w:ind w:left="40"/>
              <w:spacing w:after="0"/>
              <w:rPr>
                <w:sz w:val="20"/>
                <w:szCs w:val="20"/>
                <w:color w:val="auto"/>
              </w:rPr>
            </w:pPr>
            <w:r>
              <w:rPr>
                <w:rFonts w:ascii="Arial" w:cs="Arial" w:eastAsia="Arial" w:hAnsi="Arial"/>
                <w:sz w:val="18"/>
                <w:szCs w:val="18"/>
                <w:color w:val="auto"/>
                <w:w w:val="88"/>
              </w:rPr>
              <w:t>Quarter</w:t>
            </w: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75"/>
              </w:rPr>
              <w:t>(a)</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2012</w:t>
            </w:r>
          </w:p>
        </w:tc>
        <w:tc>
          <w:tcPr>
            <w:tcW w:w="8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598,437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673,234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608,514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700,010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412,130</w:t>
            </w:r>
          </w:p>
        </w:tc>
        <w:tc>
          <w:tcPr>
            <w:tcW w:w="24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437,843</w:t>
            </w:r>
          </w:p>
        </w:tc>
        <w:tc>
          <w:tcPr>
            <w:tcW w:w="280" w:type="dxa"/>
            <w:vAlign w:val="bottom"/>
          </w:tcPr>
          <w:p>
            <w:pPr>
              <w:spacing w:after="0"/>
              <w:rPr>
                <w:sz w:val="18"/>
                <w:szCs w:val="18"/>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418,899</w:t>
            </w:r>
          </w:p>
        </w:tc>
        <w:tc>
          <w:tcPr>
            <w:tcW w:w="22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483,839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33,489</w:t>
            </w:r>
          </w:p>
        </w:tc>
        <w:tc>
          <w:tcPr>
            <w:tcW w:w="24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36,312</w:t>
            </w:r>
          </w:p>
        </w:tc>
        <w:tc>
          <w:tcPr>
            <w:tcW w:w="2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27,935</w:t>
            </w:r>
          </w:p>
        </w:tc>
        <w:tc>
          <w:tcPr>
            <w:tcW w:w="2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23,802</w:t>
            </w:r>
          </w:p>
        </w:tc>
        <w:tc>
          <w:tcPr>
            <w:tcW w:w="24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25,609</w:t>
            </w:r>
          </w:p>
        </w:tc>
        <w:tc>
          <w:tcPr>
            <w:tcW w:w="280" w:type="dxa"/>
            <w:vAlign w:val="bottom"/>
          </w:tcPr>
          <w:p>
            <w:pPr>
              <w:spacing w:after="0"/>
              <w:rPr>
                <w:sz w:val="18"/>
                <w:szCs w:val="18"/>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18,974</w:t>
            </w:r>
          </w:p>
        </w:tc>
        <w:tc>
          <w:tcPr>
            <w:tcW w:w="22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34,696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0.81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598,691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640,277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582,525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612,942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418,938</w:t>
            </w:r>
          </w:p>
        </w:tc>
        <w:tc>
          <w:tcPr>
            <w:tcW w:w="24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420,887</w:t>
            </w:r>
          </w:p>
        </w:tc>
        <w:tc>
          <w:tcPr>
            <w:tcW w:w="2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402,751</w:t>
            </w:r>
          </w:p>
        </w:tc>
        <w:tc>
          <w:tcPr>
            <w:tcW w:w="2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33,702</w:t>
            </w:r>
          </w:p>
        </w:tc>
        <w:tc>
          <w:tcPr>
            <w:tcW w:w="24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40,642</w:t>
            </w:r>
          </w:p>
        </w:tc>
        <w:tc>
          <w:tcPr>
            <w:tcW w:w="280" w:type="dxa"/>
            <w:vAlign w:val="bottom"/>
          </w:tcPr>
          <w:p>
            <w:pPr>
              <w:spacing w:after="0"/>
              <w:rPr>
                <w:sz w:val="18"/>
                <w:szCs w:val="18"/>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19,586</w:t>
            </w:r>
          </w:p>
        </w:tc>
        <w:tc>
          <w:tcPr>
            <w:tcW w:w="22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21,761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23,734</w:t>
            </w:r>
          </w:p>
        </w:tc>
        <w:tc>
          <w:tcPr>
            <w:tcW w:w="24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28,777</w:t>
            </w:r>
          </w:p>
        </w:tc>
        <w:tc>
          <w:tcPr>
            <w:tcW w:w="2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15,154</w:t>
            </w:r>
          </w:p>
        </w:tc>
        <w:tc>
          <w:tcPr>
            <w:tcW w:w="2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1.04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0.66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(a)The Company’s fourth quarter of 2012 consisted of 14 weeks.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August 3, 2012, our disclosure controls and procedures were effective.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August 3, 2012 in our internal control over financial reporting (as defined in Exchange Act Rule 13a-15(f))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2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This evaluation included review of the documentation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evaluation of the design effectiveness of controls, testing of the operating effectiveness of controls and a conclusion on this evaluation. We have concluded that our internal control over financial reporting was effective as of August 3, 2012, based on these criteria.</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Deloitte &amp; Touche LLP, an independent registered public accounting firm, has issued an attestation report on our internal control over financial reporting, which is included herein.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E. Hyatt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Cracker Barrel Old Country Store, Inc. and subsidiaries (the “Company”) as of August 3, 2012,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our opinion, the Company maintained, in all material respects, effective internal control over financial reporting as of August 3, 2012, based on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the Company as of and for the year ended August 3, 2012, and our report dated September 25, 2012,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information required by this Item with respect to directors of the Company is incorporated herein by this reference to the following sections of the 2012 Proxy Statement: “Board of Directors and Committees,” "Proposal 1: Election of Directors," “Section 16(a) Beneficial Ownership Reporting Compliance” and ”Code of Ethics” set forth in “Certain Relationships and Related Transactions.” The information required by this Item with respect to executive officers of the Company is set forth in Part I of this Annual Report on Form 10-K under the heading “Executive Officers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information required by this Item is incorporated herein by this reference to the following sections of the 2012 Proxy Statement: “Executive Compensation” and “Director Compensation” set forth in “Board of Directors and Committees.” The “Compensation Committee Report” set forth in “Executive Compensation” is deemed to be “furnished” and is not, and shall not be deemed to be, “filed” for purposes of Section 18 of the Exchange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"Stock Ownership of Certain Beneficial Owners and Management" and “Equity Plan Compensation Information” in the 2012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"Certain Relationships and Related Transactions” and “Director Independence” in the 2012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“Fees Paid to Auditors” and “Audit Committee Report” in the 2012 Proxy Statement. No other portion of the section of the 2012 Proxy Statement entitled “Audit Committee Report” is, nor shall it be deemed to be, incorporated by reference into this Annual Report on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IV</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15. </w:t>
      </w:r>
      <w:r>
        <w:rPr>
          <w:rFonts w:ascii="Arial" w:cs="Arial" w:eastAsia="Arial" w:hAnsi="Arial"/>
          <w:sz w:val="18"/>
          <w:szCs w:val="18"/>
          <w:color w:val="auto"/>
        </w:rPr>
        <w:t>EXHIBITS AND FINANCIAL STATEMENT SCHEDULES</w:t>
      </w:r>
    </w:p>
    <w:p>
      <w:pPr>
        <w:spacing w:after="0" w:line="240" w:lineRule="exact"/>
        <w:rPr>
          <w:sz w:val="20"/>
          <w:szCs w:val="20"/>
          <w:color w:val="auto"/>
        </w:rPr>
      </w:pPr>
    </w:p>
    <w:p>
      <w:pPr>
        <w:ind w:left="1300" w:hanging="48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2120" w:hanging="815"/>
        <w:spacing w:after="0"/>
        <w:tabs>
          <w:tab w:leader="none" w:pos="2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52" w:lineRule="exact"/>
        <w:rPr>
          <w:rFonts w:ascii="Arial" w:cs="Arial" w:eastAsia="Arial" w:hAnsi="Arial"/>
          <w:sz w:val="18"/>
          <w:szCs w:val="18"/>
          <w:color w:val="auto"/>
        </w:rPr>
      </w:pPr>
    </w:p>
    <w:p>
      <w:pPr>
        <w:ind w:left="2120" w:hanging="815"/>
        <w:spacing w:after="0"/>
        <w:tabs>
          <w:tab w:leader="none" w:pos="21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schedules have been omitted since they are either not required or not applicable, or the required information is included.</w:t>
      </w:r>
    </w:p>
    <w:p>
      <w:pPr>
        <w:spacing w:after="0" w:line="263" w:lineRule="exact"/>
        <w:rPr>
          <w:rFonts w:ascii="Arial" w:cs="Arial" w:eastAsia="Arial" w:hAnsi="Arial"/>
          <w:sz w:val="17"/>
          <w:szCs w:val="17"/>
          <w:color w:val="auto"/>
        </w:rPr>
      </w:pPr>
    </w:p>
    <w:p>
      <w:pPr>
        <w:ind w:left="2120" w:hanging="815"/>
        <w:spacing w:after="0" w:line="277" w:lineRule="auto"/>
        <w:tabs>
          <w:tab w:leader="none" w:pos="2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exhibits listed in the accompanying Index to Exhibits immediately following the signature page to this Annual Report on Form 10-K.</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2012.</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CRACKER BARREL OLD COUNTRY STORE, INC.</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/s/Sandra B.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Sandra B. Cochran,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on this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16"/>
          </w:tcPr>
          <w:p>
            <w:pPr>
              <w:spacing w:after="0"/>
              <w:rPr>
                <w:sz w:val="20"/>
                <w:szCs w:val="20"/>
                <w:color w:val="auto"/>
              </w:rPr>
            </w:pPr>
            <w:r>
              <w:rPr>
                <w:rFonts w:ascii="Arial" w:cs="Arial" w:eastAsia="Arial" w:hAnsi="Arial"/>
                <w:sz w:val="18"/>
                <w:szCs w:val="18"/>
                <w:b w:val="1"/>
                <w:bCs w:val="1"/>
                <w:color w:val="auto"/>
              </w:rPr>
              <w:t>Name</w:t>
            </w:r>
          </w:p>
        </w:tc>
        <w:tc>
          <w:tcPr>
            <w:tcW w:w="7600" w:type="dxa"/>
            <w:vAlign w:val="bottom"/>
          </w:tcPr>
          <w:p>
            <w:pPr>
              <w:ind w:left="1920"/>
              <w:spacing w:after="0"/>
              <w:rPr>
                <w:sz w:val="20"/>
                <w:szCs w:val="20"/>
                <w:color w:val="auto"/>
              </w:rPr>
            </w:pPr>
            <w:r>
              <w:rPr>
                <w:rFonts w:ascii="Arial" w:cs="Arial" w:eastAsia="Arial" w:hAnsi="Arial"/>
                <w:sz w:val="18"/>
                <w:szCs w:val="18"/>
                <w:b w:val="1"/>
                <w:bCs w:val="1"/>
                <w:color w:val="auto"/>
              </w:rPr>
              <w:t>Title</w:t>
            </w:r>
          </w:p>
        </w:tc>
      </w:tr>
      <w:tr>
        <w:trPr>
          <w:trHeight w:val="392"/>
        </w:trPr>
        <w:tc>
          <w:tcPr>
            <w:tcW w:w="15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9"/>
              </w:rPr>
              <w:t>/s/Sandra B. Cochran</w:t>
            </w:r>
          </w:p>
        </w:tc>
        <w:tc>
          <w:tcPr>
            <w:tcW w:w="2240" w:type="dxa"/>
            <w:vAlign w:val="bottom"/>
            <w:gridSpan w:val="7"/>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Sandra B. Cochran</w:t>
            </w:r>
          </w:p>
        </w:tc>
        <w:tc>
          <w:tcPr>
            <w:tcW w:w="7600" w:type="dxa"/>
            <w:vAlign w:val="bottom"/>
          </w:tcPr>
          <w:p>
            <w:pPr>
              <w:ind w:left="192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15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/s/Lawrence E. Hyatt</w:t>
            </w:r>
          </w:p>
        </w:tc>
        <w:tc>
          <w:tcPr>
            <w:tcW w:w="2260" w:type="dxa"/>
            <w:vAlign w:val="bottom"/>
            <w:gridSpan w:val="8"/>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Lawrence E. Hyatt</w:t>
            </w:r>
          </w:p>
        </w:tc>
        <w:tc>
          <w:tcPr>
            <w:tcW w:w="7600" w:type="dxa"/>
            <w:vAlign w:val="bottom"/>
          </w:tcPr>
          <w:p>
            <w:pPr>
              <w:ind w:left="1920"/>
              <w:spacing w:after="0"/>
              <w:rPr>
                <w:sz w:val="20"/>
                <w:szCs w:val="20"/>
                <w:color w:val="auto"/>
              </w:rPr>
            </w:pPr>
            <w:r>
              <w:rPr>
                <w:rFonts w:ascii="Arial" w:cs="Arial" w:eastAsia="Arial" w:hAnsi="Arial"/>
                <w:sz w:val="18"/>
                <w:szCs w:val="18"/>
                <w:color w:val="auto"/>
                <w:w w:val="92"/>
              </w:rPr>
              <w:t>Senior Vice President and Chief Financial Officer (Principal Financial Officer)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/s/P. Douglas Couvillion</w:t>
            </w:r>
          </w:p>
        </w:tc>
        <w:tc>
          <w:tcPr>
            <w:tcW w:w="760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P. Douglas Couvillion</w:t>
            </w:r>
          </w:p>
        </w:tc>
        <w:tc>
          <w:tcPr>
            <w:tcW w:w="2040" w:type="dxa"/>
            <w:vAlign w:val="bottom"/>
            <w:gridSpan w:val="2"/>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Vice President, Corporate Controller (Principal Accounting Officer)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/s/Michael J. Zylstra</w:t>
            </w:r>
          </w:p>
        </w:tc>
        <w:tc>
          <w:tcPr>
            <w:tcW w:w="7600" w:type="dxa"/>
            <w:vAlign w:val="bottom"/>
          </w:tcPr>
          <w:p>
            <w:pPr>
              <w:spacing w:after="0"/>
              <w:rPr>
                <w:sz w:val="24"/>
                <w:szCs w:val="24"/>
                <w:color w:val="auto"/>
              </w:rPr>
            </w:pPr>
          </w:p>
        </w:tc>
      </w:tr>
      <w:tr>
        <w:trPr>
          <w:trHeight w:val="237"/>
        </w:trPr>
        <w:tc>
          <w:tcPr>
            <w:tcW w:w="14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Michael J. Zylstra</w:t>
            </w:r>
          </w:p>
        </w:tc>
        <w:tc>
          <w:tcPr>
            <w:tcW w:w="2320" w:type="dxa"/>
            <w:vAlign w:val="bottom"/>
            <w:gridSpan w:val="11"/>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Vice President, General Counsel and Secretary</w:t>
            </w:r>
          </w:p>
        </w:tc>
      </w:tr>
      <w:tr>
        <w:trPr>
          <w:trHeight w:val="392"/>
        </w:trPr>
        <w:tc>
          <w:tcPr>
            <w:tcW w:w="188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1"/>
              </w:rPr>
              <w:t>/s/Michael A. Woodhouse</w:t>
            </w:r>
          </w:p>
        </w:tc>
        <w:tc>
          <w:tcPr>
            <w:tcW w:w="192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Michael A. Woodhouse</w:t>
            </w:r>
          </w:p>
        </w:tc>
        <w:tc>
          <w:tcPr>
            <w:tcW w:w="7600" w:type="dxa"/>
            <w:vAlign w:val="bottom"/>
          </w:tcPr>
          <w:p>
            <w:pPr>
              <w:ind w:left="1920"/>
              <w:spacing w:after="0"/>
              <w:rPr>
                <w:sz w:val="20"/>
                <w:szCs w:val="20"/>
                <w:color w:val="auto"/>
              </w:rPr>
            </w:pPr>
            <w:r>
              <w:rPr>
                <w:rFonts w:ascii="Arial" w:cs="Arial" w:eastAsia="Arial" w:hAnsi="Arial"/>
                <w:sz w:val="18"/>
                <w:szCs w:val="18"/>
                <w:color w:val="auto"/>
              </w:rPr>
              <w:t>Executive Chairman and Director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/s/Thomas H. Barr</w:t>
            </w:r>
          </w:p>
        </w:tc>
        <w:tc>
          <w:tcPr>
            <w:tcW w:w="7600" w:type="dxa"/>
            <w:vAlign w:val="bottom"/>
          </w:tcPr>
          <w:p>
            <w:pPr>
              <w:spacing w:after="0"/>
              <w:rPr>
                <w:sz w:val="24"/>
                <w:szCs w:val="24"/>
                <w:color w:val="auto"/>
              </w:rPr>
            </w:pPr>
          </w:p>
        </w:tc>
      </w:tr>
      <w:tr>
        <w:trPr>
          <w:trHeight w:val="237"/>
        </w:trPr>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H. Barr</w:t>
            </w:r>
          </w:p>
        </w:tc>
        <w:tc>
          <w:tcPr>
            <w:tcW w:w="2460" w:type="dxa"/>
            <w:vAlign w:val="bottom"/>
            <w:gridSpan w:val="13"/>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15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8"/>
              </w:rPr>
              <w:t>/s/James W. Bradford</w:t>
            </w:r>
          </w:p>
        </w:tc>
        <w:tc>
          <w:tcPr>
            <w:tcW w:w="2240" w:type="dxa"/>
            <w:vAlign w:val="bottom"/>
            <w:gridSpan w:val="7"/>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James W. Bradford</w:t>
            </w: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/s/Robert V. Dale</w:t>
            </w:r>
          </w:p>
        </w:tc>
        <w:tc>
          <w:tcPr>
            <w:tcW w:w="7600" w:type="dxa"/>
            <w:vAlign w:val="bottom"/>
          </w:tcPr>
          <w:p>
            <w:pPr>
              <w:spacing w:after="0"/>
              <w:rPr>
                <w:sz w:val="24"/>
                <w:szCs w:val="24"/>
                <w:color w:val="auto"/>
              </w:rPr>
            </w:pPr>
          </w:p>
        </w:tc>
      </w:tr>
      <w:tr>
        <w:trPr>
          <w:trHeight w:val="237"/>
        </w:trPr>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Robert V. Dale</w:t>
            </w:r>
          </w:p>
        </w:tc>
        <w:tc>
          <w:tcPr>
            <w:tcW w:w="2560" w:type="dxa"/>
            <w:vAlign w:val="bottom"/>
            <w:gridSpan w:val="14"/>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/s/Glenn A. Davenport</w:t>
            </w:r>
          </w:p>
        </w:tc>
        <w:tc>
          <w:tcPr>
            <w:tcW w:w="7600" w:type="dxa"/>
            <w:vAlign w:val="bottom"/>
          </w:tcPr>
          <w:p>
            <w:pPr>
              <w:spacing w:after="0"/>
              <w:rPr>
                <w:sz w:val="24"/>
                <w:szCs w:val="24"/>
                <w:color w:val="auto"/>
              </w:rPr>
            </w:pPr>
          </w:p>
        </w:tc>
      </w:tr>
      <w:tr>
        <w:trPr>
          <w:trHeight w:val="237"/>
        </w:trPr>
        <w:tc>
          <w:tcPr>
            <w:tcW w:w="164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Glenn A. Davenport</w:t>
            </w:r>
          </w:p>
        </w:tc>
        <w:tc>
          <w:tcPr>
            <w:tcW w:w="2160" w:type="dxa"/>
            <w:vAlign w:val="bottom"/>
            <w:gridSpan w:val="4"/>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15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/s/Richard J. Dobkin</w:t>
            </w:r>
          </w:p>
        </w:tc>
        <w:tc>
          <w:tcPr>
            <w:tcW w:w="2300" w:type="dxa"/>
            <w:vAlign w:val="bottom"/>
            <w:gridSpan w:val="10"/>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Richard J. Dobkin</w:t>
            </w: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15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/s/Norma E. Johnson</w:t>
            </w:r>
          </w:p>
        </w:tc>
        <w:tc>
          <w:tcPr>
            <w:tcW w:w="2280" w:type="dxa"/>
            <w:vAlign w:val="bottom"/>
            <w:gridSpan w:val="9"/>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Norman E. Johnson</w:t>
            </w: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/s/Charles E. Jones, Jr.</w:t>
            </w:r>
          </w:p>
        </w:tc>
        <w:tc>
          <w:tcPr>
            <w:tcW w:w="7600" w:type="dxa"/>
            <w:vAlign w:val="bottom"/>
          </w:tcPr>
          <w:p>
            <w:pPr>
              <w:spacing w:after="0"/>
              <w:rPr>
                <w:sz w:val="24"/>
                <w:szCs w:val="24"/>
                <w:color w:val="auto"/>
              </w:rPr>
            </w:pPr>
          </w:p>
        </w:tc>
      </w:tr>
      <w:tr>
        <w:trPr>
          <w:trHeight w:val="237"/>
        </w:trPr>
        <w:tc>
          <w:tcPr>
            <w:tcW w:w="162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w w:val="95"/>
              </w:rPr>
              <w:t>Charles E. Jones, Jr.</w:t>
            </w:r>
          </w:p>
        </w:tc>
        <w:tc>
          <w:tcPr>
            <w:tcW w:w="2180" w:type="dxa"/>
            <w:vAlign w:val="bottom"/>
            <w:gridSpan w:val="5"/>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/s/B.F. Lowery</w:t>
            </w:r>
          </w:p>
        </w:tc>
        <w:tc>
          <w:tcPr>
            <w:tcW w:w="2720" w:type="dxa"/>
            <w:vAlign w:val="bottom"/>
            <w:gridSpan w:val="15"/>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B.F. Lowery</w:t>
            </w: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/s/William W. McCarten</w:t>
            </w:r>
          </w:p>
        </w:tc>
        <w:tc>
          <w:tcPr>
            <w:tcW w:w="760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William W. McCarten</w:t>
            </w:r>
          </w:p>
        </w:tc>
        <w:tc>
          <w:tcPr>
            <w:tcW w:w="2040" w:type="dxa"/>
            <w:vAlign w:val="bottom"/>
            <w:gridSpan w:val="2"/>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/s/Martha M. Mitchell</w:t>
            </w:r>
          </w:p>
        </w:tc>
        <w:tc>
          <w:tcPr>
            <w:tcW w:w="7600" w:type="dxa"/>
            <w:vAlign w:val="bottom"/>
          </w:tcPr>
          <w:p>
            <w:pPr>
              <w:spacing w:after="0"/>
              <w:rPr>
                <w:sz w:val="24"/>
                <w:szCs w:val="24"/>
                <w:color w:val="auto"/>
              </w:rPr>
            </w:pPr>
          </w:p>
        </w:tc>
      </w:tr>
      <w:tr>
        <w:trPr>
          <w:trHeight w:val="237"/>
        </w:trPr>
        <w:tc>
          <w:tcPr>
            <w:tcW w:w="16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Martha M. Mitchell</w:t>
            </w:r>
          </w:p>
        </w:tc>
        <w:tc>
          <w:tcPr>
            <w:tcW w:w="2200" w:type="dxa"/>
            <w:vAlign w:val="bottom"/>
            <w:gridSpan w:val="6"/>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172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8"/>
              </w:rPr>
              <w:t>/s/Coleman H. Peterson</w:t>
            </w:r>
          </w:p>
        </w:tc>
        <w:tc>
          <w:tcPr>
            <w:tcW w:w="2080" w:type="dxa"/>
            <w:vAlign w:val="bottom"/>
            <w:gridSpan w:val="3"/>
          </w:tcPr>
          <w:p>
            <w:pPr>
              <w:spacing w:after="0"/>
              <w:rPr>
                <w:sz w:val="24"/>
                <w:szCs w:val="24"/>
                <w:color w:val="auto"/>
              </w:rPr>
            </w:pPr>
          </w:p>
        </w:tc>
        <w:tc>
          <w:tcPr>
            <w:tcW w:w="7600" w:type="dxa"/>
            <w:vAlign w:val="bottom"/>
          </w:tcPr>
          <w:p>
            <w:pPr>
              <w:spacing w:after="0"/>
              <w:rPr>
                <w:sz w:val="24"/>
                <w:szCs w:val="24"/>
                <w:color w:val="auto"/>
              </w:rPr>
            </w:pPr>
          </w:p>
        </w:tc>
      </w:tr>
      <w:tr>
        <w:trPr>
          <w:trHeight w:val="237"/>
        </w:trPr>
        <w:tc>
          <w:tcPr>
            <w:tcW w:w="3800" w:type="dxa"/>
            <w:vAlign w:val="bottom"/>
            <w:gridSpan w:val="16"/>
          </w:tcPr>
          <w:p>
            <w:pPr>
              <w:spacing w:after="0"/>
              <w:rPr>
                <w:sz w:val="20"/>
                <w:szCs w:val="20"/>
                <w:color w:val="auto"/>
              </w:rPr>
            </w:pPr>
            <w:r>
              <w:rPr>
                <w:rFonts w:ascii="Arial" w:cs="Arial" w:eastAsia="Arial" w:hAnsi="Arial"/>
                <w:sz w:val="18"/>
                <w:szCs w:val="18"/>
                <w:color w:val="auto"/>
              </w:rPr>
              <w:t>Coleman H. Peterson</w:t>
            </w: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r>
        <w:trPr>
          <w:trHeight w:val="392"/>
        </w:trPr>
        <w:tc>
          <w:tcPr>
            <w:tcW w:w="3800" w:type="dxa"/>
            <w:vAlign w:val="bottom"/>
            <w:gridSpan w:val="16"/>
          </w:tcPr>
          <w:p>
            <w:pPr>
              <w:spacing w:after="0"/>
              <w:rPr>
                <w:sz w:val="20"/>
                <w:szCs w:val="20"/>
                <w:color w:val="auto"/>
              </w:rPr>
            </w:pPr>
            <w:r>
              <w:rPr>
                <w:rFonts w:ascii="Arial" w:cs="Arial" w:eastAsia="Arial" w:hAnsi="Arial"/>
                <w:sz w:val="18"/>
                <w:szCs w:val="18"/>
                <w:color w:val="auto"/>
              </w:rPr>
              <w:t>/s/Andrea M. Weiss</w:t>
            </w:r>
          </w:p>
        </w:tc>
        <w:tc>
          <w:tcPr>
            <w:tcW w:w="7600" w:type="dxa"/>
            <w:vAlign w:val="bottom"/>
          </w:tcPr>
          <w:p>
            <w:pPr>
              <w:spacing w:after="0"/>
              <w:rPr>
                <w:sz w:val="24"/>
                <w:szCs w:val="24"/>
                <w:color w:val="auto"/>
              </w:rPr>
            </w:pPr>
          </w:p>
        </w:tc>
      </w:tr>
      <w:tr>
        <w:trPr>
          <w:trHeight w:val="237"/>
        </w:trPr>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Andrea M. Weiss</w:t>
            </w:r>
          </w:p>
        </w:tc>
        <w:tc>
          <w:tcPr>
            <w:tcW w:w="2380" w:type="dxa"/>
            <w:vAlign w:val="bottom"/>
            <w:gridSpan w:val="12"/>
          </w:tcPr>
          <w:p>
            <w:pPr>
              <w:spacing w:after="0"/>
              <w:rPr>
                <w:sz w:val="20"/>
                <w:szCs w:val="20"/>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420"/>
          </w:cols>
          <w:pgMar w:left="240" w:top="122" w:right="239" w:bottom="835"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835"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720" w:type="dxa"/>
            <w:vAlign w:val="bottom"/>
            <w:gridSpan w:val="4"/>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9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gridSpan w:val="4"/>
          </w:tcPr>
          <w:p>
            <w:pPr>
              <w:spacing w:after="0"/>
              <w:rPr>
                <w:sz w:val="20"/>
                <w:szCs w:val="20"/>
                <w:color w:val="auto"/>
              </w:rPr>
            </w:pPr>
            <w:r>
              <w:rPr>
                <w:rFonts w:ascii="Arial" w:cs="Arial" w:eastAsia="Arial" w:hAnsi="Arial"/>
                <w:sz w:val="18"/>
                <w:szCs w:val="18"/>
                <w:color w:val="auto"/>
                <w:w w:val="98"/>
              </w:rPr>
              <w:t>INDEX TO EXHIBITS</w:t>
            </w:r>
          </w:p>
        </w:tc>
        <w:tc>
          <w:tcPr>
            <w:tcW w:w="9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72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9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2(a)</w:t>
            </w: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w w:val="91"/>
              </w:rPr>
              <w:t>Agreement and Plan of Merger, dated October 11, 2011 by and between Cracker Barrel Old Country Store, Inc. and CBOCS, Inc.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3(I), 4(a)</w:t>
            </w: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Charter of Cracker Barrel Old Country Store, Inc.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3(II), 4(b)</w:t>
            </w: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Articles of Amendment to Charter of Cracker Barrel Old Country Store, Inc.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3(III), 4(c)</w:t>
            </w: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Bylaws of Cracker Barrel Old Country Store, Inc.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4(d), 10(a)</w:t>
            </w: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Credit Agreement dated as of July 8, 2011, among Cracker Barrel Old Country Store, Inc., the Subsidiary Guarantors named therein,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the Lenders party thereto, and Wells Fargo Bank, National Association as Administrative Agent and Collateral Agent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4(e)</w:t>
            </w: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Rights Agreement, dated as of April 9, 2012, between Cracker Barrel Old Country Store, Inc. and American Stock Transfer &amp; Trust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Company, LLC, as rights agent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4(f), 10(b)</w:t>
            </w: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First Amendment to Credit Agreement dated as of April 24, 2012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10(c)</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CBRL Group, Inc. 2000 Non-Executive Stock Option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10(d)</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Cracker Barrel Old Country Store, Inc. 1989 Stock Option Plan for Non-Employee Directors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10(e)</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CBRL Group, Inc. Form of Restricted Stock Award Notice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10(f)</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Form of Stock Option Award under the CBRL Group, Inc. 2002 Omnibus Incentive Compensation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10(g)</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Change-in-Control Agreement for Edward A. Greene dated June 22, 2006, as amended May 22, 2012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10(h)</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Change-in-Control Agreement with Douglas E. Barber, dated April 23, 2008, as amended May 22, 2012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10(i)</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Change-in-Control Agreement with Christopher A. Ciavarra, dated February 1, 2010, as amended May 22, 2012</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10(j)</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9"/>
              </w:rPr>
              <w:t>Form of Change-in-Control Agreement with Lawrence E. Hyatt, effective January 3, 2011, as amended May 22, 2012</w:t>
            </w:r>
            <w:r>
              <w:rPr>
                <w:rFonts w:ascii="Arial" w:cs="Arial" w:eastAsia="Arial" w:hAnsi="Arial"/>
                <w:sz w:val="25"/>
                <w:szCs w:val="25"/>
                <w:color w:val="auto"/>
                <w:w w:val="99"/>
                <w:vertAlign w:val="superscript"/>
              </w:rPr>
              <w:t>†</w:t>
            </w:r>
            <w:r>
              <w:rPr>
                <w:rFonts w:ascii="Arial" w:cs="Arial" w:eastAsia="Arial" w:hAnsi="Arial"/>
                <w:sz w:val="18"/>
                <w:szCs w:val="18"/>
                <w:color w:val="auto"/>
                <w:w w:val="99"/>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10(k)</w:t>
            </w: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Form of change in Control and Severance Agreement between Cracker Barrel Old Country Store, Inc. and certain of its named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officers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10(l)</w:t>
            </w:r>
          </w:p>
        </w:tc>
        <w:tc>
          <w:tcPr>
            <w:tcW w:w="9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Schedule identifying material differences among the Change in Control and Severance Agreements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10(m)</w:t>
            </w: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Master Lease, dated July 21, 2000 between Country Stores Property 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Lessee, for lease of 21 Cracker Barrel Old Country Store® sites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10(n)</w:t>
            </w: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Master Lease dated July 31, 2000 between Country Stores Property 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Lessee, for lease of 9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10(o)</w:t>
            </w: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Master Lease dated July 31, 2000 between Country Stores Property II,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Lessee, for lease of 23 Cracker Barrel Old Country Store® sites**</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700" w:type="dxa"/>
            <w:vAlign w:val="bottom"/>
          </w:tcPr>
          <w:p>
            <w:pPr>
              <w:ind w:left="392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9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10(p)</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Master Lease dated July 31, 2000 between Country Stores Property III,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Lessee, for lease of 12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10(q)</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Amended and Restated Stock Option Plan (as amended to date)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10(r)</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Corporate Policy Severance Benefits Policy (as amended to date)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10(s)</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Change-in-Control Agreement with Sandra B. Cochran, dated March 11, 2009, as amended September 12, 2011</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10(t)</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and Subsidiaries FY 2010 Annual Bonus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10(u)</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and Subsidiaries FY 2010 Long-Term Performance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10(v)</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2002 Omnibus Incentive Compensation Plan (as amended to date)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10(w)</w:t>
            </w:r>
          </w:p>
        </w:tc>
        <w:tc>
          <w:tcPr>
            <w:tcW w:w="103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Cracker Barrel Old Country Store, Inc. and Subsidiaries FY 2011 Annual Bonus Plan</w:t>
            </w:r>
            <w:r>
              <w:rPr>
                <w:rFonts w:ascii="Arial" w:cs="Arial" w:eastAsia="Arial" w:hAnsi="Arial"/>
                <w:sz w:val="13"/>
                <w:szCs w:val="13"/>
                <w:color w:val="auto"/>
              </w:rPr>
              <w:t>†</w:t>
            </w:r>
            <w:r>
              <w:rPr>
                <w:rFonts w:ascii="Arial" w:cs="Arial" w:eastAsia="Arial" w:hAnsi="Arial"/>
                <w:sz w:val="18"/>
                <w:szCs w:val="18"/>
                <w:color w:val="auto"/>
              </w:rPr>
              <w:t xml:space="preserve">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and Subsidiaries FY 2011 Long-Term Performance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10(y)</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2010 Omnibus Stock and Incentive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10(z)</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Form of Performance-Based Stock Unit Award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10(aa)</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and Subsidiaries FY 2012 Annual Bonus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10(bb)</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Cracker Barrel Old Country Store, Inc. and Subsidiaries FY 2012 Long-Term Performance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10(cc)</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The Company's Non-Qualified Savings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 amended to date)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10(dd)</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The Company's Deferred Compensation Plan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10(ee)</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Amendment to Deferred Compensation Plan</w:t>
            </w:r>
            <w:r>
              <w:rPr>
                <w:rFonts w:ascii="Arial" w:cs="Arial" w:eastAsia="Arial" w:hAnsi="Arial"/>
                <w:sz w:val="25"/>
                <w:szCs w:val="25"/>
                <w:color w:val="auto"/>
                <w:vertAlign w:val="superscript"/>
              </w:rPr>
              <w:t>†</w:t>
            </w: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10(ff)</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Executive Employment Agreement with Sandra B. Cochran, dated as of September 12, 2011</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10(gg)</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Executive Employment Agreement with Michael A. Woodhouse, dated as of September 12, 2011</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10(hh)</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w w:val="96"/>
              </w:rPr>
              <w:t>Amendment to Executive Employment Agreement and Release with Michael A. Woodhouse, dated as of August 6, 2012</w:t>
            </w:r>
            <w:r>
              <w:rPr>
                <w:rFonts w:ascii="Arial" w:cs="Arial" w:eastAsia="Arial" w:hAnsi="Arial"/>
                <w:sz w:val="25"/>
                <w:szCs w:val="25"/>
                <w:color w:val="auto"/>
                <w:w w:val="96"/>
                <w:vertAlign w:val="superscript"/>
              </w:rPr>
              <w:t>†</w:t>
            </w:r>
            <w:r>
              <w:rPr>
                <w:rFonts w:ascii="Arial" w:cs="Arial" w:eastAsia="Arial" w:hAnsi="Arial"/>
                <w:sz w:val="18"/>
                <w:szCs w:val="18"/>
                <w:color w:val="auto"/>
                <w:w w:val="96"/>
              </w:rPr>
              <w:t xml:space="preserve"> (33)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10(ii)</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Consulting Agreement with Terry Maxwell, dated as of September 12, 2011</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10(jj)</w:t>
            </w:r>
          </w:p>
        </w:tc>
        <w:tc>
          <w:tcPr>
            <w:tcW w:w="10320" w:type="dxa"/>
            <w:vAlign w:val="bottom"/>
            <w:shd w:val="clear" w:color="auto" w:fill="CCEEFF"/>
          </w:tcPr>
          <w:p>
            <w:pPr>
              <w:ind w:left="620"/>
              <w:spacing w:after="0" w:line="216" w:lineRule="exact"/>
              <w:rPr>
                <w:sz w:val="20"/>
                <w:szCs w:val="20"/>
                <w:color w:val="auto"/>
              </w:rPr>
            </w:pPr>
            <w:r>
              <w:rPr>
                <w:rFonts w:ascii="Arial" w:cs="Arial" w:eastAsia="Arial" w:hAnsi="Arial"/>
                <w:sz w:val="18"/>
                <w:szCs w:val="18"/>
                <w:color w:val="auto"/>
              </w:rPr>
              <w:t>Consulting Agreement with Forrest Shoaf, dated as of December 20, 2011</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7"/>
                <w:szCs w:val="17"/>
                <w:color w:val="0000EE"/>
                <w:w w:val="73"/>
              </w:rPr>
              <w:t>21</w:t>
            </w:r>
          </w:p>
        </w:tc>
        <w:tc>
          <w:tcPr>
            <w:tcW w:w="920" w:type="dxa"/>
            <w:vAlign w:val="bottom"/>
            <w:tcBorders>
              <w:bottom w:val="single" w:sz="8" w:color="CCEEFF"/>
            </w:tcBorders>
            <w:shd w:val="clear" w:color="auto" w:fill="CCEEFF"/>
          </w:tcPr>
          <w:p>
            <w:pPr>
              <w:spacing w:after="0"/>
              <w:rPr>
                <w:sz w:val="17"/>
                <w:szCs w:val="17"/>
                <w:color w:val="auto"/>
              </w:rPr>
            </w:pPr>
          </w:p>
        </w:tc>
        <w:tc>
          <w:tcPr>
            <w:tcW w:w="10320" w:type="dxa"/>
            <w:vAlign w:val="bottom"/>
            <w:tcBorders>
              <w:bottom w:val="single" w:sz="8" w:color="CCEEFF"/>
            </w:tcBorders>
            <w:shd w:val="clear" w:color="auto" w:fill="CCEEFF"/>
          </w:tcPr>
          <w:p>
            <w:pPr>
              <w:ind w:left="620"/>
              <w:spacing w:after="0" w:line="176" w:lineRule="exact"/>
              <w:rPr>
                <w:sz w:val="20"/>
                <w:szCs w:val="20"/>
                <w:color w:val="auto"/>
              </w:rPr>
            </w:pPr>
            <w:r>
              <w:rPr>
                <w:rFonts w:ascii="Arial" w:cs="Arial" w:eastAsia="Arial" w:hAnsi="Arial"/>
                <w:sz w:val="18"/>
                <w:szCs w:val="18"/>
                <w:color w:val="auto"/>
              </w:rPr>
              <w:t>Subsidiaries of the Registrant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7"/>
                <w:szCs w:val="17"/>
                <w:color w:val="0000EE"/>
                <w:w w:val="73"/>
              </w:rPr>
              <w:t>23</w:t>
            </w:r>
          </w:p>
        </w:tc>
        <w:tc>
          <w:tcPr>
            <w:tcW w:w="920" w:type="dxa"/>
            <w:vAlign w:val="bottom"/>
            <w:tcBorders>
              <w:bottom w:val="single" w:sz="8" w:color="CCEEFF"/>
            </w:tcBorders>
            <w:shd w:val="clear" w:color="auto" w:fill="CCEEFF"/>
          </w:tcPr>
          <w:p>
            <w:pPr>
              <w:spacing w:after="0"/>
              <w:rPr>
                <w:sz w:val="17"/>
                <w:szCs w:val="17"/>
                <w:color w:val="auto"/>
              </w:rPr>
            </w:pPr>
          </w:p>
        </w:tc>
        <w:tc>
          <w:tcPr>
            <w:tcW w:w="10320" w:type="dxa"/>
            <w:vAlign w:val="bottom"/>
            <w:tcBorders>
              <w:bottom w:val="single" w:sz="8" w:color="CCEEFF"/>
            </w:tcBorders>
            <w:shd w:val="clear" w:color="auto" w:fill="CCEEFF"/>
          </w:tcPr>
          <w:p>
            <w:pPr>
              <w:ind w:left="620"/>
              <w:spacing w:after="0" w:line="176" w:lineRule="exact"/>
              <w:rPr>
                <w:sz w:val="20"/>
                <w:szCs w:val="20"/>
                <w:color w:val="auto"/>
              </w:rPr>
            </w:pPr>
            <w:r>
              <w:rPr>
                <w:rFonts w:ascii="Arial" w:cs="Arial" w:eastAsia="Arial" w:hAnsi="Arial"/>
                <w:sz w:val="18"/>
                <w:szCs w:val="18"/>
                <w:color w:val="auto"/>
              </w:rPr>
              <w:t>Consent of Independent Registered Public Accounting Firm - Deloitte &amp; Touche LLP (filed herewith)</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ind w:left="45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80" w:type="dxa"/>
            <w:vAlign w:val="bottom"/>
          </w:tcPr>
          <w:p>
            <w:pPr>
              <w:spacing w:after="0"/>
              <w:rPr>
                <w:sz w:val="20"/>
                <w:szCs w:val="20"/>
                <w:color w:val="auto"/>
              </w:rPr>
            </w:pPr>
          </w:p>
        </w:tc>
        <w:tc>
          <w:tcPr>
            <w:tcW w:w="10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p>
        </w:tc>
        <w:tc>
          <w:tcPr>
            <w:tcW w:w="8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ind w:left="52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8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ind w:left="52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p>
        </w:tc>
        <w:tc>
          <w:tcPr>
            <w:tcW w:w="8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ind w:left="52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p>
        </w:tc>
        <w:tc>
          <w:tcPr>
            <w:tcW w:w="8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ind w:left="52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20" w:hanging="912"/>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2.1 to the Company’s Current Report on Form 8-K filed under the Securities Exchange Act of 1934 (“Exchange Act”) on October 14, 2011.</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filed under the Exchange Act on April 10, 2012.</w:t>
      </w:r>
    </w:p>
    <w:p>
      <w:pPr>
        <w:spacing w:after="0" w:line="236" w:lineRule="exact"/>
        <w:rPr>
          <w:rFonts w:ascii="Arial" w:cs="Arial" w:eastAsia="Arial" w:hAnsi="Arial"/>
          <w:sz w:val="17"/>
          <w:szCs w:val="17"/>
          <w:color w:val="auto"/>
        </w:rPr>
      </w:pPr>
    </w:p>
    <w:p>
      <w:pPr>
        <w:ind w:left="920" w:hanging="912"/>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Registration Statement on Form 8-A filed under the Exchange Act on September 23, 2011.</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filed under the Exchange Act on February 24, 2012.</w:t>
      </w:r>
    </w:p>
    <w:p>
      <w:pPr>
        <w:spacing w:after="0" w:line="236" w:lineRule="exact"/>
        <w:rPr>
          <w:rFonts w:ascii="Arial" w:cs="Arial" w:eastAsia="Arial" w:hAnsi="Arial"/>
          <w:sz w:val="17"/>
          <w:szCs w:val="17"/>
          <w:color w:val="auto"/>
        </w:rPr>
      </w:pPr>
    </w:p>
    <w:p>
      <w:pPr>
        <w:ind w:left="920" w:hanging="912"/>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July 11, 2011.</w:t>
      </w:r>
    </w:p>
    <w:p>
      <w:pPr>
        <w:spacing w:after="0" w:line="236" w:lineRule="exact"/>
        <w:rPr>
          <w:rFonts w:ascii="Arial" w:cs="Arial" w:eastAsia="Arial" w:hAnsi="Arial"/>
          <w:sz w:val="17"/>
          <w:szCs w:val="17"/>
          <w:color w:val="auto"/>
        </w:rPr>
      </w:pPr>
    </w:p>
    <w:p>
      <w:pPr>
        <w:ind w:left="920" w:hanging="912"/>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Exhibit 4.1 to the Company’s Current Report on Form 8-K filed under the Exchange Act on April 10, 2012.</w:t>
      </w:r>
    </w:p>
    <w:p>
      <w:pPr>
        <w:spacing w:after="0" w:line="236" w:lineRule="exact"/>
        <w:rPr>
          <w:rFonts w:ascii="Arial" w:cs="Arial" w:eastAsia="Arial" w:hAnsi="Arial"/>
          <w:sz w:val="17"/>
          <w:szCs w:val="17"/>
          <w:color w:val="auto"/>
        </w:rPr>
      </w:pPr>
    </w:p>
    <w:p>
      <w:pPr>
        <w:ind w:left="920" w:hanging="912"/>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April 26, 2012.</w:t>
      </w:r>
    </w:p>
    <w:p>
      <w:pPr>
        <w:spacing w:after="0" w:line="236" w:lineRule="exact"/>
        <w:rPr>
          <w:rFonts w:ascii="Arial" w:cs="Arial" w:eastAsia="Arial" w:hAnsi="Arial"/>
          <w:sz w:val="17"/>
          <w:szCs w:val="17"/>
          <w:color w:val="auto"/>
        </w:rPr>
      </w:pPr>
    </w:p>
    <w:p>
      <w:pPr>
        <w:ind w:left="920" w:right="20" w:hanging="912"/>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10(i) to the Company’s Annual Report on Form 10-K under the Exchange Act for the fiscal year ended August 2, 2002.</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10.4 to the Company’s Post Effective Amendment No. 1 to Form S-8 filed on January 17, 2012.</w:t>
      </w:r>
    </w:p>
    <w:p>
      <w:pPr>
        <w:spacing w:after="0" w:line="225" w:lineRule="exact"/>
        <w:rPr>
          <w:rFonts w:ascii="Arial" w:cs="Arial" w:eastAsia="Arial" w:hAnsi="Arial"/>
          <w:sz w:val="18"/>
          <w:szCs w:val="18"/>
          <w:color w:val="auto"/>
        </w:rPr>
      </w:pPr>
    </w:p>
    <w:p>
      <w:pPr>
        <w:ind w:left="920" w:right="20" w:hanging="912"/>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10(j) to the Company’s Annual Report on Form 10-K under the Exchange Act for fiscal year ended July 29, 2005.</w:t>
      </w:r>
    </w:p>
    <w:p>
      <w:pPr>
        <w:spacing w:after="0" w:line="170" w:lineRule="exact"/>
        <w:rPr>
          <w:rFonts w:ascii="Arial" w:cs="Arial" w:eastAsia="Arial" w:hAnsi="Arial"/>
          <w:sz w:val="18"/>
          <w:szCs w:val="18"/>
          <w:color w:val="auto"/>
        </w:rPr>
      </w:pPr>
    </w:p>
    <w:p>
      <w:pPr>
        <w:ind w:left="920" w:right="20" w:hanging="912"/>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 10(l) to the Company’s Annual Report on Form 10-K under the Exchange Act for fiscal year ended July 29, 2005.</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Exhibits 10.2 and 10.3 to the Company’s Quarterly Report on Form 10-Q under the Exchange Act for the quarterly period ended April 27, 2012.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under the Exchange Act for the quarterly period ended April 27, 2012.</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under the Exchange Act for the quarterly period ended April 27, 2012.</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10.R to the Company’s Annual Report on Form 10-K under the Exchange Act for the fiscal year ended July 28, 2000.</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under the Exchange Act for the quarterly period ended January 30, 2009.</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under the Exchange Act for the quarterly period ended May 1, 2009.</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10(o) to the Company’s Annual Report on Form 10-K under the Exchange Act for the fiscal year ended July 29, 2011.</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under the Exchange Act on September 16, 2009.</w:t>
      </w:r>
    </w:p>
    <w:p>
      <w:pPr>
        <w:spacing w:after="0" w:line="248" w:lineRule="exact"/>
        <w:rPr>
          <w:rFonts w:ascii="Arial" w:cs="Arial" w:eastAsia="Arial" w:hAnsi="Arial"/>
          <w:sz w:val="16"/>
          <w:szCs w:val="16"/>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under the Exchange Act for the quarterly period ended October 30, 2009.</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under the Exchange Act for the quarterly period ended January 29, 2010.</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August 3, 2010.</w:t>
      </w:r>
    </w:p>
    <w:p>
      <w:pPr>
        <w:spacing w:after="0" w:line="236" w:lineRule="exact"/>
        <w:rPr>
          <w:rFonts w:ascii="Arial" w:cs="Arial" w:eastAsia="Arial" w:hAnsi="Arial"/>
          <w:sz w:val="17"/>
          <w:szCs w:val="17"/>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under the Exchange Act for the quarterly period ended October 29, 2010.</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under the Exchange Act on December 7, 2010.</w:t>
      </w:r>
    </w:p>
    <w:p>
      <w:pPr>
        <w:spacing w:after="0" w:line="248" w:lineRule="exact"/>
        <w:rPr>
          <w:rFonts w:ascii="Arial" w:cs="Arial" w:eastAsia="Arial" w:hAnsi="Arial"/>
          <w:sz w:val="16"/>
          <w:szCs w:val="16"/>
          <w:color w:val="auto"/>
        </w:rPr>
      </w:pPr>
    </w:p>
    <w:p>
      <w:pPr>
        <w:ind w:left="920" w:hanging="91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under the Exchange Act on December 7, 2010.</w:t>
      </w:r>
    </w:p>
    <w:p>
      <w:pPr>
        <w:spacing w:after="0" w:line="248" w:lineRule="exact"/>
        <w:rPr>
          <w:rFonts w:ascii="Arial" w:cs="Arial" w:eastAsia="Arial" w:hAnsi="Arial"/>
          <w:sz w:val="16"/>
          <w:szCs w:val="16"/>
          <w:color w:val="auto"/>
        </w:rPr>
      </w:pPr>
    </w:p>
    <w:p>
      <w:pPr>
        <w:ind w:left="920" w:hanging="912"/>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August 2, 2011.</w:t>
      </w:r>
    </w:p>
    <w:p>
      <w:pPr>
        <w:spacing w:after="0" w:line="236" w:lineRule="exact"/>
        <w:rPr>
          <w:rFonts w:ascii="Arial" w:cs="Arial" w:eastAsia="Arial" w:hAnsi="Arial"/>
          <w:sz w:val="17"/>
          <w:szCs w:val="17"/>
          <w:color w:val="auto"/>
        </w:rPr>
      </w:pPr>
    </w:p>
    <w:p>
      <w:pPr>
        <w:ind w:left="920" w:hanging="912"/>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August 2, 2011.</w:t>
      </w:r>
    </w:p>
    <w:p>
      <w:pPr>
        <w:spacing w:after="0" w:line="236" w:lineRule="exact"/>
        <w:rPr>
          <w:rFonts w:ascii="Arial" w:cs="Arial" w:eastAsia="Arial" w:hAnsi="Arial"/>
          <w:sz w:val="17"/>
          <w:szCs w:val="17"/>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under the Exchange Act for the fiscal year ended July 29, 2011.</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under the Exchange Act for the fiscal year ended July 29, 2011.</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under the Exchange Act for the fiscal year ended July 29, 2011.</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under the Exchange Act on September 15, 2011.</w:t>
      </w:r>
    </w:p>
    <w:p>
      <w:pPr>
        <w:spacing w:after="0" w:line="248" w:lineRule="exact"/>
        <w:rPr>
          <w:rFonts w:ascii="Arial" w:cs="Arial" w:eastAsia="Arial" w:hAnsi="Arial"/>
          <w:sz w:val="16"/>
          <w:szCs w:val="16"/>
          <w:color w:val="auto"/>
        </w:rPr>
      </w:pPr>
    </w:p>
    <w:p>
      <w:pPr>
        <w:ind w:left="920" w:hanging="91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under the Exchange Act on September 15, 2011.</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left="920" w:hanging="91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August 6, 2012.</w:t>
      </w:r>
    </w:p>
    <w:p>
      <w:pPr>
        <w:spacing w:after="0" w:line="236" w:lineRule="exact"/>
        <w:rPr>
          <w:rFonts w:ascii="Arial" w:cs="Arial" w:eastAsia="Arial" w:hAnsi="Arial"/>
          <w:sz w:val="17"/>
          <w:szCs w:val="17"/>
          <w:color w:val="auto"/>
        </w:rPr>
      </w:pPr>
    </w:p>
    <w:p>
      <w:pPr>
        <w:ind w:left="920" w:hanging="912"/>
        <w:spacing w:after="0" w:line="277"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Exhibit 10(ff) to the Company’s Annual Report on Form 10-K under the Exchange Act for the fiscal year ended July 29, 2011.</w:t>
      </w:r>
    </w:p>
    <w:p>
      <w:pPr>
        <w:spacing w:after="0" w:line="17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under the Exchange Act for the quarterly period ended January 27,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*Document not filed because essentially identical in terms and conditions to Exhibit 10(g).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 not filed because essentially identical in terms and conditions to Exhibit 10(m).</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Denotes management contract or compensatory plan, contract or arrangement.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significant subsidiaries of the Registrant as of August 3, 2012, all of which are wholly-owned: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3"/>
          </w:tcPr>
          <w:p>
            <w:pPr>
              <w:spacing w:after="0"/>
              <w:rPr>
                <w:sz w:val="20"/>
                <w:szCs w:val="20"/>
                <w:color w:val="auto"/>
              </w:rPr>
            </w:pPr>
            <w:r>
              <w:rPr>
                <w:rFonts w:ascii="Arial" w:cs="Arial" w:eastAsia="Arial" w:hAnsi="Arial"/>
                <w:sz w:val="18"/>
                <w:szCs w:val="18"/>
                <w:color w:val="auto"/>
              </w:rPr>
              <w:t>Parent</w:t>
            </w:r>
          </w:p>
        </w:tc>
        <w:tc>
          <w:tcPr>
            <w:tcW w:w="7120" w:type="dxa"/>
            <w:vAlign w:val="bottom"/>
            <w:gridSpan w:val="3"/>
          </w:tcPr>
          <w:p>
            <w:pPr>
              <w:ind w:left="1380"/>
              <w:spacing w:after="0"/>
              <w:rPr>
                <w:sz w:val="20"/>
                <w:szCs w:val="20"/>
                <w:color w:val="auto"/>
              </w:rPr>
            </w:pPr>
            <w:r>
              <w:rPr>
                <w:rFonts w:ascii="Arial" w:cs="Arial" w:eastAsia="Arial" w:hAnsi="Arial"/>
                <w:sz w:val="18"/>
                <w:szCs w:val="18"/>
                <w:color w:val="auto"/>
              </w:rPr>
              <w:t>State of Incorporation</w:t>
            </w: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53"/>
        </w:trPr>
        <w:tc>
          <w:tcPr>
            <w:tcW w:w="4320" w:type="dxa"/>
            <w:vAlign w:val="bottom"/>
            <w:gridSpan w:val="3"/>
          </w:tcPr>
          <w:p>
            <w:pPr>
              <w:spacing w:after="0"/>
              <w:rPr>
                <w:sz w:val="20"/>
                <w:szCs w:val="20"/>
                <w:color w:val="auto"/>
              </w:rPr>
            </w:pPr>
            <w:r>
              <w:rPr>
                <w:rFonts w:ascii="Arial" w:cs="Arial" w:eastAsia="Arial" w:hAnsi="Arial"/>
                <w:sz w:val="18"/>
                <w:szCs w:val="18"/>
                <w:color w:val="auto"/>
              </w:rPr>
              <w:t>Cracker Barrel Old Country Store, Inc.</w:t>
            </w:r>
          </w:p>
        </w:tc>
        <w:tc>
          <w:tcPr>
            <w:tcW w:w="7120" w:type="dxa"/>
            <w:vAlign w:val="bottom"/>
            <w:gridSpan w:val="3"/>
          </w:tcPr>
          <w:p>
            <w:pPr>
              <w:ind w:left="1380"/>
              <w:spacing w:after="0"/>
              <w:rPr>
                <w:sz w:val="20"/>
                <w:szCs w:val="20"/>
                <w:color w:val="auto"/>
              </w:rPr>
            </w:pPr>
            <w:r>
              <w:rPr>
                <w:rFonts w:ascii="Arial" w:cs="Arial" w:eastAsia="Arial" w:hAnsi="Arial"/>
                <w:sz w:val="18"/>
                <w:szCs w:val="18"/>
                <w:color w:val="auto"/>
              </w:rPr>
              <w:t>Tennessee</w:t>
            </w:r>
          </w:p>
        </w:tc>
      </w:tr>
      <w:tr>
        <w:trPr>
          <w:trHeight w:val="608"/>
        </w:trPr>
        <w:tc>
          <w:tcPr>
            <w:tcW w:w="4320" w:type="dxa"/>
            <w:vAlign w:val="bottom"/>
            <w:gridSpan w:val="3"/>
          </w:tcPr>
          <w:p>
            <w:pPr>
              <w:spacing w:after="0"/>
              <w:rPr>
                <w:sz w:val="20"/>
                <w:szCs w:val="20"/>
                <w:color w:val="auto"/>
              </w:rPr>
            </w:pPr>
            <w:r>
              <w:rPr>
                <w:rFonts w:ascii="Arial" w:cs="Arial" w:eastAsia="Arial" w:hAnsi="Arial"/>
                <w:sz w:val="18"/>
                <w:szCs w:val="18"/>
                <w:color w:val="auto"/>
              </w:rPr>
              <w:t>Subsidiaries</w:t>
            </w: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38"/>
        </w:trPr>
        <w:tc>
          <w:tcPr>
            <w:tcW w:w="4320" w:type="dxa"/>
            <w:vAlign w:val="bottom"/>
            <w:gridSpan w:val="3"/>
          </w:tcPr>
          <w:p>
            <w:pPr>
              <w:spacing w:after="0"/>
              <w:rPr>
                <w:sz w:val="20"/>
                <w:szCs w:val="20"/>
                <w:color w:val="auto"/>
              </w:rPr>
            </w:pPr>
            <w:r>
              <w:rPr>
                <w:rFonts w:ascii="Arial" w:cs="Arial" w:eastAsia="Arial" w:hAnsi="Arial"/>
                <w:sz w:val="18"/>
                <w:szCs w:val="18"/>
                <w:color w:val="auto"/>
              </w:rPr>
              <w:t>CBOCS Distribution, Inc.</w:t>
            </w: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16"/>
        </w:trPr>
        <w:tc>
          <w:tcPr>
            <w:tcW w:w="4320" w:type="dxa"/>
            <w:vAlign w:val="bottom"/>
            <w:gridSpan w:val="3"/>
          </w:tcPr>
          <w:p>
            <w:pPr>
              <w:ind w:left="60"/>
              <w:spacing w:after="0"/>
              <w:rPr>
                <w:sz w:val="20"/>
                <w:szCs w:val="20"/>
                <w:color w:val="auto"/>
              </w:rPr>
            </w:pPr>
            <w:r>
              <w:rPr>
                <w:rFonts w:ascii="Arial" w:cs="Arial" w:eastAsia="Arial" w:hAnsi="Arial"/>
                <w:sz w:val="18"/>
                <w:szCs w:val="18"/>
                <w:color w:val="auto"/>
              </w:rPr>
              <w:t>(dba Cracker Barrel Old Country Store)</w:t>
            </w:r>
          </w:p>
        </w:tc>
        <w:tc>
          <w:tcPr>
            <w:tcW w:w="7120" w:type="dxa"/>
            <w:vAlign w:val="bottom"/>
            <w:gridSpan w:val="3"/>
          </w:tcPr>
          <w:p>
            <w:pPr>
              <w:ind w:left="1380"/>
              <w:spacing w:after="0"/>
              <w:rPr>
                <w:sz w:val="20"/>
                <w:szCs w:val="20"/>
                <w:color w:val="auto"/>
              </w:rPr>
            </w:pPr>
            <w:r>
              <w:rPr>
                <w:rFonts w:ascii="Arial" w:cs="Arial" w:eastAsia="Arial" w:hAnsi="Arial"/>
                <w:sz w:val="18"/>
                <w:szCs w:val="18"/>
                <w:color w:val="auto"/>
              </w:rPr>
              <w:t>Tennessee</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CBOCS Properties, Inc.</w:t>
            </w: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16"/>
        </w:trPr>
        <w:tc>
          <w:tcPr>
            <w:tcW w:w="4320" w:type="dxa"/>
            <w:vAlign w:val="bottom"/>
            <w:gridSpan w:val="3"/>
          </w:tcPr>
          <w:p>
            <w:pPr>
              <w:ind w:left="60"/>
              <w:spacing w:after="0"/>
              <w:rPr>
                <w:sz w:val="20"/>
                <w:szCs w:val="20"/>
                <w:color w:val="auto"/>
              </w:rPr>
            </w:pPr>
            <w:r>
              <w:rPr>
                <w:rFonts w:ascii="Arial" w:cs="Arial" w:eastAsia="Arial" w:hAnsi="Arial"/>
                <w:sz w:val="18"/>
                <w:szCs w:val="18"/>
                <w:color w:val="auto"/>
              </w:rPr>
              <w:t>(dba Cracker Barrel Old Country Store)</w:t>
            </w:r>
          </w:p>
        </w:tc>
        <w:tc>
          <w:tcPr>
            <w:tcW w:w="7120" w:type="dxa"/>
            <w:vAlign w:val="bottom"/>
            <w:gridSpan w:val="3"/>
          </w:tcPr>
          <w:p>
            <w:pPr>
              <w:ind w:left="1380"/>
              <w:spacing w:after="0"/>
              <w:rPr>
                <w:sz w:val="20"/>
                <w:szCs w:val="20"/>
                <w:color w:val="auto"/>
              </w:rPr>
            </w:pPr>
            <w:r>
              <w:rPr>
                <w:rFonts w:ascii="Arial" w:cs="Arial" w:eastAsia="Arial" w:hAnsi="Arial"/>
                <w:sz w:val="18"/>
                <w:szCs w:val="18"/>
                <w:color w:val="auto"/>
              </w:rPr>
              <w:t>Michigan</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CBOCS West, Inc.</w:t>
            </w: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16"/>
        </w:trPr>
        <w:tc>
          <w:tcPr>
            <w:tcW w:w="4320" w:type="dxa"/>
            <w:vAlign w:val="bottom"/>
            <w:gridSpan w:val="3"/>
          </w:tcPr>
          <w:p>
            <w:pPr>
              <w:ind w:left="60"/>
              <w:spacing w:after="0"/>
              <w:rPr>
                <w:sz w:val="20"/>
                <w:szCs w:val="20"/>
                <w:color w:val="auto"/>
              </w:rPr>
            </w:pPr>
            <w:r>
              <w:rPr>
                <w:rFonts w:ascii="Arial" w:cs="Arial" w:eastAsia="Arial" w:hAnsi="Arial"/>
                <w:sz w:val="18"/>
                <w:szCs w:val="18"/>
                <w:color w:val="auto"/>
              </w:rPr>
              <w:t>(dba Cracker Barrel Old Country Store)</w:t>
            </w:r>
          </w:p>
        </w:tc>
        <w:tc>
          <w:tcPr>
            <w:tcW w:w="7120" w:type="dxa"/>
            <w:vAlign w:val="bottom"/>
            <w:gridSpan w:val="3"/>
          </w:tcPr>
          <w:p>
            <w:pPr>
              <w:ind w:left="1380"/>
              <w:spacing w:after="0"/>
              <w:rPr>
                <w:sz w:val="20"/>
                <w:szCs w:val="20"/>
                <w:color w:val="auto"/>
              </w:rPr>
            </w:pPr>
            <w:r>
              <w:rPr>
                <w:rFonts w:ascii="Arial" w:cs="Arial" w:eastAsia="Arial" w:hAnsi="Arial"/>
                <w:sz w:val="18"/>
                <w:szCs w:val="18"/>
                <w:color w:val="auto"/>
              </w:rPr>
              <w:t>Nevada</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7120" w:type="dxa"/>
            <w:vAlign w:val="bottom"/>
            <w:gridSpan w:val="3"/>
          </w:tcPr>
          <w:p>
            <w:pPr>
              <w:ind w:left="1380"/>
              <w:spacing w:after="0"/>
              <w:rPr>
                <w:sz w:val="20"/>
                <w:szCs w:val="20"/>
                <w:color w:val="auto"/>
              </w:rPr>
            </w:pPr>
            <w:r>
              <w:rPr>
                <w:rFonts w:ascii="Arial" w:cs="Arial" w:eastAsia="Arial" w:hAnsi="Arial"/>
                <w:sz w:val="18"/>
                <w:szCs w:val="18"/>
                <w:color w:val="auto"/>
              </w:rPr>
              <w:t>Nevada</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CBOCS Texas, LLC</w:t>
            </w: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(dba Cracker Barrel Old Country Store)</w:t>
            </w:r>
          </w:p>
        </w:tc>
        <w:tc>
          <w:tcPr>
            <w:tcW w:w="7120" w:type="dxa"/>
            <w:vAlign w:val="bottom"/>
            <w:gridSpan w:val="3"/>
          </w:tcPr>
          <w:p>
            <w:pPr>
              <w:ind w:left="1380"/>
              <w:spacing w:after="0"/>
              <w:rPr>
                <w:sz w:val="20"/>
                <w:szCs w:val="20"/>
                <w:color w:val="auto"/>
              </w:rPr>
            </w:pPr>
            <w:r>
              <w:rPr>
                <w:rFonts w:ascii="Arial" w:cs="Arial" w:eastAsia="Arial" w:hAnsi="Arial"/>
                <w:sz w:val="18"/>
                <w:szCs w:val="18"/>
                <w:color w:val="auto"/>
              </w:rPr>
              <w:t>Tennessee</w:t>
            </w:r>
          </w:p>
        </w:tc>
      </w:tr>
      <w:tr>
        <w:trPr>
          <w:trHeight w:val="605"/>
        </w:trPr>
        <w:tc>
          <w:tcPr>
            <w:tcW w:w="4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33-37567, 33-45482, 333-63442, 333-71384, 333-81063, 333-111364 and 333-174744 on Form S-8 of our reports dated September 25, 2012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August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8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Nashville, Tennessee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82" w:name="page83"/>
    <w:bookmarkEnd w:id="82"/>
    <w:p>
      <w:pPr>
        <w:spacing w:after="0"/>
        <w:tabs>
          <w:tab w:leader="none" w:pos="5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60" w:hanging="485"/>
        <w:spacing w:after="0"/>
        <w:tabs>
          <w:tab w:leader="none" w:pos="15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560" w:hanging="485"/>
        <w:spacing w:after="0" w:line="264" w:lineRule="auto"/>
        <w:tabs>
          <w:tab w:leader="none" w:pos="15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60" w:right="20" w:hanging="485"/>
        <w:spacing w:after="0" w:line="342" w:lineRule="auto"/>
        <w:tabs>
          <w:tab w:leader="none" w:pos="15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60" w:hanging="485"/>
        <w:spacing w:after="0" w:line="291" w:lineRule="auto"/>
        <w:tabs>
          <w:tab w:leader="none" w:pos="15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2040" w:hanging="492"/>
        <w:spacing w:after="0" w:line="286" w:lineRule="auto"/>
        <w:tabs>
          <w:tab w:leader="none" w:pos="2040" w:val="left"/>
        </w:tabs>
        <w:numPr>
          <w:ilvl w:val="2"/>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2040" w:right="20" w:hanging="492"/>
        <w:spacing w:after="0" w:line="286" w:lineRule="auto"/>
        <w:tabs>
          <w:tab w:leader="none" w:pos="2040" w:val="left"/>
        </w:tabs>
        <w:numPr>
          <w:ilvl w:val="2"/>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2040" w:hanging="492"/>
        <w:spacing w:after="0" w:line="264" w:lineRule="auto"/>
        <w:tabs>
          <w:tab w:leader="none" w:pos="20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2040" w:hanging="492"/>
        <w:spacing w:after="0" w:line="286" w:lineRule="auto"/>
        <w:tabs>
          <w:tab w:leader="none" w:pos="2040" w:val="left"/>
        </w:tabs>
        <w:numPr>
          <w:ilvl w:val="2"/>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2040" w:hanging="492"/>
        <w:spacing w:after="0" w:line="342" w:lineRule="auto"/>
        <w:tabs>
          <w:tab w:leader="none" w:pos="2040" w:val="left"/>
        </w:tabs>
        <w:numPr>
          <w:ilvl w:val="2"/>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2040" w:right="20" w:hanging="492"/>
        <w:spacing w:after="0" w:line="277" w:lineRule="auto"/>
        <w:tabs>
          <w:tab w:leader="none" w:pos="20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3" w:name="page84"/>
    <w:bookmarkEnd w:id="83"/>
    <w:p>
      <w:pPr>
        <w:spacing w:after="0"/>
        <w:tabs>
          <w:tab w:leader="none" w:pos="5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400" w:hanging="325"/>
        <w:spacing w:after="0"/>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2040" w:hanging="492"/>
        <w:spacing w:after="0" w:line="286" w:lineRule="auto"/>
        <w:tabs>
          <w:tab w:leader="none" w:pos="2040" w:val="left"/>
        </w:tabs>
        <w:numPr>
          <w:ilvl w:val="2"/>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2040" w:right="20" w:hanging="492"/>
        <w:spacing w:after="0" w:line="286" w:lineRule="auto"/>
        <w:tabs>
          <w:tab w:leader="none" w:pos="2040" w:val="left"/>
        </w:tabs>
        <w:numPr>
          <w:ilvl w:val="2"/>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2040" w:hanging="492"/>
        <w:spacing w:after="0" w:line="264" w:lineRule="auto"/>
        <w:tabs>
          <w:tab w:leader="none" w:pos="20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2040" w:hanging="492"/>
        <w:spacing w:after="0" w:line="286" w:lineRule="auto"/>
        <w:tabs>
          <w:tab w:leader="none" w:pos="2040" w:val="left"/>
        </w:tabs>
        <w:numPr>
          <w:ilvl w:val="2"/>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2040" w:hanging="492"/>
        <w:spacing w:after="0" w:line="342" w:lineRule="auto"/>
        <w:tabs>
          <w:tab w:leader="none" w:pos="204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2040" w:right="20" w:hanging="492"/>
        <w:spacing w:after="0" w:line="277" w:lineRule="auto"/>
        <w:tabs>
          <w:tab w:leader="none" w:pos="20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Hyatt,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25" w:lineRule="exact"/>
        <w:rPr>
          <w:sz w:val="20"/>
          <w:szCs w:val="20"/>
          <w:color w:val="auto"/>
        </w:rPr>
      </w:pPr>
    </w:p>
    <w:p>
      <w:pPr>
        <w:jc w:val="center"/>
        <w:ind w:left="280" w:right="282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3, 2012,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spacing w:after="0"/>
              <w:rPr>
                <w:sz w:val="20"/>
                <w:szCs w:val="20"/>
                <w:color w:val="auto"/>
              </w:rPr>
            </w:pPr>
            <w:r>
              <w:rPr>
                <w:rFonts w:ascii="Arial" w:cs="Arial" w:eastAsia="Arial" w:hAnsi="Arial"/>
                <w:sz w:val="18"/>
                <w:szCs w:val="18"/>
                <w:color w:val="auto"/>
              </w:rPr>
              <w:t>Date: September 25, 2012</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By: /s/Sandra B. Cochran</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0" w:type="dxa"/>
            <w:vAlign w:val="bottom"/>
            <w:gridSpan w:val="3"/>
          </w:tcPr>
          <w:p>
            <w:pPr>
              <w:ind w:left="1420"/>
              <w:spacing w:after="0"/>
              <w:rPr>
                <w:sz w:val="20"/>
                <w:szCs w:val="20"/>
                <w:color w:val="auto"/>
              </w:rPr>
            </w:pPr>
            <w:r>
              <w:rPr>
                <w:rFonts w:ascii="Arial" w:cs="Arial" w:eastAsia="Arial" w:hAnsi="Arial"/>
                <w:sz w:val="18"/>
                <w:szCs w:val="18"/>
                <w:color w:val="auto"/>
              </w:rPr>
              <w:t>Sandra B. Cochran</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0" w:type="dxa"/>
            <w:vAlign w:val="bottom"/>
            <w:gridSpan w:val="3"/>
          </w:tcPr>
          <w:p>
            <w:pPr>
              <w:ind w:left="1420"/>
              <w:spacing w:after="0"/>
              <w:rPr>
                <w:sz w:val="20"/>
                <w:szCs w:val="20"/>
                <w:color w:val="auto"/>
              </w:rPr>
            </w:pPr>
            <w:r>
              <w:rPr>
                <w:rFonts w:ascii="Arial" w:cs="Arial" w:eastAsia="Arial" w:hAnsi="Arial"/>
                <w:sz w:val="18"/>
                <w:szCs w:val="18"/>
                <w:color w:val="auto"/>
              </w:rPr>
              <w:t>President and Chief Executive Officer</w:t>
            </w:r>
          </w:p>
        </w:tc>
      </w:tr>
      <w:tr>
        <w:trPr>
          <w:trHeight w:val="605"/>
        </w:trPr>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2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3, 2012,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spacing w:after="0"/>
              <w:rPr>
                <w:sz w:val="20"/>
                <w:szCs w:val="20"/>
                <w:color w:val="auto"/>
              </w:rPr>
            </w:pPr>
            <w:r>
              <w:rPr>
                <w:rFonts w:ascii="Arial" w:cs="Arial" w:eastAsia="Arial" w:hAnsi="Arial"/>
                <w:sz w:val="18"/>
                <w:szCs w:val="18"/>
                <w:color w:val="auto"/>
              </w:rPr>
              <w:t>Date: September 25, 2012</w:t>
            </w: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By: /s/Lawrence E. Hyatt</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Lawrence E. Hyatt,</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0" w:type="dxa"/>
            <w:vAlign w:val="bottom"/>
            <w:gridSpan w:val="3"/>
          </w:tcPr>
          <w:p>
            <w:pPr>
              <w:ind w:left="1340"/>
              <w:spacing w:after="0"/>
              <w:rPr>
                <w:sz w:val="20"/>
                <w:szCs w:val="20"/>
                <w:color w:val="auto"/>
              </w:rPr>
            </w:pPr>
            <w:r>
              <w:rPr>
                <w:rFonts w:ascii="Arial" w:cs="Arial" w:eastAsia="Arial" w:hAnsi="Arial"/>
                <w:sz w:val="18"/>
                <w:szCs w:val="18"/>
                <w:color w:val="auto"/>
              </w:rPr>
              <w:t>Senior Vice President and Chief Financial Officer</w:t>
            </w:r>
          </w:p>
        </w:tc>
      </w:tr>
      <w:tr>
        <w:trPr>
          <w:trHeight w:val="605"/>
        </w:trPr>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2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7"/>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1."/>
      <w:numFmt w:val="decimal"/>
      <w:start w:val="3"/>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4"/>
    </w:lvl>
  </w:abstractNum>
  <w:abstractNum w:abstractNumId="29">
    <w:nsid w:val="2D517796"/>
    <w:multiLevelType w:val="hybridMultilevel"/>
    <w:lvl w:ilvl="0">
      <w:lvlJc w:val="left"/>
      <w:lvlText w:val="%1."/>
      <w:numFmt w:val="decimal"/>
      <w:start w:val="6"/>
    </w:lvl>
  </w:abstractNum>
  <w:abstractNum w:abstractNumId="30">
    <w:nsid w:val="580BD78F"/>
    <w:multiLevelType w:val="hybridMultilevel"/>
    <w:lvl w:ilvl="0">
      <w:lvlJc w:val="left"/>
      <w:lvlText w:val="%1."/>
      <w:numFmt w:val="decimal"/>
      <w:start w:val="7"/>
    </w:lvl>
  </w:abstractNum>
  <w:abstractNum w:abstractNumId="31">
    <w:nsid w:val="153EA438"/>
    <w:multiLevelType w:val="hybridMultilevel"/>
    <w:lvl w:ilvl="0">
      <w:lvlJc w:val="left"/>
      <w:lvlText w:val="%1."/>
      <w:numFmt w:val="decimal"/>
      <w:start w:val="9"/>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2"/>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5"/>
    </w:lvl>
  </w:abstractNum>
  <w:abstractNum w:abstractNumId="38">
    <w:nsid w:val="2CD89A32"/>
    <w:multiLevelType w:val="hybridMultilevel"/>
    <w:lvl w:ilvl="0">
      <w:lvlJc w:val="left"/>
      <w:lvlText w:val="%1."/>
      <w:numFmt w:val="decimal"/>
      <w:start w:val="16"/>
    </w:lvl>
  </w:abstractNum>
  <w:abstractNum w:abstractNumId="39">
    <w:nsid w:val="57E4CCAF"/>
    <w:multiLevelType w:val="hybridMultilevel"/>
    <w:lvl w:ilvl="0">
      <w:lvlJc w:val="left"/>
      <w:lvlText w:val="%1."/>
      <w:numFmt w:val="decimal"/>
      <w:start w:val="18"/>
    </w:lvl>
  </w:abstractNum>
  <w:abstractNum w:abstractNumId="40">
    <w:nsid w:val="7A6D8D3C"/>
    <w:multiLevelType w:val="hybridMultilevel"/>
    <w:lvl w:ilvl="0">
      <w:lvlJc w:val="left"/>
      <w:lvlText w:val="(%1)"/>
      <w:numFmt w:val="lowerLetter"/>
      <w:start w:val="1"/>
    </w:lvl>
    <w:lvl w:ilvl="1">
      <w:lvlJc w:val="left"/>
      <w:lvlText w:val="%2."/>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3"/>
    </w:lvl>
  </w:abstractNum>
  <w:abstractNum w:abstractNumId="43">
    <w:nsid w:val="6DE91B18"/>
    <w:multiLevelType w:val="hybridMultilevel"/>
    <w:lvl w:ilvl="0">
      <w:lvlJc w:val="left"/>
      <w:lvlText w:val="(%1)"/>
      <w:numFmt w:val="decimal"/>
      <w:start w:val="33"/>
    </w:lvl>
  </w:abstractNum>
  <w:abstractNum w:abstractNumId="44">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5">
    <w:nsid w:val="7644A45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6">
    <w:nsid w:val="32FFF9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7">
    <w:nsid w:val="684A481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2019-12-11T08:25:08Z</dcterms:created>
  <dcterms:modified xsi:type="dcterms:W3CDTF">2019-12-11T08:25:08Z</dcterms:modified>
</cp:coreProperties>
</file>