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00" w:right="4240" w:hanging="242"/>
        <w:spacing w:after="0" w:line="261" w:lineRule="auto"/>
        <w:rPr>
          <w:sz w:val="20"/>
          <w:szCs w:val="20"/>
          <w:color w:val="auto"/>
        </w:rPr>
      </w:pPr>
      <w:r>
        <w:rPr>
          <w:rFonts w:ascii="Arial" w:cs="Arial" w:eastAsia="Arial" w:hAnsi="Arial"/>
          <w:sz w:val="18"/>
          <w:szCs w:val="18"/>
          <w:color w:val="auto"/>
        </w:rPr>
        <w:t>x Quarterly Report Pursuant to Section 13 or 15(d) of the Securities Exchange Act of 1934 For the Quarterly Period Ended November 1, 2013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00" w:right="4260" w:hanging="242"/>
        <w:spacing w:after="0" w:line="277" w:lineRule="auto"/>
        <w:rPr>
          <w:sz w:val="20"/>
          <w:szCs w:val="20"/>
          <w:color w:val="auto"/>
        </w:rPr>
      </w:pPr>
      <w:r>
        <w:rPr>
          <w:rFonts w:ascii="Arial" w:cs="Arial" w:eastAsia="Arial" w:hAnsi="Arial"/>
          <w:sz w:val="18"/>
          <w:szCs w:val="18"/>
          <w:color w:val="auto"/>
        </w:rPr>
        <w:t xml:space="preserve">o Transition report pursuant to Section 13 or 15(d) of the Securities Exchange Act of 1934 For the transition period from </w:t>
      </w:r>
      <w:r>
        <w:rPr>
          <w:rFonts w:ascii="Arial" w:cs="Arial" w:eastAsia="Arial" w:hAnsi="Arial"/>
          <w:sz w:val="9"/>
          <w:szCs w:val="9"/>
          <w:color w:val="auto"/>
        </w:rPr>
        <w:t>_________________</w:t>
      </w:r>
      <w:r>
        <w:rPr>
          <w:rFonts w:ascii="Arial" w:cs="Arial" w:eastAsia="Arial" w:hAnsi="Arial"/>
          <w:sz w:val="18"/>
          <w:szCs w:val="18"/>
          <w:color w:val="auto"/>
        </w:rPr>
        <w:t xml:space="preserve"> to ___________</w:t>
      </w:r>
    </w:p>
    <w:p>
      <w:pPr>
        <w:spacing w:after="0" w:line="190" w:lineRule="exact"/>
        <w:rPr>
          <w:sz w:val="24"/>
          <w:szCs w:val="24"/>
          <w:color w:val="auto"/>
        </w:rPr>
      </w:pPr>
    </w:p>
    <w:p>
      <w:pPr>
        <w:jc w:val="center"/>
        <w:ind w:right="-19"/>
        <w:spacing w:after="0" w:line="253" w:lineRule="exact"/>
        <w:rPr>
          <w:sz w:val="20"/>
          <w:szCs w:val="20"/>
          <w:color w:val="auto"/>
        </w:rPr>
      </w:pPr>
      <w:r>
        <w:rPr>
          <w:rFonts w:ascii="Arial" w:cs="Arial" w:eastAsia="Arial" w:hAnsi="Arial"/>
          <w:sz w:val="22"/>
          <w:szCs w:val="22"/>
          <w:color w:val="auto"/>
        </w:rPr>
        <w:t>Commission file number: 001</w:t>
      </w:r>
      <w:r>
        <w:rPr>
          <w:rFonts w:ascii="MS PGothic" w:cs="MS PGothic" w:eastAsia="MS PGothic" w:hAnsi="MS PGothic"/>
          <w:sz w:val="22"/>
          <w:szCs w:val="22"/>
          <w:color w:val="auto"/>
        </w:rPr>
        <w:t>‑</w:t>
      </w:r>
      <w:r>
        <w:rPr>
          <w:rFonts w:ascii="Arial" w:cs="Arial" w:eastAsia="Arial" w:hAnsi="Arial"/>
          <w:sz w:val="22"/>
          <w:szCs w:val="22"/>
          <w:color w:val="auto"/>
        </w:rPr>
        <w:t>25225</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1"/>
              </w:rPr>
              <w:t>305 Hartmann Drive, P.O. Box 787</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37088</w:t>
            </w:r>
            <w:r>
              <w:rPr>
                <w:rFonts w:ascii="MS PGothic" w:cs="MS PGothic" w:eastAsia="MS PGothic" w:hAnsi="MS PGothic"/>
                <w:sz w:val="18"/>
                <w:szCs w:val="18"/>
                <w:color w:val="auto"/>
                <w:w w:val="91"/>
              </w:rPr>
              <w:t>‑</w:t>
            </w:r>
            <w:r>
              <w:rPr>
                <w:rFonts w:ascii="Arial" w:cs="Arial" w:eastAsia="Arial" w:hAnsi="Arial"/>
                <w:sz w:val="18"/>
                <w:szCs w:val="18"/>
                <w:color w:val="auto"/>
                <w:w w:val="91"/>
              </w:rPr>
              <w:t>0787</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6140" w:space="720"/>
            <w:col w:w="1220" w:space="80"/>
            <w:col w:w="3260"/>
          </w:cols>
          <w:pgMar w:left="240" w:top="541" w:right="239" w:bottom="1440" w:gutter="0" w:footer="0" w:header="0"/>
          <w:type w:val="continuous"/>
        </w:sectPr>
      </w:pPr>
    </w:p>
    <w:p>
      <w:pPr>
        <w:spacing w:after="0" w:line="37"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680" w:space="180"/>
            <w:col w:w="3280" w:space="720"/>
            <w:col w:w="1980" w:space="80"/>
            <w:col w:w="250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23,811,444 Shares of Common Stock</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Outstanding as of November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80" w:type="dxa"/>
            <w:vAlign w:val="bottom"/>
            <w:gridSpan w:val="9"/>
          </w:tcPr>
          <w:p>
            <w:pPr>
              <w:jc w:val="center"/>
              <w:ind w:right="284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8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8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2"/>
              </w:rPr>
              <w:t>For the Quarter Ended November 1, 2013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8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gridSpan w:val="3"/>
          </w:tcPr>
          <w:p>
            <w:pPr>
              <w:ind w:left="8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453"/>
        </w:trPr>
        <w:tc>
          <w:tcPr>
            <w:tcW w:w="10980" w:type="dxa"/>
            <w:vAlign w:val="bottom"/>
            <w:gridSpan w:val="17"/>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a)</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November 1, 2013 and August 2, 2013</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b)</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Quarters Ended November 1, 2013 and November 2, 2012</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c)</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Quarters Ended November 1, 2013 and November 2, 2012</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d)</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Quarters Ended November 1, 2013 and November 2, 2012</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e)</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bottom w:val="single" w:sz="8" w:color="CCEEFF"/>
            </w:tcBorders>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4.</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680" w:type="dxa"/>
            <w:vAlign w:val="bottom"/>
            <w:tcBorders>
              <w:bottom w:val="single" w:sz="8" w:color="CCEEFF"/>
            </w:tcBorders>
            <w:gridSpan w:val="9"/>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9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14"/>
            <w:shd w:val="clear" w:color="auto" w:fill="CCEEFF"/>
          </w:tcPr>
          <w:p>
            <w:pPr>
              <w:ind w:left="1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gridSpan w:val="7"/>
          </w:tcPr>
          <w:p>
            <w:pPr>
              <w:jc w:val="center"/>
              <w:ind w:left="4051"/>
              <w:spacing w:after="0"/>
              <w:rPr>
                <w:sz w:val="20"/>
                <w:szCs w:val="20"/>
                <w:color w:val="auto"/>
              </w:rPr>
            </w:pPr>
            <w:r>
              <w:rPr>
                <w:rFonts w:ascii="Arial" w:cs="Arial" w:eastAsia="Arial" w:hAnsi="Arial"/>
                <w:sz w:val="14"/>
                <w:szCs w:val="14"/>
                <w:color w:val="auto"/>
                <w:w w:val="76"/>
              </w:rPr>
              <w:t>2</w:t>
            </w:r>
          </w:p>
        </w:tc>
        <w:tc>
          <w:tcPr>
            <w:tcW w:w="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November 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August 2,</w:t>
            </w:r>
          </w:p>
        </w:tc>
        <w:tc>
          <w:tcPr>
            <w:tcW w:w="0" w:type="dxa"/>
            <w:vAlign w:val="bottom"/>
          </w:tcPr>
          <w:p>
            <w:pPr>
              <w:spacing w:after="0"/>
              <w:rPr>
                <w:sz w:val="1"/>
                <w:szCs w:val="1"/>
                <w:color w:val="auto"/>
              </w:rPr>
            </w:pPr>
          </w:p>
        </w:tc>
      </w:tr>
      <w:tr>
        <w:trPr>
          <w:trHeight w:val="237"/>
        </w:trPr>
        <w:tc>
          <w:tcPr>
            <w:tcW w:w="8820" w:type="dxa"/>
            <w:vAlign w:val="bottom"/>
            <w:gridSpan w:val="3"/>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57,542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held for sale</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1,797,823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1,026,369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1,354,583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1,388,306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117,392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 400,000,000 shares of $.01 par value authorized; 23,795,590 shares issued and outstanding at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November 1, 2013, and 23,795,327 shares issued and outstanding at August 2, 2013</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1,354,583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1,388,306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3" w:lineRule="exact"/>
        <w:rPr>
          <w:sz w:val="20"/>
          <w:szCs w:val="20"/>
          <w:color w:val="auto"/>
        </w:rPr>
      </w:pPr>
    </w:p>
    <w:p>
      <w:pPr>
        <w:ind w:right="4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August 2, 2013, as filed in the Company's Annual Report on Form 10-K for the fiscal year ended August 2,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8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color w:val="auto"/>
                <w:w w:val="88"/>
              </w:rPr>
              <w:t>(In thousands, except share data)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80" w:type="dxa"/>
            <w:vAlign w:val="bottom"/>
          </w:tcPr>
          <w:p>
            <w:pPr>
              <w:jc w:val="center"/>
              <w:ind w:left="251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649,141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429,593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Labor and other related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236,747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23,817,436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23,577,574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23,925,088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5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40"/>
              <w:spacing w:after="0" w:line="201" w:lineRule="exact"/>
              <w:rPr>
                <w:sz w:val="20"/>
                <w:szCs w:val="20"/>
                <w:color w:val="auto"/>
              </w:rPr>
            </w:pPr>
            <w:r>
              <w:rPr>
                <w:rFonts w:ascii="Arial" w:cs="Arial" w:eastAsia="Arial" w:hAnsi="Arial"/>
                <w:sz w:val="18"/>
                <w:szCs w:val="18"/>
                <w:color w:val="auto"/>
                <w:w w:val="89"/>
              </w:rPr>
              <w:t>November 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rPr>
              <w:t>CRACKER BARREL OLD COUNTRY STORE, INC.</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0"/>
              </w:rPr>
              <w:t>(Unaudited and in thousands)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40"/>
              <w:spacing w:after="0" w:line="201" w:lineRule="exact"/>
              <w:rPr>
                <w:sz w:val="20"/>
                <w:szCs w:val="20"/>
                <w:color w:val="auto"/>
              </w:rPr>
            </w:pPr>
            <w:r>
              <w:rPr>
                <w:rFonts w:ascii="Arial" w:cs="Arial" w:eastAsia="Arial" w:hAnsi="Arial"/>
                <w:sz w:val="18"/>
                <w:szCs w:val="18"/>
                <w:color w:val="auto"/>
                <w:w w:val="89"/>
              </w:rPr>
              <w:t>November 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Loss on disposition of property and equipment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Excess tax benefit from share-based compensation</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(26,609)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Other long-term assets and liabilities</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(17,686)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(17,847)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151,962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net of amounts capitalized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activity:</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expenditures accrued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deferred tax asset for interest rate swaps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Dividends declared but not yet 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November 1, 2013 and August 2, 2013 and the related condensed consolidated statements of income, comprehensive income and cash flows for the quarters ended November 1, 2013 and November 2, 2012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2, 2013 (the "2013 Form 10-K"). The accounting policies used in preparing these condensed consolidated financial statements are the same as described in the 2013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Disclosures about Offsetting Assets and Liabilities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is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adoption of these disclosure requirements in the first quarter of 2014 did not have a significant impact on the Company's consolidated financial position or results of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Reporting of Amounts Reclassified Out of Accumulated Other Comprehensive Income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February 2013, the FASB issued accounting guidance which requires companies to provide information regarding the amounts reclassified out of accumulated other comprehensive income by component. A company is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did not have a significant impact on the Company's consolidated financial position or results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November 1, 2013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25,956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26,365</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August 2, 2013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83,030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83,913</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11,644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November 1, 2013 and August 2, 2013.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November 1, 2013</w:t>
            </w:r>
          </w:p>
        </w:tc>
        <w:tc>
          <w:tcPr>
            <w:tcW w:w="8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August 2, 2013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Restaurant</w:t>
            </w:r>
          </w:p>
        </w:tc>
        <w:tc>
          <w:tcPr>
            <w:tcW w:w="4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23,083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20,214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173,296</w:t>
            </w:r>
          </w:p>
        </w:tc>
        <w:tc>
          <w:tcPr>
            <w:tcW w:w="120" w:type="dxa"/>
            <w:vAlign w:val="bottom"/>
          </w:tcPr>
          <w:p>
            <w:pPr>
              <w:spacing w:after="0"/>
              <w:rPr>
                <w:sz w:val="18"/>
                <w:szCs w:val="18"/>
                <w:color w:val="auto"/>
              </w:rPr>
            </w:pPr>
          </w:p>
        </w:tc>
        <w:tc>
          <w:tcPr>
            <w:tcW w:w="4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w w:val="79"/>
              </w:rPr>
              <w:t>4.</w:t>
            </w:r>
          </w:p>
        </w:tc>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60" w:type="dxa"/>
            <w:vAlign w:val="bottom"/>
            <w:vMerge w:val="continue"/>
          </w:tcPr>
          <w:p>
            <w:pPr>
              <w:spacing w:after="0"/>
              <w:rPr>
                <w:sz w:val="24"/>
                <w:szCs w:val="24"/>
                <w:color w:val="auto"/>
              </w:rPr>
            </w:pPr>
          </w:p>
        </w:tc>
        <w:tc>
          <w:tcPr>
            <w:tcW w:w="73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60" w:type="dxa"/>
            <w:vAlign w:val="bottom"/>
          </w:tcPr>
          <w:p>
            <w:pPr>
              <w:spacing w:after="0"/>
              <w:rPr>
                <w:sz w:val="24"/>
                <w:szCs w:val="24"/>
                <w:color w:val="auto"/>
              </w:rPr>
            </w:pPr>
          </w:p>
        </w:tc>
        <w:tc>
          <w:tcPr>
            <w:tcW w:w="7340" w:type="dxa"/>
            <w:vAlign w:val="bottom"/>
            <w:gridSpan w:val="3"/>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November 1, 2013</w:t>
            </w:r>
          </w:p>
        </w:tc>
        <w:tc>
          <w:tcPr>
            <w:tcW w:w="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August 2, 2013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Term loan payable on or before July 8, 2016</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Current maturities</w:t>
            </w:r>
          </w:p>
        </w:tc>
        <w:tc>
          <w:tcPr>
            <w:tcW w:w="4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393,750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$750,000 credit facility (the "Credit Facility") consists of a term loan and a $500,000 revolving credit facility (the "Revolving Credit Facility"). At November 1, 2013, the Company had $212,500 of outstanding borrowings under the Revolving Credit Facility and $20,637 of standby letters of credit, which reduce the Company's availability under the Revolving Credit Facility (see Note 11). At November 1, 2013, the Company had $266,863 in borrowing availability under the Revolving Credit Facility.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November 1, 2013, the Company's outstanding borrowings were swapped at a weighted average interest rate of 3.73% (see Note 5 for information on the Company's interest rate swaps).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At November 1, 2013, the Company was in compliance with all debt covenants.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and the amount of shares the Company is permitted to repurchase. Provided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and repurchase shares of its common stock if the aggregate amount of dividends paid and shares repurchased in any fiscal year is less than the sum of (1) 20% of Consolidated EBITDA from continuing operations (as defined in the Credit Facility) (the "20% limitation") during the immediately preceding fiscal year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6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November 1, 2013 was 1.50%. All of the Company's interest rate swaps are accounted for as cash flow hedges.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November 1, 2013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5"/>
              </w:rPr>
              <w:t>Term</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Fixed</w:t>
            </w:r>
          </w:p>
        </w:tc>
      </w:tr>
      <w:tr>
        <w:trPr>
          <w:trHeight w:val="230"/>
        </w:trPr>
        <w:tc>
          <w:tcPr>
            <w:tcW w:w="5300" w:type="dxa"/>
            <w:vAlign w:val="bottom"/>
          </w:tcPr>
          <w:p>
            <w:pPr>
              <w:ind w:left="2220"/>
              <w:spacing w:after="0"/>
              <w:rPr>
                <w:sz w:val="20"/>
                <w:szCs w:val="20"/>
                <w:color w:val="auto"/>
              </w:rPr>
            </w:pPr>
            <w:r>
              <w:rPr>
                <w:rFonts w:ascii="Arial" w:cs="Arial" w:eastAsia="Arial" w:hAnsi="Arial"/>
                <w:sz w:val="18"/>
                <w:szCs w:val="18"/>
                <w:color w:val="auto"/>
              </w:rPr>
              <w:t>Trade Date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4"/>
              </w:rPr>
              <w:t>Effective Date</w:t>
            </w:r>
          </w:p>
        </w:tc>
        <w:tc>
          <w:tcPr>
            <w:tcW w:w="140" w:type="dxa"/>
            <w:vAlign w:val="bottom"/>
          </w:tcPr>
          <w:p>
            <w:pPr>
              <w:spacing w:after="0"/>
              <w:rPr>
                <w:sz w:val="20"/>
                <w:szCs w:val="20"/>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2"/>
              </w:rPr>
              <w:t>(in Years)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Notional Amount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Rate</w:t>
            </w:r>
          </w:p>
        </w:tc>
      </w:tr>
      <w:tr>
        <w:trPr>
          <w:trHeight w:val="34"/>
        </w:trPr>
        <w:tc>
          <w:tcPr>
            <w:tcW w:w="5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10, 2010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July 25, 2011</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May 3, 2013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July 25, 2011</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 2013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September 19, 2011</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May 3, 2013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19, 2011</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 2013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December 7, 2011</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May 3, 2013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2013</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 2015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April 8, 2013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May 3, 2015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15, 2013</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 2015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color w:val="auto"/>
              </w:rPr>
              <w:t>April 22, 2013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May 3, 2015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25, 2013</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 2015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November 1, 2013 and August 2, 2013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(See Note 2)</w:t>
            </w:r>
          </w:p>
        </w:tc>
        <w:tc>
          <w:tcPr>
            <w:tcW w:w="100" w:type="dxa"/>
            <w:vAlign w:val="bottom"/>
          </w:tcPr>
          <w:p>
            <w:pPr>
              <w:spacing w:after="0"/>
              <w:rPr>
                <w:sz w:val="20"/>
                <w:szCs w:val="20"/>
                <w:color w:val="auto"/>
              </w:rPr>
            </w:pPr>
          </w:p>
        </w:tc>
        <w:tc>
          <w:tcPr>
            <w:tcW w:w="3900" w:type="dxa"/>
            <w:vAlign w:val="bottom"/>
          </w:tcPr>
          <w:p>
            <w:pPr>
              <w:ind w:left="1080"/>
              <w:spacing w:after="0"/>
              <w:rPr>
                <w:sz w:val="20"/>
                <w:szCs w:val="20"/>
                <w:color w:val="auto"/>
              </w:rPr>
            </w:pPr>
            <w:r>
              <w:rPr>
                <w:rFonts w:ascii="Arial" w:cs="Arial" w:eastAsia="Arial" w:hAnsi="Arial"/>
                <w:sz w:val="18"/>
                <w:szCs w:val="18"/>
                <w:color w:val="auto"/>
              </w:rPr>
              <w:t>Balance Sheet Location</w:t>
            </w:r>
          </w:p>
        </w:tc>
        <w:tc>
          <w:tcPr>
            <w:tcW w:w="14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w w:val="89"/>
              </w:rPr>
              <w:t>November 1, 2013</w:t>
            </w:r>
          </w:p>
        </w:tc>
        <w:tc>
          <w:tcPr>
            <w:tcW w:w="1200" w:type="dxa"/>
            <w:vAlign w:val="bottom"/>
            <w:gridSpan w:val="3"/>
          </w:tcPr>
          <w:p>
            <w:pPr>
              <w:spacing w:after="0"/>
              <w:rPr>
                <w:sz w:val="20"/>
                <w:szCs w:val="20"/>
                <w:color w:val="auto"/>
              </w:rPr>
            </w:pPr>
            <w:r>
              <w:rPr>
                <w:rFonts w:ascii="Arial" w:cs="Arial" w:eastAsia="Arial" w:hAnsi="Arial"/>
                <w:sz w:val="18"/>
                <w:szCs w:val="18"/>
                <w:color w:val="auto"/>
                <w:w w:val="97"/>
              </w:rPr>
              <w:t>August 2, 2013</w:t>
            </w:r>
          </w:p>
        </w:tc>
      </w:tr>
      <w:tr>
        <w:trPr>
          <w:trHeight w:val="34"/>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6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Long-term interest rate swap liability</w:t>
            </w:r>
          </w:p>
        </w:tc>
        <w:tc>
          <w:tcPr>
            <w:tcW w:w="620" w:type="dxa"/>
            <w:vAlign w:val="bottom"/>
            <w:gridSpan w:val="2"/>
          </w:tcPr>
          <w:p>
            <w:pPr>
              <w:jc w:val="right"/>
              <w:ind w:right="31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11,298</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11,644</w:t>
            </w:r>
          </w:p>
        </w:tc>
      </w:tr>
    </w:tbl>
    <w:p>
      <w:pPr>
        <w:spacing w:after="0" w:line="21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November 1, 2013 and August 2,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Gross Asset Amounts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Liability Amount Offset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7"/>
              </w:rPr>
              <w:t>in the Balance Sheets</w:t>
            </w:r>
          </w:p>
        </w:tc>
        <w:tc>
          <w:tcPr>
            <w:tcW w:w="100" w:type="dxa"/>
            <w:vAlign w:val="bottom"/>
          </w:tcPr>
          <w:p>
            <w:pPr>
              <w:spacing w:after="0"/>
              <w:rPr>
                <w:sz w:val="20"/>
                <w:szCs w:val="20"/>
                <w:color w:val="auto"/>
              </w:rPr>
            </w:pP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November 1,</w:t>
            </w: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November 1,</w:t>
            </w: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November 1,</w:t>
            </w: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r>
      <w:tr>
        <w:trPr>
          <w:trHeight w:val="264"/>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0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November 1, 2013 and August 2,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color w:val="auto"/>
              </w:rPr>
              <w:t>Net Liability Amount Presented</w:t>
            </w: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ind w:left="120"/>
              <w:spacing w:after="0"/>
              <w:rPr>
                <w:sz w:val="20"/>
                <w:szCs w:val="20"/>
                <w:color w:val="auto"/>
              </w:rPr>
            </w:pPr>
            <w:r>
              <w:rPr>
                <w:rFonts w:ascii="Arial" w:cs="Arial" w:eastAsia="Arial" w:hAnsi="Arial"/>
                <w:sz w:val="18"/>
                <w:szCs w:val="18"/>
                <w:color w:val="auto"/>
              </w:rPr>
              <w:t>Gross Liability Amounts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ind w:left="220"/>
              <w:spacing w:after="0"/>
              <w:rPr>
                <w:sz w:val="20"/>
                <w:szCs w:val="20"/>
                <w:color w:val="auto"/>
              </w:rPr>
            </w:pPr>
            <w:r>
              <w:rPr>
                <w:rFonts w:ascii="Arial" w:cs="Arial" w:eastAsia="Arial" w:hAnsi="Arial"/>
                <w:sz w:val="18"/>
                <w:szCs w:val="18"/>
                <w:color w:val="auto"/>
              </w:rPr>
              <w:t>Asset Amount Offset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ind w:left="200"/>
              <w:spacing w:after="0"/>
              <w:rPr>
                <w:sz w:val="20"/>
                <w:szCs w:val="20"/>
                <w:color w:val="auto"/>
              </w:rPr>
            </w:pPr>
            <w:r>
              <w:rPr>
                <w:rFonts w:ascii="Arial" w:cs="Arial" w:eastAsia="Arial" w:hAnsi="Arial"/>
                <w:sz w:val="18"/>
                <w:szCs w:val="18"/>
                <w:color w:val="auto"/>
              </w:rPr>
              <w:t>in the Balance Sheets</w:t>
            </w: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November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74"/>
              <w:spacing w:after="0" w:line="201" w:lineRule="exact"/>
              <w:rPr>
                <w:sz w:val="20"/>
                <w:szCs w:val="20"/>
                <w:color w:val="auto"/>
              </w:rPr>
            </w:pPr>
            <w:r>
              <w:rPr>
                <w:rFonts w:ascii="Arial" w:cs="Arial" w:eastAsia="Arial" w:hAnsi="Arial"/>
                <w:sz w:val="18"/>
                <w:szCs w:val="18"/>
                <w:color w:val="auto"/>
                <w:w w:val="91"/>
              </w:rPr>
              <w:t>August 2,</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center"/>
              <w:ind w:right="220"/>
              <w:spacing w:after="0" w:line="201" w:lineRule="exact"/>
              <w:rPr>
                <w:sz w:val="20"/>
                <w:szCs w:val="20"/>
                <w:color w:val="auto"/>
              </w:rPr>
            </w:pPr>
            <w:r>
              <w:rPr>
                <w:rFonts w:ascii="Arial" w:cs="Arial" w:eastAsia="Arial" w:hAnsi="Arial"/>
                <w:sz w:val="18"/>
                <w:szCs w:val="18"/>
                <w:color w:val="auto"/>
                <w:w w:val="91"/>
              </w:rPr>
              <w:t>November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ind w:left="60"/>
              <w:spacing w:after="0" w:line="201" w:lineRule="exact"/>
              <w:rPr>
                <w:sz w:val="20"/>
                <w:szCs w:val="20"/>
                <w:color w:val="auto"/>
              </w:rPr>
            </w:pPr>
            <w:r>
              <w:rPr>
                <w:rFonts w:ascii="Arial" w:cs="Arial" w:eastAsia="Arial" w:hAnsi="Arial"/>
                <w:sz w:val="18"/>
                <w:szCs w:val="18"/>
                <w:color w:val="auto"/>
              </w:rPr>
              <w:t>November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80"/>
          </w:cols>
          <w:pgMar w:left="240" w:top="296" w:right="17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estimated fair value of the Company's interest rate swap assets and liabilities incorporate the Company's non-performance risk (see Note 2). The adjustment related to the Company's non-performance risk at November 1, 2013 and August 2, 2013 resulted in reductions of $84 and $123,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November 1, 2013, the estimated pre-tax portion of AOCL that is expected to be reclassified into earnings over the next twelve months is $5,998. Cash flows related to the interest rate swap are included in interest expense and in operating activities.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quarter ended November 1, 2013 and the year ended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100" w:type="dxa"/>
            <w:vAlign w:val="bottom"/>
            <w:gridSpan w:val="6"/>
          </w:tcPr>
          <w:p>
            <w:pPr>
              <w:ind w:left="20"/>
              <w:spacing w:after="0"/>
              <w:rPr>
                <w:sz w:val="20"/>
                <w:szCs w:val="20"/>
                <w:color w:val="auto"/>
              </w:rPr>
            </w:pPr>
            <w:r>
              <w:rPr>
                <w:rFonts w:ascii="Arial" w:cs="Arial" w:eastAsia="Arial" w:hAnsi="Arial"/>
                <w:sz w:val="18"/>
                <w:szCs w:val="18"/>
                <w:color w:val="auto"/>
                <w:w w:val="95"/>
              </w:rPr>
              <w:t>Amount of (Loss) Income Recognized in</w:t>
            </w:r>
          </w:p>
        </w:tc>
      </w:tr>
      <w:tr>
        <w:trPr>
          <w:trHeight w:val="237"/>
        </w:trPr>
        <w:tc>
          <w:tcPr>
            <w:tcW w:w="8320" w:type="dxa"/>
            <w:vAlign w:val="bottom"/>
          </w:tcPr>
          <w:p>
            <w:pPr>
              <w:spacing w:after="0"/>
              <w:rPr>
                <w:sz w:val="20"/>
                <w:szCs w:val="20"/>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w w:val="97"/>
              </w:rPr>
              <w:t>AOCL on Derivatives (Effective Portion)</w:t>
            </w:r>
          </w:p>
        </w:tc>
      </w:tr>
      <w:tr>
        <w:trPr>
          <w:trHeight w:val="223"/>
        </w:trPr>
        <w:tc>
          <w:tcPr>
            <w:tcW w:w="8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9"/>
              </w:rPr>
              <w:t>Quarter Ended</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9"/>
                <w:szCs w:val="19"/>
                <w:color w:val="auto"/>
              </w:rPr>
            </w:pPr>
          </w:p>
        </w:tc>
      </w:tr>
      <w:tr>
        <w:trPr>
          <w:trHeight w:val="223"/>
        </w:trPr>
        <w:tc>
          <w:tcPr>
            <w:tcW w:w="832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1"/>
              </w:rPr>
              <w:t>November 1, 2013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August 2, 2013</w:t>
            </w:r>
          </w:p>
        </w:tc>
        <w:tc>
          <w:tcPr>
            <w:tcW w:w="100" w:type="dxa"/>
            <w:vAlign w:val="bottom"/>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Cash flow hedges: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r>
      <w:tr>
        <w:trPr>
          <w:trHeight w:val="20"/>
        </w:trPr>
        <w:tc>
          <w:tcPr>
            <w:tcW w:w="8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ended November 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2,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Location of Loss Reclassified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Amount of Loss Reclassified</w:t>
            </w:r>
          </w:p>
        </w:tc>
      </w:t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from AOCL into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color w:val="auto"/>
                <w:w w:val="94"/>
              </w:rPr>
              <w:t>from AOCL into Income</w:t>
            </w:r>
          </w:p>
        </w:tc>
      </w:tr>
      <w:tr>
        <w:trPr>
          <w:trHeight w:val="230"/>
        </w:trPr>
        <w:tc>
          <w:tcPr>
            <w:tcW w:w="43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(Effective Portion)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color w:val="auto"/>
                <w:w w:val="93"/>
              </w:rPr>
              <w:t>(Effective Portion)</w:t>
            </w:r>
          </w:p>
        </w:tc>
      </w:tr>
      <w:tr>
        <w:trPr>
          <w:trHeight w:val="34"/>
        </w:trPr>
        <w:tc>
          <w:tcPr>
            <w:tcW w:w="43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9"/>
                <w:szCs w:val="19"/>
                <w:color w:val="auto"/>
              </w:rPr>
            </w:pPr>
          </w:p>
        </w:tc>
      </w:tr>
      <w:tr>
        <w:trPr>
          <w:trHeight w:val="202"/>
        </w:trPr>
        <w:tc>
          <w:tcPr>
            <w:tcW w:w="4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November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November 2,</w:t>
            </w:r>
          </w:p>
        </w:tc>
        <w:tc>
          <w:tcPr>
            <w:tcW w:w="100" w:type="dxa"/>
            <w:vAlign w:val="bottom"/>
          </w:tcPr>
          <w:p>
            <w:pPr>
              <w:spacing w:after="0"/>
              <w:rPr>
                <w:sz w:val="17"/>
                <w:szCs w:val="17"/>
                <w:color w:val="auto"/>
              </w:rPr>
            </w:pPr>
          </w:p>
        </w:tc>
      </w:tr>
      <w:tr>
        <w:trPr>
          <w:trHeight w:val="237"/>
        </w:trPr>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flow hedges: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quarters ended November 1, 2013 and November 2, 2012.</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November 1, 2013, the Company issued 120,263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$8,214. During the quarter ended November 1, 2013, the Company repurchased 120,000 shares of its common stock in the open market at an aggregate cost of $12,473.</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quarter ended November 1, 2013, the Company paid dividends of $0.75 per share of its common stock. In addition, the Company declared a regular dividend of $0.75 per share of its common stock that was paid on November 5, 2013 to shareholders of record on October 18, 2013.</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quarter ended November 1, 2013, the unrealized loss, net of tax, on the Company's interest rate swaps increased by $78 to $6,690 and is recorded in AOCL (see Notes 2 and 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AOCL, net of tax, related to the Company's interest rate swaps for the quarter ended November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AOCL balance at August 2, 2013</w:t>
            </w:r>
          </w:p>
        </w:tc>
        <w:tc>
          <w:tcPr>
            <w:tcW w:w="51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Other comprehensive income before reclassifications</w:t>
            </w:r>
          </w:p>
        </w:tc>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Amounts reclassified from AOCL</w:t>
            </w:r>
          </w:p>
        </w:tc>
        <w:tc>
          <w:tcPr>
            <w:tcW w:w="5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5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November 1, 2013</w:t>
            </w:r>
          </w:p>
        </w:tc>
        <w:tc>
          <w:tcPr>
            <w:tcW w:w="5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160" w:type="dxa"/>
            <w:vAlign w:val="bottom"/>
          </w:tcPr>
          <w:p>
            <w:pPr>
              <w:jc w:val="right"/>
              <w:ind w:right="4108"/>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6"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ended November 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Affected Line Item in the</w:t>
            </w: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2"/>
          </w:tcPr>
          <w:p>
            <w:pPr>
              <w:jc w:val="right"/>
              <w:ind w:right="660"/>
              <w:spacing w:after="0"/>
              <w:rPr>
                <w:sz w:val="20"/>
                <w:szCs w:val="20"/>
                <w:color w:val="auto"/>
              </w:rPr>
            </w:pPr>
            <w:r>
              <w:rPr>
                <w:rFonts w:ascii="Arial" w:cs="Arial" w:eastAsia="Arial" w:hAnsi="Arial"/>
                <w:sz w:val="18"/>
                <w:szCs w:val="18"/>
                <w:color w:val="auto"/>
              </w:rPr>
              <w:t>Amount Reclassified</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Condensed Consolidated</w:t>
            </w:r>
          </w:p>
        </w:tc>
      </w:tr>
      <w:tr>
        <w:trPr>
          <w:trHeight w:val="264"/>
        </w:trPr>
        <w:tc>
          <w:tcPr>
            <w:tcW w:w="6400" w:type="dxa"/>
            <w:vAlign w:val="bottom"/>
          </w:tcPr>
          <w:p>
            <w:pPr>
              <w:spacing w:after="0"/>
              <w:rPr>
                <w:sz w:val="20"/>
                <w:szCs w:val="20"/>
                <w:color w:val="auto"/>
              </w:rPr>
            </w:pPr>
            <w:r>
              <w:rPr>
                <w:rFonts w:ascii="Arial" w:cs="Arial" w:eastAsia="Arial" w:hAnsi="Arial"/>
                <w:sz w:val="18"/>
                <w:szCs w:val="18"/>
                <w:color w:val="auto"/>
              </w:rPr>
              <w:t>Details about AOCL</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2"/>
          </w:tcPr>
          <w:p>
            <w:pPr>
              <w:jc w:val="right"/>
              <w:ind w:right="980"/>
              <w:spacing w:after="0"/>
              <w:rPr>
                <w:sz w:val="20"/>
                <w:szCs w:val="20"/>
                <w:color w:val="auto"/>
              </w:rPr>
            </w:pPr>
            <w:r>
              <w:rPr>
                <w:rFonts w:ascii="Arial" w:cs="Arial" w:eastAsia="Arial" w:hAnsi="Arial"/>
                <w:sz w:val="18"/>
                <w:szCs w:val="18"/>
                <w:color w:val="auto"/>
              </w:rPr>
              <w:t>from AOCL</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6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(2,041)</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Tax benefit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6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quarter ended November 1, 2013, total share-based compensation expense was $2,820. The excess tax benefit realized upon exercise of share-based compensation awards was $568.</w:t>
      </w:r>
    </w:p>
    <w:p>
      <w:pPr>
        <w:spacing w:after="0" w:line="1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49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r>
      <w:tr>
        <w:trPr>
          <w:trHeight w:val="237"/>
        </w:trPr>
        <w:tc>
          <w:tcPr>
            <w:tcW w:w="49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Revenue:</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504,314</w:t>
            </w: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Retail</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127,194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123,137</w:t>
            </w:r>
          </w:p>
        </w:tc>
      </w:tr>
      <w:tr>
        <w:trPr>
          <w:trHeight w:val="257"/>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649,141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200"/>
              <w:spacing w:after="0" w:line="201" w:lineRule="exact"/>
              <w:rPr>
                <w:sz w:val="20"/>
                <w:szCs w:val="20"/>
                <w:color w:val="auto"/>
              </w:rPr>
            </w:pPr>
            <w:r>
              <w:rPr>
                <w:rFonts w:ascii="Arial" w:cs="Arial" w:eastAsia="Arial" w:hAnsi="Arial"/>
                <w:sz w:val="18"/>
                <w:szCs w:val="18"/>
                <w:color w:val="auto"/>
                <w:w w:val="89"/>
              </w:rPr>
              <w:t>November 1,</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0" w:type="dxa"/>
            <w:vAlign w:val="bottom"/>
            <w:vMerge w:val="restart"/>
          </w:tcPr>
          <w:p>
            <w:pPr>
              <w:jc w:val="right"/>
              <w:ind w:right="2959"/>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6"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Company's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320"/>
              <w:spacing w:after="0" w:line="201" w:lineRule="exact"/>
              <w:rPr>
                <w:sz w:val="20"/>
                <w:szCs w:val="20"/>
                <w:color w:val="auto"/>
              </w:rPr>
            </w:pPr>
            <w:r>
              <w:rPr>
                <w:rFonts w:ascii="Arial" w:cs="Arial" w:eastAsia="Arial" w:hAnsi="Arial"/>
                <w:sz w:val="18"/>
                <w:szCs w:val="18"/>
                <w:color w:val="auto"/>
                <w:w w:val="89"/>
              </w:rPr>
              <w:t>November 1,</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Weighted average shares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23,817,436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potential dilution: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23,925,088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23,787,625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November 1, 2013, the Company had $20,637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November 1, 2013,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At November 1, 2013, the Company recorded a liability of $400 in the Condensed Consolidated Balance Sheet related to legal costs. The Company believes that the probability of incurring an actual liability under other indemnification agreements is sufficiently remote so that no additional liability has been recorded in the Condensed Consolidated Balance Sheets.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November 1, 2013, we operated 625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2, 2013 (the "2013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2013 Form 10-K, which is incorporated herein by this reference, as well as the factors described under "Critical Accounting Estimates" on pages 20-24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and we plan to leverage that strength in 2014 to grow guest traffic, sales and profits.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five priorities for 2014 are to:</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our menu, continuing to incorporate better-for-you menu additions and reinforce everyday value;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messaging in support of the brand, menu and merchandise;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Drive retail sales with improved quality and breadth of our merchandise assortment;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Apply technology and process enhancements to improve the employee experience, the guest experience and operating margins;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focus on increasing total shareholder returns.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our results for the first quarter of 2014 reflect our initial success in implementing these priorities. We achieved positive comparable restaurant sales and retail sales for the eighth consecutive quarter, and our comparable store traffic and restaurant sales outperformed the Knapp-Track™ Casual Dining Index for the eighth consecutive quarter. During the first quarter of 2014, we introduced a new menu category, Wholesome Fixin's®, which focuses on healthier items that provide flavorful and fresh meals with under 600 calories. Additionally, we continued our "Handcrafted by Cracker Barrel" advertising campaign with national television during the first quarter of 2014 to support the Wholesome Fixin's launch.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highlights operating results by percentage relationships to total revenue for the quarter ended November 1, 2013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700" w:type="dxa"/>
            <w:vAlign w:val="bottom"/>
            <w:gridSpan w:val="4"/>
          </w:tcPr>
          <w:p>
            <w:pPr>
              <w:jc w:val="right"/>
              <w:ind w:right="90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8"/>
              </w:rPr>
              <w:t>November 1,</w:t>
            </w:r>
          </w:p>
        </w:tc>
        <w:tc>
          <w:tcPr>
            <w:tcW w:w="11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8"/>
              </w:rPr>
              <w:t>November 2,</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Cost of goods sold</w:t>
            </w: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ended November 1, 2013 and November 2, 2012,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72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360" w:type="dxa"/>
            <w:vAlign w:val="bottom"/>
            <w:tcBorders>
              <w:top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November 1,</w:t>
            </w:r>
          </w:p>
        </w:tc>
        <w:tc>
          <w:tcPr>
            <w:tcW w:w="11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8"/>
              </w:rPr>
              <w:t>November 2,</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Opened during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the end of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first quarter of 2014 increased 3.5% compared to the same period in the prior year.</w:t>
      </w:r>
    </w:p>
    <w:p>
      <w:pPr>
        <w:sectPr>
          <w:pgSz w:w="11900" w:h="16838" w:orient="portrait"/>
          <w:cols w:equalWidth="0" w:num="1">
            <w:col w:w="11420"/>
          </w:cols>
          <w:pgMar w:left="240" w:top="296"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highlights the key components of revenue for the first quarter of 2014 as compared to the same period in the prior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89"/>
              </w:rPr>
              <w:t>November 1,</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521,947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127,194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123,137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649,141</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627,451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836.1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60"/>
              <w:spacing w:after="0"/>
              <w:rPr>
                <w:sz w:val="20"/>
                <w:szCs w:val="20"/>
                <w:color w:val="auto"/>
              </w:rPr>
            </w:pPr>
            <w:r>
              <w:rPr>
                <w:rFonts w:ascii="Arial" w:cs="Arial" w:eastAsia="Arial" w:hAnsi="Arial"/>
                <w:sz w:val="18"/>
                <w:szCs w:val="18"/>
                <w:color w:val="auto"/>
              </w:rPr>
              <w:t>Restaurant and retail</w:t>
            </w: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36"/>
          <w:szCs w:val="36"/>
          <w:color w:val="auto"/>
          <w:vertAlign w:val="superscript"/>
        </w:rPr>
        <w:t>(1)</w:t>
      </w:r>
      <w:r>
        <w:rPr>
          <w:rFonts w:ascii="Arial" w:cs="Arial" w:eastAsia="Arial" w:hAnsi="Arial"/>
          <w:sz w:val="22"/>
          <w:szCs w:val="22"/>
          <w:color w:val="auto"/>
        </w:rPr>
        <w:t>Average unit volumes include sales of all stores.</w:t>
      </w:r>
    </w:p>
    <w:p>
      <w:pPr>
        <w:spacing w:after="0" w:line="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first quarter of 2014, our comparable store restaurant sales increase consisted of a 2.9% average check increase for the quarter (including a 2.5% average menu price increase) and a 0.1% guest traffic decrease. The Company believes that the 16-day partial shutdown of the federal government in October had a negative impact on comparable store traffic and sales of between 0.2% and 0.3% for the quarter.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first quarter of 2014, our comparable store retail sales increase resulted primarily from strong performance in certain retail merchandise categories partially offset by the decrease in guest traffic. Restaurant and retail sales from newly opened stores accounted for the balance of the total revenue increase in the first quarter of 2014 as compared to the same period in the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in dollar amounts and percentages for the first quarter of 2014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r>
      <w:tr>
        <w:trPr>
          <w:trHeight w:val="202"/>
        </w:trPr>
        <w:tc>
          <w:tcPr>
            <w:tcW w:w="8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November 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89"/>
              </w:rPr>
              <w:t>November 2,</w:t>
            </w:r>
          </w:p>
        </w:tc>
        <w:tc>
          <w:tcPr>
            <w:tcW w:w="160" w:type="dxa"/>
            <w:vAlign w:val="bottom"/>
          </w:tcPr>
          <w:p>
            <w:pPr>
              <w:spacing w:after="0"/>
              <w:rPr>
                <w:sz w:val="17"/>
                <w:szCs w:val="17"/>
                <w:color w:val="auto"/>
              </w:rPr>
            </w:pPr>
          </w:p>
        </w:tc>
      </w:tr>
      <w:tr>
        <w:trPr>
          <w:trHeight w:val="237"/>
        </w:trPr>
        <w:tc>
          <w:tcPr>
            <w:tcW w:w="8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135,183</w:t>
            </w:r>
          </w:p>
        </w:tc>
      </w:tr>
      <w:tr>
        <w:trPr>
          <w:trHeight w:val="223"/>
        </w:trPr>
        <w:tc>
          <w:tcPr>
            <w:tcW w:w="8720" w:type="dxa"/>
            <w:vAlign w:val="bottom"/>
          </w:tcPr>
          <w:p>
            <w:pPr>
              <w:ind w:left="14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63,333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62,675</w:t>
            </w: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197,858</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8"/>
                <w:szCs w:val="18"/>
                <w:color w:val="auto"/>
              </w:rPr>
              <w:t>Retail</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r>
        <w:trPr>
          <w:trHeight w:val="21"/>
        </w:trPr>
        <w:tc>
          <w:tcPr>
            <w:tcW w:w="8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increase in restaurant cost of goods sold as a percentage of restaurant revenue in the first quarter of 2014 as compared to the same period in the prior year was primarily the result of food commodity inflation and a shift to higher cost menu items partially offset by our menu price increase referenced above and a reduction in food waste. Higher cost menu items accounted for a 0.3% increase in restaurant cost of goods sold as a percentage of restaurant revenue, while the reduction in food waste accounted for an offsetting 0.1% decrease in restaurant cost of goods sold as a percentage of restaurant revenue. Commodity inflation was 4.0% in the first quarter of 2014. We presently expect the rate of commodity inflation to be approximately 2% for 2014.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the first quarter of 2014 as compared to the prior year quarter resulted primarily from lower freight and markdowns.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First Quarter (Decrease) as a</w:t>
            </w: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Percentage of Retail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Markdowns</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36.5% in the first quarter of 2014 as compared to 37.1% in the first quarter of 2013. This percentage change resulted from the following:</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First Quarter (Decrease)</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as a Percentage of Total</w:t>
            </w:r>
          </w:p>
        </w:tc>
      </w:tr>
      <w:tr>
        <w:trPr>
          <w:trHeight w:val="237"/>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Pre-opening labor expense</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for the first quarter of 2014 as compared to the same period in the prior year resulted from menu price increases being higher than wage inflation, and improved productivity.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fully-insured portion of our health insurance program contains a retrospective feature which could increase or decrease premiums based on actual claims experience. The decrease in our employee health care expenses in the first quarter of 2014 as compared to the same period in the prior year resulted primarily from our recording a receivable for reimbursement of certain health care premiums.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pre-opening labor expense as a percentage of total revenue for the first quarter of 2014 as compared to the same period in the prior year resulted from fewer new store openings.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19.3% in the first quarter of 2014 as compared to 18.5% in the first quarter of 2013. This percentage change resulted primarily from the following:</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Increase (Decrease) as a</w:t>
            </w: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Store manager conference expense</w:t>
            </w:r>
          </w:p>
        </w:tc>
        <w:tc>
          <w:tcPr>
            <w:tcW w:w="24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General insurance expense</w:t>
            </w: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advertising expense as a percentage of total revenue for the first quarter of 2014 as compared to the same period in the prior year resulted primarily from higher media spending in support of our Wholesome Fixin's program launch during the first quarter of 2014. While advertising expense as a percentage of total revenue was higher in the first quarter of 2014 as compared to the first quarter of 2013, we expect our advertising expense for 2014 to be approximately the same percentage of total revenue as in 2013.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2014, we held a manager conference which was attended by our store operations management team. The last such conference was held during the first quarter of 2012.</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maintenance expense as a percentage of total revenue for the first quarter of 2014 as compared to the same period in the prior year resulted primarily from expenses associated with the inspection, preventative maintenance and related repair of certain building components and kitchen equipment and higher lighting costs.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general insurance expense as a percentage of total revenue for the first quarter of 2014 as compared to the same period in the prior year resulted primarily from favorable claims experience based on our quarterly actuarial update.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flat at 5.7% in the first quarter of 2014 as compared to the first quarter of 2013 as a result of the following offsetting variances.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Severance expense</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Higher incentive compensation in the first quarter as compared to the same period in the prior year resulted primarily from better performance against financial objectives and an increase in the price of our common stock in 2014 as compared to the prior year.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quarters of 2014 and 2013, we incurred proxy contest expenses of $2,824 and $2,901,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expense for the first quarter of 2014 was $4,407 as compared to $10,712 in the first quarter of 2013. The decrease resulted from lower debt outstanding and lower interest rates because of a reduction in our credit spread and expiration of our seven-year interest rate swap on May 3, 2013, which had a fixed interest rate of 5.57% plus our credit spread. We presently expect interest expense for 2014 to be approximately $16,000 to 18,000.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Provision for income taxes as a percentage of income before income taxes (the "effective tax rate") was 31.8% and 33.0%, respectively, in the first quarters of 2014 and 2013. The decrease in the effective tax rate from the first quarter of 2013 as compared to the first quarter of 2014 resulted primarily from the reinstatement of the Work Opportunity Tax Credit in January 2013. We presently expect our effective tax rate for 2014 to be between 31% and 32%.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August 2, 2013, was sufficient to finance all of our growth, dividend payments, share repurchases, working capital needs and other cash payment obligations in the first quarter of 2014.</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November 1, 2013, along with cash generated from our operating activities and the borrowing capacity under our Revolving Credit Facility will be sufficient to finance our continuing operations, our continuing expansion plans, our share repurchase plans and our expected dividend payments for at least the next twelve months.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operating activities used net cash of $9,231 for the first quarter of 2014, as compared to $13,628 net cash used during the first quarter of 2013. This change primarily reflected the change in retail inventories, lower annual and long-term incentive bonus payments made in the current year as a result of the prior year's performance and higher net income partially offset by the timing of payments for interest and accounts payable.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$750,000 credit facility (the "Credit Facility") consists of a term loan (aggregate outstanding at November 1, 2013 was $187,500) and our Revolving Credit Facility. At November 1, 2013, we had $212,500 of outstanding borrowings under the Revolving Credit Facility and we had $20,637 of standby letters of credit related to securing reserved claims under workers' compensation insurance which reduce our borrowing availability under the Revolving Credit Facility. At November 1, 2013, we had $266,863 in borrowing availability under our Revolving Credit Facility. See Note 4 to our Condensed Consolidated Financial Statements for further information on our long-term debt.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$17,122 for the first quarter of 2014 as compared to $13,310 for the same period in the prior year. Our capital expenditures consisted primarily of capital expenditures for maintenance programs and costs of new store locations. The increase in capital expenditures in the first quarter of 2014 as compared to the prior year is primarily the result of higher maintenance capital expenditures. We estimate that our capital expenditures during 2014 will be between $90,000 and $100,000. This estimate includes the acquisition of sites and construction costs of approximately seven or eight new stores that have opened or are expected to open during 2014, as well as for acquisition and construction costs for store locations to be opened in 2015. In 2014, we also expect to increase capital expenditures for maintenance programs, technology and operations improvements. We intend to fund our capital expenditures with cash flows from operations and borrowings under our Revolving Credit Facility, as necessary.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Credit Facility imposes restrictions on the amount of dividends we are permitted to pay and the amount of shares we are permitted to repurchase. Provided there is no default existing and the total of our availability under the Revolving Credit Facility plus our cash and cash equivalents on hand is at least $100,000 (the "liquidity requirements"), we may declare and pay cash dividends on shares of our common stock and repurchase shares of our common stock if the aggregate amount of dividends paid and shares repurchased during any fiscal year is less than the sum of (1) 20% of Consolidated EBITDA from continuing operations (as defined in the Credit Facility) (the "20% limitation") during the immediately preceding fiscal year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first quarter of 2014, we paid a dividend of $0.75 per share. During the first quarter of 2014, we declared a dividend of $0.75 per share that was paid on November 5, 2013 to shareholders of record on October 18, 2013.</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$50,000 during 2014. During the first quarter of 2014, we repurchased 120,000 shares of our common stock in the open market at an aggregate cost of $12,473.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November 1, 2013, we issued 120,263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$8,214.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negative working capital of $30,502 at November 1, 2013 versus negative working capital of $13,873 at August 2, 2013. This decrease in working capital from August 2, 2013 primarily reflects a decrease in cash partially offset by higher retail inventories which reflect our normal seasonal build of retail inventory to support our expected holiday sales, a reduction in accounts payable due to the timing of payments and lower incentive compensation accruals resulting from the payment of annual bonuses and certain long-term incentive bonuses in the first quarter of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2013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2013. Refer to the sub-section entitled "Material Commitments" under the section entitled "Liquidity and Capital Resources" presented in the MD&amp;A of our 2013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None of the accounting guidance discussed in Note 1 had a significant impact on our consolidated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2013 Form 10-K. Judgments and uncertainties affecting the application of those policies may result in materially different amounts being reported under different conditions or using different assumptions.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quarter of 2014,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our health insurance program is self-insured.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The fully-insured portion of our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2014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2014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2013 Form 10-K for additional information).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93"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No stock options were granted in 2012, 2013 or in the first quarter of 2014.</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quarter of 2014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2013 Form 10-K is incorporated in this item of this Quarterly Report on Form 10-Q by this reference. There have been no material changes in our quantitative and qualitative market risks since August 2, 2013.</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November 1, 2013,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November 1, 2013 in our internal control over financial reporting (as defined in Exchange Act Rule 13a-15(f)) that have materially affected, or are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January 31, 2013, Kraft Foods Group Brands, LLC ("Kraft") filed suit against the Company and the Company's wholly owned subsidiary CBOCS Properties, Inc. ("CBOCS") in the Northern District of Illinois, Eastern Division (the "District Court"), in the case styled Kraft Foods Group Brands, LLC v. Cracker Barrel Old Country Store, Inc., CBOCS Properties, Inc., et al., seeking declaratory and injunctive relief. Kraft's complaint alleges that Kraft markets cheese in grocery stores under the trademark CRACKER BARREL. Citing the Company's announcement of a multiyear licensing agreement with John Morrell Food Group ("JMFG"), Kraft is seeking a declaratory judgment based upon the allegation that CBOCS's use and/or licensing use of CRACKER BARREL OLD COUNTRY STORE (the "CBOCS Mark") in connection with goods sold in retail food channels is likely to cause confusion among consumers regarding the source or sponsorship of those products; and that CBOCS's use or licensing of the CBOCS Mark constitutes unfair competition under federal and Illinois law. In July 2013, the District Court granted Kraft's motion for preliminary injunction and prohibited the use of the CBOCS Mark in connection with prospective sales or distribution of branded food products in certain retail locations. The District Court did not restrict use of the CBOCS Mark in distribution channels in which the Company has sold and promoted products previously. The Company and CBOCS disagree with and appealed the District Court's ruling. The U.S. Court of Appeals for the Seventh Circuit issued its ruling on November 14, 2013, affirming the District Court's order of preliminary injunction. A Stipulation Regarding Product Launch between Kraft, JMFG, CBOCS and the Company ("Stipulation") was executed on September 19, 2013, under which marketing of products by the Company under the CB Old Country Store™ mark was approved, with certain restrictions, by Kraft. Pursuant to the provisions of the Stipulation, CB Old Country Store™ products are now being distributed by JMFG in select retail markets.</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matter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2013 Form 10-K.</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Form 10-Q that were not registered under the Securities Act of 1933, as amended.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1, 2013 by or on behalf of the Company or any "affiliated purchaser," as defined by Rule 10b-18(a)(3) of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2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2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 as</w:t>
            </w:r>
          </w:p>
        </w:tc>
        <w:tc>
          <w:tcPr>
            <w:tcW w:w="2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Part of Publicly</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Average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Announced</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Shares that May Yet Be</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of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Paid Per</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Plans 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30"/>
        </w:trPr>
        <w:tc>
          <w:tcPr>
            <w:tcW w:w="20" w:type="dxa"/>
            <w:vAlign w:val="bottom"/>
          </w:tcPr>
          <w:p>
            <w:pPr>
              <w:spacing w:after="0"/>
              <w:rPr>
                <w:sz w:val="20"/>
                <w:szCs w:val="20"/>
                <w:color w:val="auto"/>
              </w:rPr>
            </w:pPr>
          </w:p>
        </w:tc>
        <w:tc>
          <w:tcPr>
            <w:tcW w:w="4900" w:type="dxa"/>
            <w:vAlign w:val="bottom"/>
          </w:tcPr>
          <w:p>
            <w:pPr>
              <w:ind w:left="222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Share (1)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Programs</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Plans or Programs</w:t>
            </w:r>
          </w:p>
        </w:tc>
      </w:tr>
      <w:tr>
        <w:trPr>
          <w:trHeight w:val="34"/>
        </w:trPr>
        <w:tc>
          <w:tcPr>
            <w:tcW w:w="4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8/3/13 – 8/30/13</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8/31/13 – 9/27/13</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9/28/13 – 11/1/13</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110,000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104.02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110,000</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for the quarter</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2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Indeterminate (2)</w:t>
            </w:r>
          </w:p>
        </w:tc>
      </w:tr>
      <w:tr>
        <w:trPr>
          <w:trHeight w:val="33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80" w:type="dxa"/>
            <w:vAlign w:val="bottom"/>
            <w:gridSpan w:val="2"/>
          </w:tcPr>
          <w:p>
            <w:pPr>
              <w:jc w:val="right"/>
              <w:ind w:right="330"/>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96"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ind w:left="1800" w:hanging="333"/>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price paid per share is calculated on a settlement basis and includes commissions and fees.</w:t>
      </w:r>
    </w:p>
    <w:p>
      <w:pPr>
        <w:spacing w:after="0" w:line="23" w:lineRule="exact"/>
        <w:rPr>
          <w:rFonts w:ascii="Arial" w:cs="Arial" w:eastAsia="Arial" w:hAnsi="Arial"/>
          <w:sz w:val="18"/>
          <w:szCs w:val="18"/>
          <w:color w:val="auto"/>
        </w:rPr>
      </w:pPr>
    </w:p>
    <w:p>
      <w:pPr>
        <w:jc w:val="both"/>
        <w:ind w:left="1800" w:hanging="333"/>
        <w:spacing w:after="0" w:line="255"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a maximum amount of $50,000 and the limits imposed by our Credit Facility, we have been authorized by our Board of Directors, on September 25, 2013, to repurchase shares during 2014. See Note 7 to our Consolidated Financial Statements contained in the 2013 Form 10-K.</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9" w:lineRule="exact"/>
        <w:rPr>
          <w:sz w:val="20"/>
          <w:szCs w:val="20"/>
          <w:color w:val="auto"/>
        </w:rPr>
      </w:pPr>
    </w:p>
    <w:p>
      <w:pPr>
        <w:spacing w:after="0"/>
        <w:tabs>
          <w:tab w:leader="none" w:pos="560" w:val="left"/>
          <w:tab w:leader="none" w:pos="514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/s/Lawrence E. Hyatt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5176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Lawrence E. Hyatt, Senior Vice President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560" w:val="left"/>
          <w:tab w:leader="none" w:pos="514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/s/P. Douglas Couvillion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5176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 Douglas Couvillion, Vice President, Corporate Controller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6"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5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26,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400" w:hanging="325"/>
        <w:spacing w:after="0"/>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800" w:hanging="414"/>
        <w:spacing w:after="0" w:line="286" w:lineRule="auto"/>
        <w:tabs>
          <w:tab w:leader="none" w:pos="18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800" w:hanging="414"/>
        <w:spacing w:after="0" w:line="264" w:lineRule="auto"/>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800" w:hanging="414"/>
        <w:spacing w:after="0" w:line="264" w:lineRule="auto"/>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80" w:hanging="319"/>
        <w:spacing w:after="0" w:line="26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800" w:hanging="414"/>
        <w:spacing w:after="0" w:line="342" w:lineRule="auto"/>
        <w:tabs>
          <w:tab w:leader="none" w:pos="180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20" w:hanging="414"/>
        <w:spacing w:after="0" w:line="277" w:lineRule="auto"/>
        <w:tabs>
          <w:tab w:leader="none" w:pos="18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26,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500" w:right="26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November 1, 2013,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6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26, 2013</w:t>
      </w:r>
      <w:r>
        <w:rPr>
          <w:sz w:val="20"/>
          <w:szCs w:val="20"/>
          <w:color w:val="auto"/>
        </w:rPr>
        <w:tab/>
      </w:r>
      <w:r>
        <w:rPr>
          <w:rFonts w:ascii="Arial" w:cs="Arial" w:eastAsia="Arial" w:hAnsi="Arial"/>
          <w:sz w:val="16"/>
          <w:szCs w:val="16"/>
          <w:color w:val="auto"/>
        </w:rPr>
        <w:t>By: /s/Sandra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3036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Sandra B. Cochran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240" w:top="314"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700" w:right="238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November 1, 2013,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6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26, 2013</w:t>
      </w:r>
      <w:r>
        <w:rPr>
          <w:sz w:val="20"/>
          <w:szCs w:val="20"/>
          <w:color w:val="auto"/>
        </w:rPr>
        <w:tab/>
      </w:r>
      <w:r>
        <w:rPr>
          <w:rFonts w:ascii="Arial" w:cs="Arial" w:eastAsia="Arial" w:hAnsi="Arial"/>
          <w:sz w:val="16"/>
          <w:szCs w:val="16"/>
          <w:color w:val="auto"/>
        </w:rPr>
        <w:t>By: /s/Lawrence E. Hyatt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3036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E. Hyatt,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980"/>
      </w:cols>
      <w:pgMar w:left="240" w:top="31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
    <w:nsid w:val="62BBD95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628C895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2019-12-06T21:11:44Z</dcterms:created>
  <dcterms:modified xsi:type="dcterms:W3CDTF">2019-12-06T21:11:44Z</dcterms:modified>
</cp:coreProperties>
</file>