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7" w:lineRule="exact"/>
        <w:rPr>
          <w:sz w:val="24"/>
          <w:szCs w:val="24"/>
          <w:color w:val="auto"/>
        </w:rPr>
      </w:pPr>
    </w:p>
    <w:p>
      <w:pPr>
        <w:jc w:val="center"/>
        <w:ind w:right="-19"/>
        <w:spacing w:after="0" w:line="368" w:lineRule="exact"/>
        <w:rPr>
          <w:sz w:val="20"/>
          <w:szCs w:val="20"/>
          <w:color w:val="auto"/>
        </w:rPr>
      </w:pPr>
      <w:r>
        <w:rPr>
          <w:rFonts w:ascii="Times New Roman" w:cs="Times New Roman" w:eastAsia="Times New Roman" w:hAnsi="Times New Roman"/>
          <w:sz w:val="32"/>
          <w:szCs w:val="32"/>
          <w:color w:val="auto"/>
        </w:rPr>
        <w:t>FORM 10</w:t>
      </w:r>
      <w:r>
        <w:rPr>
          <w:rFonts w:ascii="MS PGothic" w:cs="MS PGothic" w:eastAsia="MS PGothic" w:hAnsi="MS PGothic"/>
          <w:sz w:val="32"/>
          <w:szCs w:val="32"/>
          <w:color w:val="auto"/>
        </w:rPr>
        <w:t>‑</w:t>
      </w:r>
      <w:r>
        <w:rPr>
          <w:rFonts w:ascii="Times New Roman" w:cs="Times New Roman" w:eastAsia="Times New Roman" w:hAnsi="Times New Roman"/>
          <w:sz w:val="32"/>
          <w:szCs w:val="32"/>
          <w:color w:val="auto"/>
        </w:rPr>
        <w:t>Q</w:t>
      </w:r>
    </w:p>
    <w:p>
      <w:pPr>
        <w:spacing w:after="0" w:line="3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980" w:right="404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May 2, 2014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4"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2"/>
          <w:szCs w:val="22"/>
          <w:color w:val="auto"/>
        </w:rPr>
        <w:t>For the transition period from________ to _____________</w:t>
      </w:r>
    </w:p>
    <w:p>
      <w:pPr>
        <w:spacing w:after="0" w:line="190"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Commission file number: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239395</wp:posOffset>
            </wp:positionV>
            <wp:extent cx="18307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070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Cracker Barrel Old Country Store,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tbl>
      <w:tblPr>
        <w:tblLayout w:type="fixed"/>
        <w:tblInd w:w="660" w:type="dxa"/>
        <w:tblCellMar>
          <w:top w:w="0" w:type="dxa"/>
          <w:left w:w="0" w:type="dxa"/>
          <w:bottom w:w="0" w:type="dxa"/>
          <w:right w:w="0" w:type="dxa"/>
        </w:tblCellMar>
      </w:tblPr>
      <w:tr>
        <w:trPr>
          <w:trHeight w:val="245"/>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Tennessee</w:t>
            </w:r>
          </w:p>
        </w:tc>
        <w:tc>
          <w:tcPr>
            <w:tcW w:w="4040" w:type="dxa"/>
            <w:vAlign w:val="bottom"/>
          </w:tcPr>
          <w:p>
            <w:pPr>
              <w:jc w:val="center"/>
              <w:ind w:left="990"/>
              <w:spacing w:after="0" w:line="207" w:lineRule="exact"/>
              <w:rPr>
                <w:sz w:val="20"/>
                <w:szCs w:val="20"/>
                <w:color w:val="auto"/>
              </w:rPr>
            </w:pPr>
            <w:r>
              <w:rPr>
                <w:rFonts w:ascii="Times New Roman" w:cs="Times New Roman" w:eastAsia="Times New Roman" w:hAnsi="Times New Roman"/>
                <w:sz w:val="18"/>
                <w:szCs w:val="18"/>
                <w:color w:val="auto"/>
              </w:rPr>
              <w:t>62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0812904</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305 Hartmann Drive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37087-4779</w:t>
            </w:r>
          </w:p>
        </w:tc>
      </w:tr>
      <w:tr>
        <w:trPr>
          <w:trHeight w:val="21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Lebanon, Tennessee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(615) 444-5533</w:t>
      </w:r>
    </w:p>
    <w:p>
      <w:pPr>
        <w:spacing w:after="0" w:line="25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35" w:right="239" w:bottom="1440" w:gutter="0" w:footer="0" w:header="0"/>
        </w:sectPr>
      </w:pPr>
    </w:p>
    <w:p>
      <w:pPr>
        <w:spacing w:after="0" w:line="18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780" w:space="80"/>
            <w:col w:w="2140" w:space="720"/>
            <w:col w:w="1200" w:space="100"/>
            <w:col w:w="4400"/>
          </w:cols>
          <w:pgMar w:left="240" w:top="535" w:right="239" w:bottom="1440" w:gutter="0" w:footer="0" w:header="0"/>
          <w:type w:val="continuous"/>
        </w:sectPr>
      </w:pPr>
    </w:p>
    <w:p>
      <w:pPr>
        <w:spacing w:after="0" w:line="2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4">
            <w:col w:w="2680" w:space="180"/>
            <w:col w:w="2140" w:space="720"/>
            <w:col w:w="1980" w:space="80"/>
            <w:col w:w="3640"/>
          </w:cols>
          <w:pgMar w:left="240" w:top="535"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260"/>
        <w:spacing w:after="0" w:line="207" w:lineRule="exact"/>
        <w:tabs>
          <w:tab w:leader="none" w:pos="8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23,820,500 Shares of Common Stock</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Outstanding as of May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740" w:type="dxa"/>
            <w:vAlign w:val="bottom"/>
            <w:gridSpan w:val="8"/>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80" w:type="dxa"/>
            <w:vAlign w:val="bottom"/>
            <w:gridSpan w:val="7"/>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40" w:type="dxa"/>
            <w:vAlign w:val="bottom"/>
            <w:gridSpan w:val="8"/>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For the Quarter Ended May 2, 2014</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80" w:type="dxa"/>
            <w:vAlign w:val="bottom"/>
            <w:gridSpan w:val="7"/>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53"/>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40" w:type="dxa"/>
            <w:vAlign w:val="bottom"/>
            <w:gridSpan w:val="15"/>
            <w:shd w:val="clear" w:color="auto" w:fill="CCEEFF"/>
          </w:tcPr>
          <w:p>
            <w:pPr>
              <w:ind w:left="3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hyperlink w:anchor="page3">
              <w:r>
                <w:rPr>
                  <w:rFonts w:ascii="Times New Roman" w:cs="Times New Roman" w:eastAsia="Times New Roman" w:hAnsi="Times New Roman"/>
                  <w:sz w:val="18"/>
                  <w:szCs w:val="18"/>
                  <w:color w:val="0000EE"/>
                </w:rPr>
                <w:t>Condensed Consolidated Balance Sheets as of May 2, 2014 and August 2, 2013</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40" w:type="dxa"/>
            <w:vAlign w:val="bottom"/>
            <w:gridSpan w:val="15"/>
            <w:shd w:val="clear" w:color="auto" w:fill="CCEEFF"/>
          </w:tcPr>
          <w:p>
            <w:pPr>
              <w:ind w:left="3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hyperlink w:anchor="page4">
              <w:r>
                <w:rPr>
                  <w:rFonts w:ascii="Times New Roman" w:cs="Times New Roman" w:eastAsia="Times New Roman" w:hAnsi="Times New Roman"/>
                  <w:sz w:val="18"/>
                  <w:szCs w:val="18"/>
                  <w:color w:val="0000EE"/>
                </w:rPr>
                <w:t>Condensed Consolidated Statements of Income for the Quarters and Nine Months Ended May 2, 2014 and May 3, 2013</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40" w:type="dxa"/>
            <w:vAlign w:val="bottom"/>
            <w:gridSpan w:val="15"/>
            <w:shd w:val="clear" w:color="auto" w:fill="CCEEFF"/>
          </w:tcPr>
          <w:p>
            <w:pPr>
              <w:ind w:left="3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t>
            </w:r>
            <w:hyperlink w:anchor="page5">
              <w:r>
                <w:rPr>
                  <w:rFonts w:ascii="Times New Roman" w:cs="Times New Roman" w:eastAsia="Times New Roman" w:hAnsi="Times New Roman"/>
                  <w:sz w:val="18"/>
                  <w:szCs w:val="18"/>
                  <w:color w:val="0000EE"/>
                </w:rPr>
                <w:t>Condensed Consolidated Statements of Comprehensive Income for the Quarters and Nine Months Ended May 2, 2014 and May 3, 2013</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40" w:type="dxa"/>
            <w:vAlign w:val="bottom"/>
            <w:gridSpan w:val="15"/>
            <w:shd w:val="clear" w:color="auto" w:fill="CCEEFF"/>
          </w:tcPr>
          <w:p>
            <w:pPr>
              <w:ind w:left="3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hyperlink w:anchor="page6">
              <w:r>
                <w:rPr>
                  <w:rFonts w:ascii="Times New Roman" w:cs="Times New Roman" w:eastAsia="Times New Roman" w:hAnsi="Times New Roman"/>
                  <w:sz w:val="18"/>
                  <w:szCs w:val="18"/>
                  <w:color w:val="0000EE"/>
                </w:rPr>
                <w:t>Condensed Consolidated Statements of Cash Flows for the Quarters and Nine Months Ended May 2, 2014 and May 3, 2013</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40" w:type="dxa"/>
            <w:vAlign w:val="bottom"/>
            <w:gridSpan w:val="15"/>
            <w:shd w:val="clear" w:color="auto" w:fill="CCEEFF"/>
          </w:tcPr>
          <w:p>
            <w:pPr>
              <w:ind w:left="3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w:t>
            </w:r>
            <w:hyperlink w:anchor="page7">
              <w:r>
                <w:rPr>
                  <w:rFonts w:ascii="Times New Roman" w:cs="Times New Roman" w:eastAsia="Times New Roman" w:hAnsi="Times New Roman"/>
                  <w:sz w:val="18"/>
                  <w:szCs w:val="18"/>
                  <w:color w:val="0000EE"/>
                </w:rPr>
                <w:t>Notes to Condensed Consolidated Financial Statements</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660" w:type="dxa"/>
            <w:vAlign w:val="bottom"/>
            <w:tcBorders>
              <w:top w:val="single" w:sz="8" w:color="0000EE"/>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and Qualitative Disclosures About Market Risk</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7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Exhibits</w:t>
              </w:r>
            </w:hyperlink>
          </w:p>
        </w:tc>
        <w:tc>
          <w:tcPr>
            <w:tcW w:w="8900" w:type="dxa"/>
            <w:vAlign w:val="bottom"/>
            <w:tcBorders>
              <w:bottom w:val="single" w:sz="8" w:color="CCEEFF"/>
            </w:tcBorders>
            <w:gridSpan w:val="11"/>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b w:val="1"/>
                <w:bCs w:val="1"/>
                <w:color w:val="0000EE"/>
                <w:w w:val="97"/>
              </w:rPr>
            </w:pPr>
            <w:hyperlink w:anchor="page30">
              <w:r>
                <w:rPr>
                  <w:rFonts w:ascii="Times New Roman" w:cs="Times New Roman" w:eastAsia="Times New Roman" w:hAnsi="Times New Roman"/>
                  <w:sz w:val="18"/>
                  <w:szCs w:val="18"/>
                  <w:b w:val="1"/>
                  <w:bCs w:val="1"/>
                  <w:color w:val="0000EE"/>
                  <w:w w:val="97"/>
                </w:rPr>
                <w:t>SIGNATURES</w:t>
              </w:r>
            </w:hyperlink>
          </w:p>
        </w:tc>
        <w:tc>
          <w:tcPr>
            <w:tcW w:w="9480" w:type="dxa"/>
            <w:vAlign w:val="bottom"/>
            <w:tcBorders>
              <w:bottom w:val="single" w:sz="8" w:color="CCEEFF"/>
            </w:tcBorders>
            <w:gridSpan w:val="12"/>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60" w:type="dxa"/>
            <w:vAlign w:val="bottom"/>
            <w:gridSpan w:val="8"/>
          </w:tcPr>
          <w:p>
            <w:pPr>
              <w:jc w:val="center"/>
              <w:ind w:left="3853"/>
              <w:spacing w:after="0"/>
              <w:rPr>
                <w:sz w:val="20"/>
                <w:szCs w:val="20"/>
                <w:color w:val="auto"/>
              </w:rPr>
            </w:pPr>
            <w:r>
              <w:rPr>
                <w:rFonts w:ascii="Times New Roman" w:cs="Times New Roman" w:eastAsia="Times New Roman" w:hAnsi="Times New Roman"/>
                <w:sz w:val="14"/>
                <w:szCs w:val="14"/>
                <w:color w:val="auto"/>
                <w:w w:val="85"/>
              </w:rPr>
              <w:t>2</w:t>
            </w: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CRACKER BARREL OLD COUNTRY STORE, INC.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6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6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May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August 2,</w:t>
            </w:r>
          </w:p>
        </w:tc>
        <w:tc>
          <w:tcPr>
            <w:tcW w:w="0" w:type="dxa"/>
            <w:vAlign w:val="bottom"/>
          </w:tcPr>
          <w:p>
            <w:pPr>
              <w:spacing w:after="0"/>
              <w:rPr>
                <w:sz w:val="1"/>
                <w:szCs w:val="1"/>
                <w:color w:val="auto"/>
              </w:rPr>
            </w:pPr>
          </w:p>
        </w:tc>
      </w:tr>
      <w:tr>
        <w:trPr>
          <w:trHeight w:val="198"/>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86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88,239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held for sale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 of capital leases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1,034,834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1,368,535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71,971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311,995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of $.01 par value authorized; 300,000 shares designated as Series A Junior</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Participating Preferred Stock; no shares issued</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 400,000,000 shares of $.01 par value authorized; 23,820,500 shares issued and outstanding at May 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2014, and 23,795,327 shares issued and outstanding at August 2, 2013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453,944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484,026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1,368,535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82" w:lineRule="auto"/>
        <w:tabs>
          <w:tab w:leader="none" w:pos="1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Condensed Consolidated Balance Sheet has been derived from the audited Consolidated Balance Sheet as of August 2, 2013, as filed with the Securities and Exchange Commission in the Company’s Annual Report on Form 10-K for the fiscal year ended August 2, 2013.</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643,298</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640,407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1,990,930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650,451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241,864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718,466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374,501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35,981</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45,213</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44,172</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92,943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82,962</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23,820,309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23,760,589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23,816,841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23,978,474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24,006,821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23,958,058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23,913,226</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5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CRACKER BARREL OLD COUNTRY STORE, INC. CONDENSED CONSOLIDATED STATEMENTS OF COMPREHENSIVE INCOME </w:t>
      </w:r>
      <w:r>
        <w:rPr>
          <w:rFonts w:ascii="Times New Roman" w:cs="Times New Roman" w:eastAsia="Times New Roman" w:hAnsi="Times New Roman"/>
          <w:sz w:val="18"/>
          <w:szCs w:val="18"/>
          <w:color w:val="auto"/>
        </w:rPr>
        <w:t>(Unaudited and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28,728</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92,943</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income tax expense: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(Unaudited and in thousands)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long-term assets and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insurance recoveries of property and equipment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payments under long-term debt and other long-term obligations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proceeds from issuance of share-based compensation awards,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151,962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10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35,659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 accrued in accounts payable</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for interest rate swaps</w:t>
            </w: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100" w:type="dxa"/>
            <w:vAlign w:val="bottom"/>
          </w:tcPr>
          <w:p>
            <w:pPr>
              <w:spacing w:after="0"/>
              <w:rPr>
                <w:sz w:val="18"/>
                <w:szCs w:val="18"/>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(In thousands, except percentages, share and per share data) (Unaudited)</w:t>
      </w:r>
    </w:p>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sheets at May 2, 2014 and August 2, 2013 and the related condensed consolidated statements of income, comprehensive income and cash flows for the quarters and nine months ended May 2, 2014 and May 3, 2013, respectively,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contained in the Company's Annual Report on Form 10-K for the year ended August 2, 2013 (the “2013 Form 10-K”). The accounting policies used in preparing these condensed consolidated financial statements are the same as described in the 2013 Form 10-K. References to a year in these Notes to Condensed Consolidated Financial Statements are to the Company’s fiscal year unless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Disclosures about Offsetting Assets and Liabilities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2011, the Financial Accounting Standards Board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is required to provide both net and gross information in the notes to its financial statements for relevant assets and liabilities that are eligible for offset. In January 2013, the FASB issued additional accounting guidance which limits these disclosures to derivatives, repurchase agreements and securities lending transactions to the extent that they are offset in the financial statements or subject to an enforceable master netting arrangement or similar agreement. These disclosure requirements are effective for fiscal years beginning on or after January 1, 2013 on a retrospective basis. The adoption of these disclosure requirements in the first quarter of 2014 did not have a significant impact on the Company’s consolidated financial position or results of operations.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Reporting of Amounts Reclassified Out of Accumulated Other Comprehensive Income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2013, the FASB issued accounting guidance which requires companies to provide information regarding the amounts reclassified out of accumulated other comprehensive income by component. A company is required to present, either on the face of the statement where net income is presented or in the notes, significant amounts reclassified out of accumulated other comprehensive income by the respective line items of net income but only if the amount reclassified is required by GAAP to be reclassified to net income in its entirety in the same reporting period. For other amounts that are not required under GAAP to be reclassified in their entirety to net income, a company is required to cross-reference to other disclosures required under GAAP that provide additional detail regarding those amounts. This accounting guidance is effective for fiscal years beginning after December 15, 2012 on a prospective basis. Since the guidance only affects presentation and disclosure of amounts reclassified out of accumulated other comprehensive income, the adoption of this guidance in the first quarter of 2014 did not have a significant impact on the Company’s consolidated financial position or results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Adopted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Reporting Discontinued Operations and Disclosures of Disposals of Components of an Entity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2014, the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Company is currently evaluating the impact of adopting this accounting guidance, but it is not expected to have a significant impact on the Company’s consolidated financial position or results of operations upon adoption in the first quarter of 2016.</w:t>
      </w:r>
    </w:p>
    <w:p>
      <w:pPr>
        <w:spacing w:after="0" w:line="20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assets and liabilities measured at fair value on a recurring basis at May 2, 2014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Identical Assets</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Inputs (Level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36,625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August 2, 2013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Observable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Identical Assets</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Inputs (Level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83,913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11,644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*Consists of money market fund investments.</w:t>
      </w:r>
    </w:p>
    <w:p>
      <w:pPr>
        <w:spacing w:after="0" w:line="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**Represents plan assets invested in mutual funds established under a Rabbi Trust for the Company’s non-qualified savings plan and is included in the Consolidated Balance Sheets as other assets.</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May 2, 2014 and August 2, 2013.</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were comprised of the following at: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May 2, 2014</w:t>
            </w:r>
          </w:p>
        </w:tc>
        <w:tc>
          <w:tcPr>
            <w:tcW w:w="6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August 2, 2013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147,378</w:t>
            </w:r>
          </w:p>
        </w:tc>
        <w:tc>
          <w:tcPr>
            <w:tcW w:w="140" w:type="dxa"/>
            <w:vAlign w:val="bottom"/>
          </w:tcPr>
          <w:p>
            <w:pPr>
              <w:spacing w:after="0"/>
              <w:rPr>
                <w:sz w:val="18"/>
                <w:szCs w:val="18"/>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7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60" w:type="dxa"/>
            <w:vAlign w:val="bottom"/>
            <w:vMerge w:val="continue"/>
          </w:tcPr>
          <w:p>
            <w:pPr>
              <w:spacing w:after="0"/>
              <w:rPr>
                <w:sz w:val="24"/>
                <w:szCs w:val="24"/>
                <w:color w:val="auto"/>
              </w:rPr>
            </w:pPr>
          </w:p>
        </w:tc>
        <w:tc>
          <w:tcPr>
            <w:tcW w:w="7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 w:type="dxa"/>
            <w:vAlign w:val="bottom"/>
          </w:tcPr>
          <w:p>
            <w:pPr>
              <w:spacing w:after="0"/>
              <w:rPr>
                <w:sz w:val="24"/>
                <w:szCs w:val="24"/>
                <w:color w:val="auto"/>
              </w:rPr>
            </w:pPr>
          </w:p>
        </w:tc>
        <w:tc>
          <w:tcPr>
            <w:tcW w:w="760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consisted of the following at:</w:t>
            </w:r>
          </w:p>
        </w:tc>
        <w:tc>
          <w:tcPr>
            <w:tcW w:w="100" w:type="dxa"/>
            <w:vAlign w:val="bottom"/>
          </w:tcPr>
          <w:p>
            <w:pPr>
              <w:spacing w:after="0"/>
              <w:rPr>
                <w:sz w:val="24"/>
                <w:szCs w:val="24"/>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w w:val="98"/>
              </w:rPr>
              <w:t>May 2, 2014</w:t>
            </w:r>
          </w:p>
        </w:tc>
        <w:tc>
          <w:tcPr>
            <w:tcW w:w="60" w:type="dxa"/>
            <w:vAlign w:val="bottom"/>
          </w:tcPr>
          <w:p>
            <w:pPr>
              <w:spacing w:after="0"/>
              <w:rPr>
                <w:sz w:val="24"/>
                <w:szCs w:val="24"/>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August 2, 2013</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expiring on July 8,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payable on or before July 8, 2016</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maturities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(18,750)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381,250</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$750,000 credit facility (the “Credit Facility”) consists of a term loan and a $500,000 revolving credit facility (the “Revolving Credit Facility”). At May 2, 2014, the Company had $212,500 of outstanding borrowings under the Revolving Credit Facility and $20,637 of standby letters of credit, which reduce the Company’s borrowing availability under the Revolving Credit Facility (see Note 11). At May 2, 2014, the Company had $266,863 in borrowing availability under the Revolving Credit Facility.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Credit Facility, outstanding borrowings bear interest, at the Company’s election, either at LIBOR or prime plus a percentage point spread based on certain specified financial ratios under the Credit Facility. As of May 2, 2014, the Company’s outstanding borrowings were swapped at a weighted average interest rate of 3.73% (see Note 5 for information on the Company’s interest rate swaps).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Credit Facility contains customary financial covenants, which include maintenance of a maximum consolidated total leverage ratio and a minimum consolidated interest coverage ratio. At May 2, 2014, the Company was in compliance with all debt covenants.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Facility also imposes restrictions on the amount of dividends the Company is permitted to pay and the amount of shares the Company is permitted to repurchase. Provided there is no default existing and the total of the Company’s availability under the Revolving Credit Facility plus the Company’s cash and cash equivalents on hand is at least $100,000 (the “liquidity requirements”), the Company may declare and pay cash dividends on shares of its common stock and repurchase shares of its common stock if the aggregate amount of dividends paid and shares repurchased in any fiscal year is less than the sum of (1) 20% of Consolidated EBITDA from continuing operations (as defined in the Credit Facility) (the “20% limitation”) during the immediately preceding fiscal year and (2) provided the Company’s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8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weighted average credit spread at May 2, 2014 was 1.50%. All of the Company’s interest rate swaps are accounted for as cash flow hedges.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interest rate swaps at May 2, 2014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color w:val="auto"/>
              </w:rPr>
              <w:t>Trade Date</w:t>
            </w:r>
          </w:p>
        </w:tc>
        <w:tc>
          <w:tcPr>
            <w:tcW w:w="100" w:type="dxa"/>
            <w:vAlign w:val="bottom"/>
          </w:tcPr>
          <w:p>
            <w:pPr>
              <w:spacing w:after="0"/>
              <w:rPr>
                <w:sz w:val="18"/>
                <w:szCs w:val="18"/>
                <w:color w:val="auto"/>
              </w:rPr>
            </w:pPr>
          </w:p>
        </w:tc>
        <w:tc>
          <w:tcPr>
            <w:tcW w:w="296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Effective Date</w:t>
            </w:r>
          </w:p>
        </w:tc>
        <w:tc>
          <w:tcPr>
            <w:tcW w:w="100" w:type="dxa"/>
            <w:vAlign w:val="bottom"/>
          </w:tcPr>
          <w:p>
            <w:pPr>
              <w:spacing w:after="0"/>
              <w:rPr>
                <w:sz w:val="18"/>
                <w:szCs w:val="18"/>
                <w:color w:val="auto"/>
              </w:rPr>
            </w:pP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Term</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Notional</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(in Years)</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Fixed Rate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10, 2010</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w w:val="96"/>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July 25, 2011</w:t>
            </w:r>
          </w:p>
        </w:tc>
        <w:tc>
          <w:tcPr>
            <w:tcW w:w="306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2011</w:t>
            </w:r>
          </w:p>
        </w:tc>
        <w:tc>
          <w:tcPr>
            <w:tcW w:w="3060" w:type="dxa"/>
            <w:vAlign w:val="bottom"/>
            <w:gridSpan w:val="2"/>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September 19, 2011</w:t>
            </w:r>
          </w:p>
        </w:tc>
        <w:tc>
          <w:tcPr>
            <w:tcW w:w="306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19, 2011</w:t>
            </w:r>
          </w:p>
        </w:tc>
        <w:tc>
          <w:tcPr>
            <w:tcW w:w="3060" w:type="dxa"/>
            <w:vAlign w:val="bottom"/>
            <w:gridSpan w:val="2"/>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December 7, 2011</w:t>
            </w:r>
          </w:p>
        </w:tc>
        <w:tc>
          <w:tcPr>
            <w:tcW w:w="306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May 3, 2013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18, 2013</w:t>
            </w:r>
          </w:p>
        </w:tc>
        <w:tc>
          <w:tcPr>
            <w:tcW w:w="3060" w:type="dxa"/>
            <w:vAlign w:val="bottom"/>
            <w:gridSpan w:val="2"/>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April 8, 2013</w:t>
            </w:r>
          </w:p>
        </w:tc>
        <w:tc>
          <w:tcPr>
            <w:tcW w:w="306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2013</w:t>
            </w:r>
          </w:p>
        </w:tc>
        <w:tc>
          <w:tcPr>
            <w:tcW w:w="3060" w:type="dxa"/>
            <w:vAlign w:val="bottom"/>
            <w:gridSpan w:val="2"/>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April 22, 2013</w:t>
            </w:r>
          </w:p>
        </w:tc>
        <w:tc>
          <w:tcPr>
            <w:tcW w:w="306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2013</w:t>
            </w:r>
          </w:p>
        </w:tc>
        <w:tc>
          <w:tcPr>
            <w:tcW w:w="3060" w:type="dxa"/>
            <w:vAlign w:val="bottom"/>
            <w:gridSpan w:val="2"/>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rPr>
              <w:t>May 3, 2015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94"/>
        <w:spacing w:after="0" w:line="282" w:lineRule="auto"/>
        <w:rPr>
          <w:sz w:val="20"/>
          <w:szCs w:val="20"/>
          <w:color w:val="auto"/>
        </w:rPr>
      </w:pPr>
      <w:r>
        <w:rPr>
          <w:rFonts w:ascii="Times New Roman" w:cs="Times New Roman" w:eastAsia="Times New Roman" w:hAnsi="Times New Roman"/>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derivative instruments as of May 2, 2014 and August 2, 2013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(See Note 2)</w:t>
            </w:r>
          </w:p>
        </w:tc>
        <w:tc>
          <w:tcPr>
            <w:tcW w:w="120" w:type="dxa"/>
            <w:vAlign w:val="bottom"/>
          </w:tcPr>
          <w:p>
            <w:pPr>
              <w:spacing w:after="0"/>
              <w:rPr>
                <w:sz w:val="20"/>
                <w:szCs w:val="20"/>
                <w:color w:val="auto"/>
              </w:rPr>
            </w:pPr>
          </w:p>
        </w:tc>
        <w:tc>
          <w:tcPr>
            <w:tcW w:w="41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Balance Sheet Location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May 2, 2014</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2, 2013</w:t>
            </w:r>
          </w:p>
        </w:tc>
      </w:tr>
      <w:tr>
        <w:trPr>
          <w:trHeight w:val="34"/>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8"/>
                <w:szCs w:val="18"/>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7,908</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11,644</w:t>
            </w:r>
          </w:p>
        </w:tc>
      </w:tr>
    </w:tbl>
    <w:p>
      <w:pPr>
        <w:spacing w:after="0" w:line="2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assets in the Condensed Consolidated Balance Sheets at May 2, 2014 and August 2,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Net Asset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Gross Asset Amounts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Liability Amount Offset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in the Balance Sheets</w:t>
            </w:r>
          </w:p>
        </w:tc>
        <w:tc>
          <w:tcPr>
            <w:tcW w:w="100" w:type="dxa"/>
            <w:vAlign w:val="bottom"/>
          </w:tcPr>
          <w:p>
            <w:pPr>
              <w:spacing w:after="0"/>
              <w:rPr>
                <w:sz w:val="20"/>
                <w:szCs w:val="20"/>
                <w:color w:val="auto"/>
              </w:rPr>
            </w:pP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91"/>
              <w:spacing w:after="0" w:line="198" w:lineRule="exact"/>
              <w:rPr>
                <w:sz w:val="20"/>
                <w:szCs w:val="20"/>
                <w:color w:val="auto"/>
              </w:rPr>
            </w:pPr>
            <w:r>
              <w:rPr>
                <w:rFonts w:ascii="Times New Roman" w:cs="Times New Roman" w:eastAsia="Times New Roman" w:hAnsi="Times New Roman"/>
                <w:sz w:val="18"/>
                <w:szCs w:val="18"/>
                <w:color w:val="auto"/>
                <w:w w:val="97"/>
              </w:rPr>
              <w:t>May 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August 2,</w:t>
            </w:r>
          </w:p>
        </w:tc>
        <w:tc>
          <w:tcPr>
            <w:tcW w:w="200" w:type="dxa"/>
            <w:vAlign w:val="bottom"/>
          </w:tcPr>
          <w:p>
            <w:pPr>
              <w:spacing w:after="0"/>
              <w:rPr>
                <w:sz w:val="17"/>
                <w:szCs w:val="17"/>
                <w:color w:val="auto"/>
              </w:rPr>
            </w:pPr>
          </w:p>
        </w:tc>
        <w:tc>
          <w:tcPr>
            <w:tcW w:w="11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6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August 2,</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7"/>
              </w:rPr>
              <w:t>May 2,</w:t>
            </w:r>
          </w:p>
        </w:tc>
        <w:tc>
          <w:tcPr>
            <w:tcW w:w="160" w:type="dxa"/>
            <w:vAlign w:val="bottom"/>
          </w:tcPr>
          <w:p>
            <w:pPr>
              <w:spacing w:after="0"/>
              <w:rPr>
                <w:sz w:val="17"/>
                <w:szCs w:val="17"/>
                <w:color w:val="auto"/>
              </w:rPr>
            </w:pPr>
          </w:p>
        </w:tc>
        <w:tc>
          <w:tcPr>
            <w:tcW w:w="9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2,</w:t>
            </w:r>
          </w:p>
        </w:tc>
        <w:tc>
          <w:tcPr>
            <w:tcW w:w="100" w:type="dxa"/>
            <w:vAlign w:val="bottom"/>
          </w:tcPr>
          <w:p>
            <w:pPr>
              <w:spacing w:after="0"/>
              <w:rPr>
                <w:sz w:val="17"/>
                <w:szCs w:val="17"/>
                <w:color w:val="auto"/>
              </w:rPr>
            </w:pPr>
          </w:p>
        </w:tc>
      </w:tr>
      <w:tr>
        <w:trPr>
          <w:trHeight w:val="26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2014</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3"/>
                <w:szCs w:val="23"/>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liabilities in the Condensed Consolidated Balance Sheets at May 2, 2014 and August 2,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Net Liability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Gross Liability Amounts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Asset Amount Offset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 the Balance Sheets</w:t>
            </w:r>
          </w:p>
        </w:tc>
        <w:tc>
          <w:tcPr>
            <w:tcW w:w="60" w:type="dxa"/>
            <w:vAlign w:val="bottom"/>
          </w:tcPr>
          <w:p>
            <w:pPr>
              <w:spacing w:after="0"/>
              <w:rPr>
                <w:sz w:val="20"/>
                <w:szCs w:val="20"/>
                <w:color w:val="auto"/>
              </w:rPr>
            </w:pP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August 2,</w:t>
            </w:r>
          </w:p>
        </w:tc>
        <w:tc>
          <w:tcPr>
            <w:tcW w:w="200" w:type="dxa"/>
            <w:vAlign w:val="bottom"/>
          </w:tcPr>
          <w:p>
            <w:pPr>
              <w:spacing w:after="0"/>
              <w:rPr>
                <w:sz w:val="17"/>
                <w:szCs w:val="17"/>
                <w:color w:val="auto"/>
              </w:rPr>
            </w:pPr>
          </w:p>
        </w:tc>
        <w:tc>
          <w:tcPr>
            <w:tcW w:w="116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7"/>
              </w:rPr>
              <w:t>May 2,</w:t>
            </w:r>
          </w:p>
        </w:tc>
        <w:tc>
          <w:tcPr>
            <w:tcW w:w="14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August 2,</w:t>
            </w: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7"/>
              </w:rPr>
              <w:t>May 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August 2,</w:t>
            </w:r>
          </w:p>
        </w:tc>
        <w:tc>
          <w:tcPr>
            <w:tcW w:w="60" w:type="dxa"/>
            <w:vAlign w:val="bottom"/>
          </w:tcPr>
          <w:p>
            <w:pPr>
              <w:spacing w:after="0"/>
              <w:rPr>
                <w:sz w:val="17"/>
                <w:szCs w:val="17"/>
                <w:color w:val="auto"/>
              </w:rPr>
            </w:pPr>
          </w:p>
        </w:tc>
      </w:tr>
      <w:tr>
        <w:trPr>
          <w:trHeight w:val="26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2)</w:t>
            </w:r>
          </w:p>
        </w:tc>
        <w:tc>
          <w:tcPr>
            <w:tcW w:w="200" w:type="dxa"/>
            <w:vAlign w:val="bottom"/>
          </w:tcPr>
          <w:p>
            <w:pPr>
              <w:spacing w:after="0"/>
              <w:rPr>
                <w:sz w:val="23"/>
                <w:szCs w:val="23"/>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Pr>
          <w:p>
            <w:pPr>
              <w:spacing w:after="0"/>
              <w:rPr>
                <w:sz w:val="23"/>
                <w:szCs w:val="23"/>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60" w:type="dxa"/>
            <w:vAlign w:val="bottom"/>
            <w:tcBorders>
              <w:bottom w:val="single" w:sz="8" w:color="CCEEFF"/>
            </w:tcBorders>
            <w:shd w:val="clear" w:color="auto" w:fill="CCEEFF"/>
          </w:tcPr>
          <w:p>
            <w:pPr>
              <w:spacing w:after="0"/>
              <w:rPr>
                <w:sz w:val="22"/>
                <w:szCs w:val="22"/>
                <w:color w:val="auto"/>
              </w:rPr>
            </w:pPr>
          </w:p>
        </w:tc>
      </w:tr>
      <w:tr>
        <w:trPr>
          <w:trHeight w:val="59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
        </w:trPr>
        <w:tc>
          <w:tcPr>
            <w:tcW w:w="3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 of the Company’s interest rate swap assets and liabilities incorporate the Company’s non-performance risk (see Note 2). The adjustment related to the Company’s non-performance risk at May 2, 2014 and August 2, 2013 resulted in reductions of $21 and $123,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May 2, 2014, the estimated pre-tax portion of AOCL that is expected to be reclassified into earnings over the next twelve months is $6,109. Cash flows related to the interest rate swap are included in interest expense and in operating activities.</w:t>
      </w:r>
    </w:p>
    <w:p>
      <w:pPr>
        <w:spacing w:after="0" w:line="21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AOCL for the nine months ended May 2, 2014 and the year ended August 2, 2013:</w:t>
      </w:r>
    </w:p>
    <w:p>
      <w:pPr>
        <w:spacing w:after="0" w:line="16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Amount of Income Recognized in</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AOCL on Derivatives (Effective</w:t>
      </w:r>
    </w:p>
    <w:p>
      <w:pPr>
        <w:spacing w:after="0" w:line="9"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1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Year Ended</w:t>
            </w:r>
          </w:p>
        </w:tc>
        <w:tc>
          <w:tcPr>
            <w:tcW w:w="100" w:type="dxa"/>
            <w:vAlign w:val="bottom"/>
          </w:tcPr>
          <w:p>
            <w:pPr>
              <w:spacing w:after="0"/>
              <w:rPr>
                <w:sz w:val="20"/>
                <w:szCs w:val="20"/>
                <w:color w:val="auto"/>
              </w:rPr>
            </w:pPr>
          </w:p>
        </w:tc>
      </w:tr>
      <w:tr>
        <w:trPr>
          <w:trHeight w:val="223"/>
        </w:trPr>
        <w:tc>
          <w:tcPr>
            <w:tcW w:w="8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May 2, 2014</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August 2, 2013</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23,620</w:t>
            </w:r>
          </w:p>
        </w:tc>
      </w:tr>
      <w:tr>
        <w:trPr>
          <w:trHeight w:val="20"/>
        </w:trPr>
        <w:tc>
          <w:tcPr>
            <w:tcW w:w="8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income for the quarters and nine-month periods ended May 2, 2014 and May 3,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Reclassified from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3"/>
          </w:tcPr>
          <w:p>
            <w:pPr>
              <w:jc w:val="center"/>
              <w:ind w:right="320"/>
              <w:spacing w:after="0"/>
              <w:rPr>
                <w:sz w:val="20"/>
                <w:szCs w:val="20"/>
                <w:color w:val="auto"/>
              </w:rPr>
            </w:pPr>
            <w:r>
              <w:rPr>
                <w:rFonts w:ascii="Times New Roman" w:cs="Times New Roman" w:eastAsia="Times New Roman" w:hAnsi="Times New Roman"/>
                <w:sz w:val="18"/>
                <w:szCs w:val="18"/>
                <w:color w:val="auto"/>
              </w:rPr>
              <w:t>Amount of Loss Reclassified from AOCL into Income</w:t>
            </w:r>
          </w:p>
        </w:tc>
      </w:tr>
      <w:tr>
        <w:trPr>
          <w:trHeight w:val="234"/>
        </w:trPr>
        <w:tc>
          <w:tcPr>
            <w:tcW w:w="298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(Effective Portion)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
        </w:trPr>
        <w:tc>
          <w:tcPr>
            <w:tcW w:w="29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19"/>
                <w:szCs w:val="19"/>
                <w:color w:val="auto"/>
              </w:rPr>
            </w:pPr>
          </w:p>
        </w:tc>
        <w:tc>
          <w:tcPr>
            <w:tcW w:w="230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9"/>
                <w:szCs w:val="19"/>
                <w:color w:val="auto"/>
              </w:rPr>
            </w:pPr>
          </w:p>
        </w:tc>
      </w:tr>
      <w:tr>
        <w:trPr>
          <w:trHeight w:val="198"/>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7"/>
              </w:rPr>
              <w:t>May 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7"/>
              </w:rPr>
              <w:t>May 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r>
      <w:tr>
        <w:trPr>
          <w:trHeight w:val="241"/>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2,007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13,743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20,773</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portion of the fair value of the swaps determined to be ineffective will be recognized currently in earnings. No ineffectiveness has been recorded in the nine-month periods ended May 2, 2014 and May 3, 2013.</w:t>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May 2, 2014, the Company issued 145,173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$8,430. During the nine months ended May 2, 2014, the Company repurchased 120,000 shares of its common stock in the open market at an aggregate cost of $12,473.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2, 2014, total share-based compensation expense was $6,132. The excess tax benefit realized upon exercise of share-based compensation awards was $612.</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May 2, 2014, the Company paid dividends of $2.25 per share of its common stock. During the third quarter of 2014, the Company declared a regular dividend of $0.75 per share of its common stock that was paid on May 5, 2014 to shareholders of record on April 18, 2014. Additionally, during the third quarter of 2014, the Company declared a regular dividend of $1.00 per share of its common stock payable on August 5, 2014 to shareholders of record on July 18, 2014.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AOCL, net of tax, related to the Company’s interest rate swaps for the nine months ended May 2, 2014 (see Notes 2 and 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AOCL</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August 2, 2013</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(3,707)</w:t>
            </w:r>
          </w:p>
        </w:tc>
      </w:tr>
      <w:tr>
        <w:trPr>
          <w:trHeight w:val="223"/>
        </w:trPr>
        <w:tc>
          <w:tcPr>
            <w:tcW w:w="20" w:type="dxa"/>
            <w:vAlign w:val="bottom"/>
          </w:tcPr>
          <w:p>
            <w:pPr>
              <w:spacing w:after="0"/>
              <w:rPr>
                <w:sz w:val="19"/>
                <w:szCs w:val="19"/>
                <w:color w:val="auto"/>
              </w:rPr>
            </w:pPr>
          </w:p>
        </w:tc>
        <w:tc>
          <w:tcPr>
            <w:tcW w:w="9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balance at May 2, 2014</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reclassified out of AOCL related to the Company’s interest rate swaps for the quarter and nine-month period ended May 2,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color w:val="auto"/>
              </w:rPr>
              <w:t>Amount Reclassified from AOCL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Affected Line Item in the</w:t>
            </w:r>
          </w:p>
        </w:tc>
      </w:tr>
      <w:tr>
        <w:trPr>
          <w:trHeight w:val="250"/>
        </w:trPr>
        <w:tc>
          <w:tcPr>
            <w:tcW w:w="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Quarter Ended</w:t>
            </w:r>
          </w:p>
        </w:tc>
        <w:tc>
          <w:tcPr>
            <w:tcW w:w="15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7"/>
              </w:rPr>
              <w:t>Nine Months Ended</w:t>
            </w:r>
          </w:p>
        </w:tc>
        <w:tc>
          <w:tcPr>
            <w:tcW w:w="10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Condensed Consolidated</w:t>
            </w:r>
          </w:p>
        </w:tc>
      </w:tr>
      <w:tr>
        <w:trPr>
          <w:trHeight w:val="250"/>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Details about AOCL</w:t>
            </w: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May 2, 2014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May 2, 2014</w:t>
            </w:r>
          </w:p>
        </w:tc>
        <w:tc>
          <w:tcPr>
            <w:tcW w:w="10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Statement of Income</w:t>
            </w: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on cash flow hedges: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(6,033)</w:t>
            </w: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2,326</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57"/>
        </w:trPr>
        <w:tc>
          <w:tcPr>
            <w:tcW w:w="20" w:type="dxa"/>
            <w:vAlign w:val="bottom"/>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r>
    </w:tbl>
    <w:p>
      <w:pPr>
        <w:spacing w:after="0" w:line="22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1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at: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3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r>
      <w:tr>
        <w:trPr>
          <w:trHeight w:val="241"/>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8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523,557</w:t>
            </w:r>
          </w:p>
        </w:tc>
        <w:tc>
          <w:tcPr>
            <w:tcW w:w="4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522,642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1,573,895</w:t>
            </w:r>
          </w:p>
        </w:tc>
        <w:tc>
          <w:tcPr>
            <w:tcW w:w="3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1,555,111</w:t>
            </w: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117,765</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417,035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415,418</w:t>
            </w:r>
          </w:p>
        </w:tc>
      </w:tr>
      <w:tr>
        <w:trPr>
          <w:trHeight w:val="257"/>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3400" w:type="dxa"/>
            <w:vAlign w:val="bottom"/>
          </w:tcPr>
          <w:p>
            <w:pPr>
              <w:spacing w:after="0"/>
              <w:rPr>
                <w:sz w:val="24"/>
                <w:szCs w:val="24"/>
                <w:color w:val="auto"/>
              </w:rPr>
            </w:pPr>
          </w:p>
        </w:tc>
        <w:tc>
          <w:tcPr>
            <w:tcW w:w="268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4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is recorded in general and administrative expenses in the accompanying Condensed 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was comprised of the following at: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market stock units (“MSU Grants”)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6,132</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10,996</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outstanding stock options, nonvested stock awards and MSU Grants issued by the Company represent the only dilutive effects on diluted consolidated net income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components of diluted earnings per share computations: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numerator</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denominator: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23,820,309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23,760,589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23,816,841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23,683,133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potential dilution: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options, nonvested stock awards and MSU Grants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246,232</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141,217</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23,978,474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24,006,821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23,958,058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23,913,226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2014, the Company was served with a claim filed as a collective action alleging violations of the Fair Labor Standards Act. The Company believes this claim is without merit and intends to vigorously defend this lawsuit. This claim was recently served on the Company and the proceedings remain in the early stages. At this time, the Company cannot reasonably estimate the likely results of the lawsuit or the economic effects of the litigation on the Company, though an adverse outcome could be material to the Company’s results of operations or financial position. See “Item 1. Legal Proceedings” of Part II of this Quarterly Report on Form 10-Q for further information related to this claim.</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Related to its workers’ compensation insurance coverage, the Company is contingently liable pursuant to standby letters of credit as credit guarantees to certain insurers. As of May 2, 2014, the Company had $20,637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May 2, 2014,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Condensed Consolidated Balance Sheets for amounts to be paid in case of non-performance by the primary obligors under such lease arrangements.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indemnification agreements in favor of third parties in the ordinary course of business. At May 2, 2014, the Company recorded a liability of $313 in the Condensed Consolidated Balance Sheet related to legal costs. The Company believes that the probability of incurring an actual liability under other indemnification agreements is sufficiently remote so that no additional liability has been recorded in the Condensed Consolidated Balance Sheets.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May 2, 2014, we operated 627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2, 2013 (the “2013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2013 Form 10-K, which is incorporated herein by this reference, as well as the factors described under “Critical Accounting Estimates” on pages 23-27 of this report or, from time to time, in our filings with the Securities and Exchange Commission (“SEC”), press releases and other communications.</w:t>
      </w:r>
    </w:p>
    <w:p>
      <w:pPr>
        <w:spacing w:after="0" w:line="2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Cracker Barrel brand remains one of the strongest and most differentiated brands in the restaurant industry, and we plan to continue to leverage that strength in 2014 to grow guest sales and profits. Our long-term strategy includes the following:</w:t>
      </w:r>
    </w:p>
    <w:p>
      <w:pPr>
        <w:spacing w:after="0" w:line="189"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footprint through continued use of our proven site selection tools, introducing a new and more efficient building and equipment prototype and the selective entry into new markets.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priorities for 2014 are to: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our menu, continuing to incorporate better-for-you menu additions and reinforce everyday value;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messaging in support of the brand, menu and merchandise;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retail sales with improved quality and breadth of our merchandise assortment;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technology and process enhancements to improve the employee experience, the guest experience and operating margins;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focus on increasing total shareholder returns.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maintained our focus on the execution of these priorities. In the third quarter of 2014, we introduced several new promotional menu items and continued developing messaging and technology infrastructure to support the brand through digital channels. We also outperformed traffic and sales of our peers in the Knapp-Track™ Casual Dining Index for the tenth consecutive quarter. This outperformance was achieved against the backdrop of a challenging consumer environment, increasingly promotional competitors and severe winter weather, all of which we believe negatively impacted our store traffic and sales. Despite these challenges, we were able to improve our operating margins. Additionally, during the third quarter of 2014, our Board approved a quarterly dividend increase of 33% to $1.00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operating results by percentage relationships to total revenue for the quarter and nine-month period ended May 2, 2014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Quarter Ended</w:t>
            </w:r>
          </w:p>
        </w:tc>
        <w:tc>
          <w:tcPr>
            <w:tcW w:w="27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120" w:type="dxa"/>
            <w:vAlign w:val="bottom"/>
            <w:tcBorders>
              <w:top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1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37.8</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16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stores in operation at the beginning and end of the quarters and nine-month periods ended May 2, 2014 and May 3, 2013, respectively:</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2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Quarter Ended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840" w:type="dxa"/>
            <w:vAlign w:val="bottom"/>
            <w:tcBorders>
              <w:top w:val="single" w:sz="8" w:color="auto"/>
            </w:tcBorders>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7"/>
              </w:rPr>
              <w:t>May 2,</w:t>
            </w: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7"/>
              </w:rPr>
              <w:t>May 3,</w:t>
            </w: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54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16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00" w:type="dxa"/>
            <w:vAlign w:val="bottom"/>
          </w:tcPr>
          <w:p>
            <w:pPr>
              <w:spacing w:after="0"/>
              <w:rPr>
                <w:sz w:val="17"/>
                <w:szCs w:val="17"/>
                <w:color w:val="auto"/>
              </w:rPr>
            </w:pPr>
          </w:p>
        </w:tc>
      </w:tr>
      <w:tr>
        <w:trPr>
          <w:trHeight w:val="241"/>
        </w:trPr>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beginning of period</w:t>
            </w: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Opened during period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at the end of period</w:t>
            </w: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 for the third quarter of 2014 increased 0.5% compared to the third quarter of 2013. Total revenue for the first nine months of 2014 increased 1.0% compared to the first nine months of 2013.</w:t>
      </w:r>
    </w:p>
    <w:p>
      <w:pPr>
        <w:spacing w:after="0" w:line="189" w:lineRule="exact"/>
        <w:rPr>
          <w:sz w:val="20"/>
          <w:szCs w:val="20"/>
          <w:color w:val="auto"/>
        </w:rPr>
      </w:pPr>
    </w:p>
    <w:p>
      <w:pPr>
        <w:jc w:val="both"/>
        <w:ind w:firstLine="661"/>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key components of revenue for the quarter and nine-month period ended May 2, 2014 as compared to the quarter and nine-month period ended May 3,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Quarter Ended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in dollars: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523,557</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522,642</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1,573,895</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1,555,111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117,765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417,035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415,418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643,298</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1,990,930</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1,970,529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by percentage relationships: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Average unit volumes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28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2,517.9</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80" w:type="dxa"/>
            <w:vAlign w:val="bottom"/>
          </w:tcPr>
          <w:p>
            <w:pPr>
              <w:spacing w:after="0"/>
              <w:rPr>
                <w:sz w:val="18"/>
                <w:szCs w:val="18"/>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1,030.2</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3,185.1</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(decrease) increase: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Restaurant</w:t>
            </w: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Restaurant and retail</w:t>
            </w: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Average unit volumes include sales of all stores.</w:t>
      </w:r>
    </w:p>
    <w:p>
      <w:pPr>
        <w:spacing w:after="0" w:line="1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third quarter of 2014, our comparable store restaurant sales decrease consisted of a 2.9% guest traffic decrease partially offset by a 2.3% average check increase for the quarter (including a 1.8% average menu price increase). For the third quarter, our comparable store retail sales increase resulted primarily from strong performance in certain retail merchandise categories partially offset by the decrease in guest traffic. We believe that a continued challenging consumer environment, winter weather and an increasingly promotional competitive landscape reduced our guest traffic and comparable restaurant and retail sales during the third quarter of 2014.</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first nine months of 2014, our comparable store restaurant sales increase consisted of a 2.5% average check increase for the nine months (including a 2.0% average menu price increase) partially offset by a 2.0% guest traffic decrease. For the first nine months of 2014, our comparable store retail sales decrease resulted primarily from the decrease in guest traffic. We believe that the severe winter weather in the second and third quarters of 2014, the continued challenging consumer environment and an increasingly promotional competitive landscape reduced our guest traffic and comparable store restaurant and retail sales during the first nine months of 2014.</w:t>
      </w:r>
    </w:p>
    <w:p>
      <w:pPr>
        <w:spacing w:after="0" w:line="21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Restaurant and retail sales from newly opened stores accounted for the balance of the total revenue increases in the third quarter and first nine months of 2014 as compared to the same periods in the prior year.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29" w:lineRule="exact"/>
        <w:rPr>
          <w:sz w:val="20"/>
          <w:szCs w:val="20"/>
          <w:color w:val="auto"/>
        </w:rPr>
      </w:pPr>
    </w:p>
    <w:p>
      <w:pPr>
        <w:ind w:firstLine="66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components of cost of goods sold in dollar amounts and percentages for the third quarter and first nine months of 2014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25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8"/>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May 2,</w:t>
            </w: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May 3,</w:t>
            </w:r>
          </w:p>
        </w:tc>
        <w:tc>
          <w:tcPr>
            <w:tcW w:w="160" w:type="dxa"/>
            <w:vAlign w:val="bottom"/>
          </w:tcPr>
          <w:p>
            <w:pPr>
              <w:spacing w:after="0"/>
              <w:rPr>
                <w:sz w:val="17"/>
                <w:szCs w:val="17"/>
                <w:color w:val="auto"/>
              </w:rPr>
            </w:pPr>
          </w:p>
        </w:tc>
      </w:tr>
      <w:tr>
        <w:trPr>
          <w:trHeight w:val="241"/>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 dollars: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2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432,735</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423,138</w:t>
            </w:r>
          </w:p>
        </w:tc>
      </w:tr>
      <w:tr>
        <w:trPr>
          <w:trHeight w:val="22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60,365</w:t>
            </w:r>
          </w:p>
        </w:tc>
        <w:tc>
          <w:tcPr>
            <w:tcW w:w="20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217,716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220,889</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201,507</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201,982</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650,451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644,027</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Restaurant cost of goods sold as a percentage of restaurant revenue in the third quarter of 2014 remained flat at 27.1% as compared to the third quarter of 2013. A shift to higher cost menu items and higher food waste were offset by food commodity deflation and our menu price increase referenced above. Higher cost menu items and higher food waste each accounted for increases of 0.3% in restaurant cost of goods sold as a percentage of restaurant revenue. We believe that the increase in food waste resulted from unpredictable weather and traffic patterns in the third quarter of 2014, which increased the difficulty for our store managers in accurately forecasting food production requirements. Commodity deflation was 0.6% in the third quarter of 2014. We expect commodity inflation of approximately 2.5% in the fourth quarter of 2014 primarily due to increases in the cost of beef, pork, eggs and dairy.</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increase in restaurant cost of goods sold as a percentage of restaurant revenue in the first nine months of 2014 as compared to the first nine months of 2013 was primarily the result of food commodity inflation, a shift to higher cost menu items and higher food waste partially offset by our menu price increase referenced above. Higher cost menu items and higher food waste accounted for increases of 0.3% and 0.1%, respectively, in restaurant cost of goods sold as a percentage of restaurant revenue. We believe that the increase in food waste resulted from unpredictable weather and traffic patterns, particularly in the second and third quarters of 2014, which increased the difficulty for our store managers in accurately forecasting food production requirements. Commodity inflation was 1.7% in the first nine months of 2014.</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presently expect the rate of commodity inflation to be approximately 2% for 2014.</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third quarter of 2014 as compared to the prior year quarter resulted primarily from lower freight, higher initial margin and lower shrinkage partially offset by higher markdowns.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Third Quarter</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 of Retail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Higher initial margin</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inventory shrinkage</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Markdowns</w:t>
            </w: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bl>
    <w:p>
      <w:pPr>
        <w:spacing w:after="0" w:line="2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the first nine months of 2014 as compared to the first nine months of 2013 resulted from primarily from lower freight, lower shrinkage and higher initial margin partially offset by higher markdowns.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 Period</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 of Retail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Retail inventory shrinkage</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Higher initial margin</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Markdowns</w:t>
            </w: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bl>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third quarters of 2014 and 2013, annual physical inventory counts were conducted at approximately 80% and 40%, respectively, of our stores. The actual shrinkage recorded based on these physical inventory counts declined 0.3% and 0.5% as a percentage of retail revenue in the third quarter and first nine months of 2014, respectively, as compared to the prior year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Related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all direct and indirect labor and related costs incurred in store operations. Labor and related expenses as a percentage of total revenue in the third quarter of 2014 remained flat at 37.8% as compared to the third quarter of 2013 primarily as a result of the following offsetting variances: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Third Quarter</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incentive compensation expense</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2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Workers’ compensation expense</w:t>
            </w: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Labor and related expenses as a percentage of total revenue decreased to 36.1% in the first nine months of 2014 as compared to 36.5% in the first nine months of 2013. This percentage change resulted from the following: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Nine Month Period</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Decrease as a Percentage</w:t>
            </w:r>
          </w:p>
        </w:tc>
      </w:tr>
      <w:tr>
        <w:trPr>
          <w:trHeight w:val="241"/>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incentive compensation expense</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decreases in store incentive compensation expense as a percentage of total revenue for the third quarter and first nine months of 2014 as compared to the same periods in the prior year reflected lower performance against financial objectives in 2014 as compared to the prior year.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December 31, 2013, a significant portion of our health insurance program was self-insured. Effective January 1, 2014, with the exception of our prescription drug program, our health insurance is fully insured. The fully-insured portion of our health insurance program contains a retrospective feature which could increase or decrease premiums based on actual claims experience.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our employee health care expenses in the third quarter as compared to the same period in the prior year resulted primarily from higher premium costs in our fully insured plans. The decrease in our employee health care expenses in the first nine months of 2014 as compared to the same period in the prior year is due to the reimbursement of approximately $4,500 for certain health care premiums related to the plan year ending December 31, 2013 partially offset by higher premium costs in our fully insured plans.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store management compensation expense for the third quarter of 2014 as compared to the same period in the prior year resulted primarily from higher staffing levels.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workers’ compensation expense for the third quarter of 2014 as compared to the same period in the prior year resulted primarily from higher claims and revised actuarial estimates.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Store 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increased to 18.8% in the third quarter of 2014 as compared to 18.2% in the third quarter of 2013. This percentage change resulted from the following:</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Third Quarter</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Increase as a Percentage</w:t>
            </w:r>
          </w:p>
        </w:tc>
      </w:t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expense</w:t>
            </w:r>
          </w:p>
        </w:tc>
        <w:tc>
          <w:tcPr>
            <w:tcW w:w="2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 expense</w:t>
            </w:r>
          </w:p>
        </w:tc>
        <w:tc>
          <w:tcPr>
            <w:tcW w:w="2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2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store operating expenses as a percentage of total revenue increased to 18.8% in the first nine months of 2014 as compared to 18.0% in the first nine months of 2013. This percentage change resulted primarily from the following: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Nine Month Period</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Increase as a Percentage</w:t>
            </w:r>
          </w:p>
        </w:tc>
      </w:t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expense</w:t>
            </w:r>
          </w:p>
        </w:tc>
        <w:tc>
          <w:tcPr>
            <w:tcW w:w="2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2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manager conference expense</w:t>
            </w:r>
          </w:p>
        </w:tc>
        <w:tc>
          <w:tcPr>
            <w:tcW w:w="2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2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increases in utilities expense as a percentage of total revenue for the third quarter and first nine months of 2014 as compared to the same periods in the prior year resulted primarily from higher heating costs due to the unseasonably cold weather experienced at many of our store locations in 2014.</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as a percentage of total revenue for the third quarter of 2014 as compared to the same period in the prior year resulted primarily from capital expenditures related to company initiatives and store maintenance capital.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supplies expense as a percentage of total revenue for the third quarter of 2014 as compared to the same period in the prior year resulted primarily from increases in to-go packaging usage and pricing partially offset by a decline in paper costs.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increases in maintenance expense as a percentage of total revenue for the third quarter and first nine months of 2014 as compared to the same periods in the prior year resulted primarily from expenses associated with the inspection, preventative maintenance, snow removal and related repair of certain building components and kitchen equipment and higher lighting costs.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advertising expense as a percentage of total revenue for the first nine months of 2014 as compared to the same period in the prior year resulted primarily from higher media spending. We expect our advertising expense for 2014 to be approximately the same percentage of total revenue as in 2013.</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2014, we held a manager conference which was attended by our store operations management team. The last such conference was held during the first quarter of 2012.</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decreased to 5.1% in the third quarter of 2014 as compared to 5.6% in the third quarter of 2013. This percentage change resulted primarily from the following:</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Third Quarter</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Proxy contest expenses</w:t>
            </w: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decreased to 5.0% in the first nine months of 2014 as compared to 5.4% in the first nine months of 2013. This percentage change resulted from lower incentive compensation expense.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Lower incentive compensation in the third quarter and first nine months of 2014 as compared to the same periods in the prior year resulted primarily from lower performance against financial objectives as compared to the prior year and a decrease in the price of our common stock in 2014.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2014, we incurred costs of $1,113 related to the special shareholders meeting held in April 2014. In the first nine months of 2014 and 2013, we incurred proxy contest expenses of $4,313 and $4,111,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for the third quarter of 2014 was $4,327 as compared to $10,194 in the third quarter of 2013. Interest expense for the first nine months of 2014 was $13,205 as compared to $31,199 in the first nine months of 2013. Both decreases resulted from lower debt outstanding and lower interest rates because of a reduction in our credit spread and expiration of our seven-year interest rate swap on May 3, 2013, which had a fixed interest rate of 5.57% plus our credit spread. We presently expect interest expense for 2014 to be approximately $17,000 to $18,000.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5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Provision for income taxes as a percentage of income before income taxes (the “effective tax rate”) was 29.7% and 27.6%, respectively, in the third quarters of 2014 and 2013. The effective tax rate was 31.1% and 28.2%, respectively, in the first nine months of 2014 and 2013. The increases in the effective tax rate from the third quarter and first nine months of 2013 to the third quarter and first nine months of 2014 resulted primarily from an increase in pre-tax income. We presently expect our effective tax rate for 2014 to be between 31% and 32%.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operations and our borrowing capacity under our $500,000 revolving credit facility (the “Revolving Credit Facility”). Our internally generated cash, along with cash on hand at August 2, 2013, was sufficient to finance all of our growth, dividend payments, share repurchases, working capital needs and other cash payment obligations in the first nine months of 2014.</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cash on hand at May 2, 2014, along with cash generated from our operating activities and the borrowing capacity under our Revolving Credit Facility will be sufficient to finance our continuing operations, our continuing expansion plans, our share repurchase plans and our expected dividend payments for at least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Generated From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net cash of $101,197 for the first nine months of 2014, which represented a decrease from the $106,699 net cash provided during the first nine months of 2013. This decrease primarily reflected the timing of payments for accounts payable and the change in retail inventories partially offset by higher net income and the timing of certain tax payments.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$750,000 credit facility (the “Credit Facility”) consists of a term loan (aggregate outstanding at May 2, 2014 was $187,500) and our Revolving Credit Facility. At May 2, 2014, we had $212,500 of outstanding borrowings under the Revolving Credit Facility and we had $20,637 of standby letters of credit related to securing reserved claims under workers’ compensation insurance which reduce our borrowing availability under the Revolving Credit Facility. At May 2, 2014, we had $266,863 in borrowing availability under our Revolving Credit Facility. See Note 4 to our Condensed Consolidated Financial Statements for further information on our long-term debt.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Credit Facility contains customary financial covenants, which include maintenance of a maximum consolidated total leverage ratio and a minimum consolidated interest coverage ratio. We presently are in compliance with the Credit Facility’s financial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735"/>
        <w:spacing w:after="0" w:line="255" w:lineRule="auto"/>
        <w:rPr>
          <w:sz w:val="20"/>
          <w:szCs w:val="20"/>
          <w:color w:val="auto"/>
        </w:rPr>
      </w:pPr>
      <w:r>
        <w:rPr>
          <w:rFonts w:ascii="Times New Roman" w:cs="Times New Roman" w:eastAsia="Times New Roman" w:hAnsi="Times New Roman"/>
          <w:sz w:val="18"/>
          <w:szCs w:val="18"/>
          <w:color w:val="auto"/>
        </w:rPr>
        <w:t>Capital expenditures (purchase of property and equipment) net of proceeds from insurance recoveries were $62,337 for the first nine months of 2014 as compared to $45,738 for the same period in the prior year. Our capital expenditures consisted primarily of capital expenditures for maintenance programs and costs of new store locations. The increase in capital expenditures in the first nine months of 2014 as compared to the prior year is primarily the result of higher maintenance capital expenditures and an increase in the number of new locations acquired and under construction. We estimate that our capital expenditures during 2014 will be between $90,000 and $100,000. This estimate includes the acquisition of sites and construction costs of approximately seven new stores that have opened or are expected to open during 2014, as well as for acquisition and construction costs for store locations to be opened in 2015. In 2014, we also expect to increase capital expenditures for maintenance programs, technology and operations improvements. We intend to fund our capital expenditures with cash flows from operations and borrowings under our Revolving Credit Facility, as necessary.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Share Repurchases and Share-Based Compensation Awards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Facility imposes restrictions on the amount of dividends we are permitted to pay and the amount of shares we are permitted to repurchase. Provided there is no default existing and the total of our availability under the Revolving Credit Facility plus our cash and cash equivalents on hand is at least $100,000 (the “liquidity requirements”), we may declare and pay cash dividends on shares of our common stock and repurchase shares of our common stock if the aggregate amount of dividends paid and shares repurchased during any fiscal year is less than the sum of (1) 20% of Consolidated EBITDA from continuing operations (as defined in the Credit Facility) (the “20% limitation”) during the immediately preceding fiscal year and (2) provided our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2014, we paid dividends of $2.25 per share, or an aggregate of $53,619. During the third quarter of 2014, we declared a dividend of $0.75 per share that was paid on May 5, 2014 to shareholders of record on April 18, 2014. Additionally, during the third quarter of 2014, we declared a dividend of $1.00 per share payable on August 5, 2014 to shareholders of record on July 18, 2014.</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been authorized by our Board of Directors to repurchase shares at management’s discretion up to $50,000 during 2014. During the first nine months of 2014, we repurchased 120,000 shares of our common stock in the open market at an aggregate cost of $12,473.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2014, we issued 145,173 shares of our common stock resulting from the vesting of share-based compensation awards and stock option exercises. Related tax withholding payments on certain share-based compensation awards exceeded proceeds received from the exercise of stock options which resulted in a net use of cash of $8,430.</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restaurant industry, virtually all sales are either for cash or third-party credit or debit card.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negative working capital of $38,919 at May 2, 2014 versus negative working capital of $13,873 at August 2, 2013. The change in working capital from August 2, 2013 primarily reflects a decrease in cash, an increase in our dividend payable because of the additional dividend of $1.00 per share that was declared during the third quarter of 2014 and an increase in current maturities on our term loan partially offset by the timing of payments for accounts payable and income taxes. In the fourth quarter of 2013, we made an optional prepayment of our required principal payments which were due in 2014. We have not made any such optional prepayments during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2013 Form 10-K for additional information regarding our operating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material commitments other than in the ordinary course of business since the end of 2013. Refer to the sub-section entitled “Material Commitments” under the section entitled “Liquidity and Capital Resources” presented in the MD&amp;A of our 2013 Form 10-K for additional information regarding our material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Adopted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accompanying Condensed Consolidated Financial Statements for a discussion of recent accounting guidance adopted. None of the accounting guidance discussed in Note 1 had a significant impact on our consolidated financial position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the Consolidated Financial Statements contained in the 2013 Form 10-K. Judgments and uncertainties affecting the application of those policies may result in materially different amounts being reported under different conditions or using different assumptions.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are most important to the accurate portrayal of both our financial condition and operating results, and</w:t>
      </w:r>
    </w:p>
    <w:p>
      <w:pPr>
        <w:spacing w:after="0" w:line="27" w:lineRule="exact"/>
        <w:rPr>
          <w:rFonts w:ascii="Times New Roman" w:cs="Times New Roman" w:eastAsia="Times New Roman" w:hAnsi="Times New Roman"/>
          <w:sz w:val="18"/>
          <w:szCs w:val="18"/>
          <w:color w:val="auto"/>
        </w:rPr>
      </w:pPr>
    </w:p>
    <w:p>
      <w:pPr>
        <w:ind w:left="1000" w:hanging="330"/>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management’s most difficult, subjective or complex judgments, often as a result of the need to make estimates about the effect of matters that are inherently uncertain.</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Provision for Asset Dispositions</w:t>
      </w:r>
    </w:p>
    <w:p>
      <w:pPr>
        <w:spacing w:after="0" w:line="27"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Inventory Valuation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Provision</w:t>
      </w:r>
    </w:p>
    <w:p>
      <w:pPr>
        <w:spacing w:after="0" w:line="9" w:lineRule="exact"/>
        <w:rPr>
          <w:rFonts w:ascii="Times New Roman" w:cs="Times New Roman" w:eastAsia="Times New Roman" w:hAnsi="Times New Roman"/>
          <w:sz w:val="18"/>
          <w:szCs w:val="18"/>
          <w:color w:val="auto"/>
        </w:rPr>
      </w:pPr>
    </w:p>
    <w:p>
      <w:pPr>
        <w:ind w:left="1000" w:hanging="33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methodology for assessing impairments during the first nine months of 2014,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December 31, 2013, a significant portion of our health insurance program was self-insured. Benefits for any individual (employee or dependents) in the self-insured group health program were limited. We recorded a liability for the self-insured portion of our group health program for all unpaid claims based upon a loss development analysis derived from actual group health claims payment experience. Claims paid subsequent to December 31, 2013 will be fully offset by this liability. Effective January 1, 2014, with the exception of prescription drugs, our health insurance is fully insured. The fully-insured portion of our health insurance program contains a retrospective feature which could increase or decrease premiums based on actual claims experience. Additionally, we record a liability for unpaid prescription drug claims based on historical experience.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nine months of 2014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Inventory Valuation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made any material changes in the methodologies, estimates or assumptions related to our merchandise inventories during the first nine months of 2014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Provision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15 to our Consolidated Financial Statements contained in the 2013 Form 10-K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share-based compensation consists of nonvested stock awards, performance-based market stock units (“MSU Grants”) and stock options.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20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Beginning in 2011, we adopted annual long-term incentive plans that award MSU Grants to our executives instead of stock options. 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0" w:lineRule="exact"/>
        <w:rPr>
          <w:sz w:val="20"/>
          <w:szCs w:val="20"/>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a blend of implied volatility based on market-traded options on our stock and historical volatility of our stock over the period commensurate with the three-year performance period.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based on our current dividend yield as the best estimate of projected dividend yield for periods within the three-year performance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ind w:right="44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No stock options were granted in 2012, 2013 or in the first nine months of 2014.</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estimates or assumptions used to determine share-based compensation during the first nine months of 2014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 II, Item 7A of the 2013 Form 10-K is incorporated in this item of this Quarterly Report on Form 10-Q by this reference. There have been no material changes in our quantitative and qualitative market risks since August 2, 2013.</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May 2, 2014, our disclosure controls and procedures were effective for the purposes set forth in the definition thereof in Exchange Act Rule 13a-15(e).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(including corrective actions with regard to significant deficiencies and material weaknesses) during the quarter ended May 2, 2014 in our internal control over financial reporting (as defined in Exchange Act Rule 13a-15(f))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FLSA Litigation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11, 2014, a collective action under the Fair Labor Standards Act (“FLSA”) was filed in the United States District Court for the Northern District of New York, Proper v. Cracker Barrel Old Country Store, Inc., in which the named plaintiffs are challenging the Company’s classification of associate managers as being exempt from the minimum wage and overtime requirements. The plaintiffs seek an unspecified amount of alleged back wages, liquidated damages, and attorneys' fees. Unlike a class action, a collective action requires potential class members to “opt in” rather than “opt out”. If an FLSA action is conditionally certified, the Company would have an opportunity to seek to have the class de-certified and/or seek to have the case dismissed on its merits. We believe that we have meritorious defenses to all of the claims raised by the named plaintiff and accordingly plan to defend them vigorously. The proceedings remain in the early stages with significant uncertainty as to factual issues, outcome of legal proceedings (including certification of the collective action), and likely number of opt-in plaintiffs and/or damages claimed. At this time, the Company cannot reasonably estimate the likely results of the lawsuit or the economic effects of the litigation on the Company, though an adverse outcome could be material to the Company’s results of operations or financial position.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Kraft Litigation/Settlement</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31, 2013, Kraft Foods Group Brands, LLC ("Kraft") filed suit against the Company and the Company's wholly owned subsidiary CBOCS Properties, Inc. ("CBOCS") in the Northern District of Illinois, Eastern Division (the "District Court"), in the case styled Kraft Foods Group Brands, LLC v. Cracker Barrel Old Country Store, Inc., CBOCS Properties, Inc., et al., seeking declaratory and injunctive relief. Kraft's complaint alleged that CBOCS's use and/or licensing use of CRACKER BARREL OLD COUNTRY STORE for goods sold in retail food channels was likely to cause consumer confusion with the Kraft CRACKER BARREL cheese sold in grocery stores. A Stipulation Regarding Product Launch between Kraft, JMFG, CBOCS and the Company ("Stipulation") was executed on September 19, 2013, under which marketing of products by the Company under the CB OLD COUNTRY STORE™ mark was approved, with certain restrictions, by Kraft. A Settlement Agreement, incorporating the terms of the Stipulation and dismissing the District Court case was executed March 31, 2014 (the “Settlement Agreement”). Under the terms of the Settlement Agreement, the Company may sell food products in any channels of trade under the CB OLD COUNTRY STORE mark. The Company may also use the CRACKER BARREL OLD COUNTRY STORE mark on food products sold in the Company’s restaurants, websites, social media channels and other branded points of entry and as part of its current or future restaurant operations or menu offerings (collectively, the “CBOCS Channels”). The Company may not use CRACKER BARREL OLD COUNTRY STORE on any food products that are sold outside of the CBOCS Channels.</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“Item 1A. Risk Factors” of our 2013 Form 10-K.</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 immediately following the signature page hereto.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80" w:type="dxa"/>
            <w:vAlign w:val="bottom"/>
            <w:gridSpan w:val="5"/>
          </w:tcPr>
          <w:p>
            <w:pPr>
              <w:ind w:left="2560"/>
              <w:spacing w:after="0"/>
              <w:rPr>
                <w:sz w:val="20"/>
                <w:szCs w:val="20"/>
                <w:color w:val="auto"/>
              </w:rPr>
            </w:pPr>
            <w:r>
              <w:rPr>
                <w:rFonts w:ascii="Times New Roman" w:cs="Times New Roman" w:eastAsia="Times New Roman" w:hAnsi="Times New Roman"/>
                <w:sz w:val="18"/>
                <w:szCs w:val="18"/>
                <w:b w:val="1"/>
                <w:bCs w:val="1"/>
                <w:color w:val="auto"/>
              </w:rPr>
              <w:t>CRACKER BARREL OLD COUNTRY STORE, INC.</w:t>
            </w:r>
          </w:p>
        </w:tc>
      </w:tr>
      <w:tr>
        <w:trPr>
          <w:trHeight w:val="39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Date: May 28, 2014</w:t>
            </w:r>
          </w:p>
        </w:tc>
        <w:tc>
          <w:tcPr>
            <w:tcW w:w="2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/s/Lawrence E. Hyatt</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Lawrence E. Hyatt, Senior Vice President and</w:t>
            </w: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2"/>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Date: May 28, 2014</w:t>
            </w:r>
          </w:p>
        </w:tc>
        <w:tc>
          <w:tcPr>
            <w:tcW w:w="29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/s/P. Douglas Couvillion</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18"/>
        </w:trPr>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 Douglas Couvillion, Vice President, Corporate Controller and</w:t>
            </w: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98"/>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4"/>
        </w:trPr>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10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40" w:type="dxa"/>
            <w:vAlign w:val="bottom"/>
            <w:shd w:val="clear" w:color="auto" w:fill="CCEEFF"/>
          </w:tcPr>
          <w:p>
            <w:pPr>
              <w:spacing w:after="0"/>
              <w:rPr>
                <w:sz w:val="17"/>
                <w:szCs w:val="17"/>
                <w:color w:val="auto"/>
              </w:rPr>
            </w:pPr>
          </w:p>
        </w:tc>
        <w:tc>
          <w:tcPr>
            <w:tcW w:w="104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40" w:type="dxa"/>
            <w:vAlign w:val="bottom"/>
            <w:shd w:val="clear" w:color="auto" w:fill="CCEEFF"/>
          </w:tcPr>
          <w:p>
            <w:pPr>
              <w:spacing w:after="0"/>
              <w:rPr>
                <w:sz w:val="17"/>
                <w:szCs w:val="17"/>
                <w:color w:val="auto"/>
              </w:rPr>
            </w:pPr>
          </w:p>
        </w:tc>
        <w:tc>
          <w:tcPr>
            <w:tcW w:w="104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40" w:type="dxa"/>
            <w:vAlign w:val="bottom"/>
            <w:shd w:val="clear" w:color="auto" w:fill="CCEEFF"/>
          </w:tcPr>
          <w:p>
            <w:pPr>
              <w:spacing w:after="0"/>
              <w:rPr>
                <w:sz w:val="17"/>
                <w:szCs w:val="17"/>
                <w:color w:val="auto"/>
              </w:rPr>
            </w:pPr>
          </w:p>
        </w:tc>
        <w:tc>
          <w:tcPr>
            <w:tcW w:w="104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40" w:type="dxa"/>
            <w:vAlign w:val="bottom"/>
            <w:shd w:val="clear" w:color="auto" w:fill="CCEEFF"/>
          </w:tcPr>
          <w:p>
            <w:pPr>
              <w:spacing w:after="0"/>
              <w:rPr>
                <w:sz w:val="17"/>
                <w:szCs w:val="17"/>
                <w:color w:val="auto"/>
              </w:rPr>
            </w:pPr>
          </w:p>
        </w:tc>
        <w:tc>
          <w:tcPr>
            <w:tcW w:w="104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40" w:type="dxa"/>
            <w:vAlign w:val="bottom"/>
          </w:tcPr>
          <w:p>
            <w:pPr>
              <w:ind w:left="46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4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Sandra B. Cochran, certify that:</w:t>
      </w:r>
    </w:p>
    <w:p>
      <w:pPr>
        <w:spacing w:after="0" w:line="252"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620" w:right="20" w:hanging="315"/>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620" w:right="20" w:hanging="315"/>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28,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B. Cochran, President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Lawrence E. Hyatt, certify that:</w:t>
      </w:r>
    </w:p>
    <w:p>
      <w:pPr>
        <w:spacing w:after="0" w:line="252"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620" w:right="20" w:hanging="315"/>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620" w:hanging="315"/>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620" w:right="20" w:hanging="315"/>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28,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/s/Lawrence E. Hyatt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Hyatt, Senior Vice President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May 2, 2014,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Date: May 28, 2014</w:t>
            </w:r>
          </w:p>
        </w:tc>
        <w:tc>
          <w:tcPr>
            <w:tcW w:w="9980" w:type="dxa"/>
            <w:vAlign w:val="bottom"/>
            <w:gridSpan w:val="3"/>
          </w:tcPr>
          <w:p>
            <w:pPr>
              <w:ind w:left="4280"/>
              <w:spacing w:after="0"/>
              <w:rPr>
                <w:sz w:val="20"/>
                <w:szCs w:val="20"/>
                <w:color w:val="auto"/>
              </w:rPr>
            </w:pPr>
            <w:r>
              <w:rPr>
                <w:rFonts w:ascii="Times New Roman" w:cs="Times New Roman" w:eastAsia="Times New Roman" w:hAnsi="Times New Roman"/>
                <w:sz w:val="18"/>
                <w:szCs w:val="18"/>
                <w:color w:val="auto"/>
              </w:rPr>
              <w:t>By: /s/Sandra B. Cochran</w:t>
            </w:r>
          </w:p>
        </w:tc>
      </w:tr>
      <w:tr>
        <w:trPr>
          <w:trHeight w:val="218"/>
        </w:trPr>
        <w:tc>
          <w:tcPr>
            <w:tcW w:w="4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38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91"/>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1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Cracker Barrel Old Country Store, Inc. (the “Issuer”) on Form 10-Q for the fiscal quarter ended May 2, 2014,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Date: May 28, 2014</w:t>
            </w:r>
          </w:p>
        </w:tc>
        <w:tc>
          <w:tcPr>
            <w:tcW w:w="9980" w:type="dxa"/>
            <w:vAlign w:val="bottom"/>
            <w:gridSpan w:val="3"/>
          </w:tcPr>
          <w:p>
            <w:pPr>
              <w:ind w:left="4280"/>
              <w:spacing w:after="0"/>
              <w:rPr>
                <w:sz w:val="20"/>
                <w:szCs w:val="20"/>
                <w:color w:val="auto"/>
              </w:rPr>
            </w:pPr>
            <w:r>
              <w:rPr>
                <w:rFonts w:ascii="Times New Roman" w:cs="Times New Roman" w:eastAsia="Times New Roman" w:hAnsi="Times New Roman"/>
                <w:sz w:val="18"/>
                <w:szCs w:val="18"/>
                <w:color w:val="auto"/>
              </w:rPr>
              <w:t>By: /s/Lawrence E. Hyatt</w:t>
            </w:r>
          </w:p>
        </w:tc>
      </w:tr>
      <w:tr>
        <w:trPr>
          <w:trHeight w:val="218"/>
        </w:trPr>
        <w:tc>
          <w:tcPr>
            <w:tcW w:w="4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 E. Hyatt,</w:t>
            </w:r>
          </w:p>
        </w:tc>
        <w:tc>
          <w:tcPr>
            <w:tcW w:w="38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591"/>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2019-12-06T20:01:04Z</dcterms:created>
  <dcterms:modified xsi:type="dcterms:W3CDTF">2019-12-06T20:01:04Z</dcterms:modified>
</cp:coreProperties>
</file>