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K</w:t>
      </w:r>
    </w:p>
    <w:p>
      <w:pPr>
        <w:spacing w:after="0" w:line="25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(Mark One)</w:t>
      </w:r>
    </w:p>
    <w:p>
      <w:pPr>
        <w:spacing w:after="0" w:line="7"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1" w:lineRule="exact"/>
        <w:rPr>
          <w:sz w:val="24"/>
          <w:szCs w:val="24"/>
          <w:color w:val="auto"/>
        </w:rPr>
      </w:pPr>
    </w:p>
    <w:p>
      <w:pPr>
        <w:ind w:left="1060"/>
        <w:spacing w:after="0"/>
        <w:rPr>
          <w:sz w:val="20"/>
          <w:szCs w:val="20"/>
          <w:color w:val="auto"/>
        </w:rPr>
      </w:pPr>
      <w:r>
        <w:rPr>
          <w:rFonts w:ascii="Arial" w:cs="Arial" w:eastAsia="Arial" w:hAnsi="Arial"/>
          <w:sz w:val="22"/>
          <w:szCs w:val="22"/>
          <w:color w:val="auto"/>
        </w:rPr>
        <w:t>For the fiscal year ended August 2, 2019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40"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0" w:lineRule="exact"/>
        <w:rPr>
          <w:sz w:val="24"/>
          <w:szCs w:val="24"/>
          <w:color w:val="auto"/>
        </w:rPr>
      </w:pPr>
    </w:p>
    <w:p>
      <w:pPr>
        <w:ind w:left="1060"/>
        <w:spacing w:after="0"/>
        <w:rPr>
          <w:sz w:val="20"/>
          <w:szCs w:val="20"/>
          <w:color w:val="auto"/>
        </w:rPr>
      </w:pPr>
      <w:r>
        <w:rPr>
          <w:rFonts w:ascii="Arial" w:cs="Arial" w:eastAsia="Arial" w:hAnsi="Arial"/>
          <w:sz w:val="22"/>
          <w:szCs w:val="22"/>
          <w:color w:val="auto"/>
        </w:rPr>
        <w:t>For the transition period from__________to__________</w:t>
      </w:r>
    </w:p>
    <w:p>
      <w:pPr>
        <w:spacing w:after="0" w:line="215" w:lineRule="exact"/>
        <w:rPr>
          <w:sz w:val="24"/>
          <w:szCs w:val="24"/>
          <w:color w:val="auto"/>
        </w:rPr>
      </w:pPr>
    </w:p>
    <w:p>
      <w:pPr>
        <w:jc w:val="center"/>
        <w:spacing w:after="0" w:line="253" w:lineRule="exact"/>
        <w:rPr>
          <w:sz w:val="20"/>
          <w:szCs w:val="20"/>
          <w:color w:val="auto"/>
        </w:rPr>
      </w:pPr>
      <w:r>
        <w:rPr>
          <w:rFonts w:ascii="Arial" w:cs="Arial" w:eastAsia="Arial" w:hAnsi="Arial"/>
          <w:sz w:val="22"/>
          <w:szCs w:val="22"/>
          <w:color w:val="auto"/>
        </w:rPr>
        <w:t>Commission file number: 000</w:t>
      </w:r>
      <w:r>
        <w:rPr>
          <w:rFonts w:ascii="MS PGothic" w:cs="MS PGothic" w:eastAsia="MS PGothic" w:hAnsi="MS PGothic"/>
          <w:sz w:val="22"/>
          <w:szCs w:val="22"/>
          <w:color w:val="auto"/>
        </w:rPr>
        <w:t>‑</w:t>
      </w:r>
      <w:r>
        <w:rPr>
          <w:rFonts w:ascii="Arial" w:cs="Arial" w:eastAsia="Arial" w:hAnsi="Arial"/>
          <w:sz w:val="22"/>
          <w:szCs w:val="22"/>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161925</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Cracker Barrel Old Country Store,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22"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(615) 444-5533</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Trading</w:t>
            </w:r>
          </w:p>
        </w:tc>
        <w:tc>
          <w:tcPr>
            <w:tcW w:w="1700" w:type="dxa"/>
            <w:vAlign w:val="bottom"/>
            <w:gridSpan w:val="2"/>
          </w:tcPr>
          <w:p>
            <w:pPr>
              <w:spacing w:after="0"/>
              <w:rPr>
                <w:sz w:val="18"/>
                <w:szCs w:val="18"/>
                <w:color w:val="auto"/>
              </w:rPr>
            </w:pPr>
          </w:p>
        </w:tc>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Name of each exchange on which</w:t>
            </w:r>
          </w:p>
        </w:tc>
      </w:tr>
      <w:tr>
        <w:trPr>
          <w:trHeight w:val="196"/>
        </w:trPr>
        <w:tc>
          <w:tcPr>
            <w:tcW w:w="2580" w:type="dxa"/>
            <w:vAlign w:val="bottom"/>
            <w:gridSpan w:val="2"/>
          </w:tcPr>
          <w:p>
            <w:pPr>
              <w:spacing w:after="0" w:line="196" w:lineRule="exact"/>
              <w:rPr>
                <w:sz w:val="20"/>
                <w:szCs w:val="20"/>
                <w:color w:val="auto"/>
              </w:rPr>
            </w:pPr>
            <w:r>
              <w:rPr>
                <w:rFonts w:ascii="Arial" w:cs="Arial" w:eastAsia="Arial" w:hAnsi="Arial"/>
                <w:sz w:val="18"/>
                <w:szCs w:val="18"/>
                <w:color w:val="auto"/>
              </w:rPr>
              <w:t>Title of each class</w:t>
            </w:r>
          </w:p>
        </w:tc>
        <w:tc>
          <w:tcPr>
            <w:tcW w:w="2580" w:type="dxa"/>
            <w:vAlign w:val="bottom"/>
          </w:tcPr>
          <w:p>
            <w:pPr>
              <w:spacing w:after="0"/>
              <w:rPr>
                <w:sz w:val="17"/>
                <w:szCs w:val="17"/>
                <w:color w:val="auto"/>
              </w:rPr>
            </w:pPr>
          </w:p>
        </w:tc>
        <w:tc>
          <w:tcPr>
            <w:tcW w:w="2280" w:type="dxa"/>
            <w:vAlign w:val="bottom"/>
            <w:gridSpan w:val="3"/>
          </w:tcPr>
          <w:p>
            <w:pPr>
              <w:spacing w:after="0" w:line="196" w:lineRule="exact"/>
              <w:rPr>
                <w:sz w:val="20"/>
                <w:szCs w:val="20"/>
                <w:color w:val="auto"/>
              </w:rPr>
            </w:pPr>
            <w:r>
              <w:rPr>
                <w:rFonts w:ascii="Arial" w:cs="Arial" w:eastAsia="Arial" w:hAnsi="Arial"/>
                <w:sz w:val="18"/>
                <w:szCs w:val="18"/>
                <w:color w:val="auto"/>
              </w:rPr>
              <w:t>Symbol(s)</w:t>
            </w:r>
          </w:p>
        </w:tc>
        <w:tc>
          <w:tcPr>
            <w:tcW w:w="2420" w:type="dxa"/>
            <w:vAlign w:val="bottom"/>
            <w:gridSpan w:val="2"/>
          </w:tcPr>
          <w:p>
            <w:pPr>
              <w:spacing w:after="0" w:line="196" w:lineRule="exact"/>
              <w:rPr>
                <w:sz w:val="20"/>
                <w:szCs w:val="20"/>
                <w:color w:val="auto"/>
              </w:rPr>
            </w:pPr>
            <w:r>
              <w:rPr>
                <w:rFonts w:ascii="Arial" w:cs="Arial" w:eastAsia="Arial" w:hAnsi="Arial"/>
                <w:sz w:val="18"/>
                <w:szCs w:val="18"/>
                <w:color w:val="auto"/>
              </w:rPr>
              <w:t>registered</w:t>
            </w:r>
          </w:p>
        </w:tc>
      </w:tr>
      <w:tr>
        <w:trPr>
          <w:trHeight w:val="20"/>
        </w:trPr>
        <w:tc>
          <w:tcPr>
            <w:tcW w:w="13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color w:val="auto"/>
                <w:w w:val="95"/>
              </w:rPr>
              <w:t>Common Stock (Par Value $0.01)</w:t>
            </w:r>
          </w:p>
        </w:tc>
        <w:tc>
          <w:tcPr>
            <w:tcW w:w="2580" w:type="dxa"/>
            <w:vAlign w:val="bottom"/>
          </w:tcPr>
          <w:p>
            <w:pPr>
              <w:spacing w:after="0"/>
              <w:rPr>
                <w:sz w:val="19"/>
                <w:szCs w:val="19"/>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CBRL</w:t>
            </w:r>
          </w:p>
        </w:tc>
        <w:tc>
          <w:tcPr>
            <w:tcW w:w="2420" w:type="dxa"/>
            <w:vAlign w:val="bottom"/>
            <w:gridSpan w:val="2"/>
          </w:tcPr>
          <w:p>
            <w:pPr>
              <w:spacing w:after="0"/>
              <w:rPr>
                <w:sz w:val="20"/>
                <w:szCs w:val="20"/>
                <w:color w:val="auto"/>
              </w:rPr>
            </w:pPr>
            <w:r>
              <w:rPr>
                <w:rFonts w:ascii="Arial" w:cs="Arial" w:eastAsia="Arial" w:hAnsi="Arial"/>
                <w:sz w:val="18"/>
                <w:szCs w:val="18"/>
                <w:color w:val="auto"/>
                <w:w w:val="97"/>
              </w:rPr>
              <w:t>The Nasdaq Stock Market LLC</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w w:val="91"/>
              </w:rPr>
              <w:t>Rights to Purchase Series A Junior</w:t>
            </w:r>
          </w:p>
        </w:tc>
        <w:tc>
          <w:tcPr>
            <w:tcW w:w="4860" w:type="dxa"/>
            <w:vAlign w:val="bottom"/>
            <w:gridSpan w:val="4"/>
          </w:tcPr>
          <w:p>
            <w:pPr>
              <w:ind w:left="60"/>
              <w:spacing w:after="0"/>
              <w:rPr>
                <w:sz w:val="20"/>
                <w:szCs w:val="20"/>
                <w:color w:val="auto"/>
              </w:rPr>
            </w:pPr>
            <w:r>
              <w:rPr>
                <w:rFonts w:ascii="Arial" w:cs="Arial" w:eastAsia="Arial" w:hAnsi="Arial"/>
                <w:sz w:val="18"/>
                <w:szCs w:val="18"/>
                <w:color w:val="auto"/>
              </w:rPr>
              <w:t>Participating Preferred</w:t>
            </w:r>
          </w:p>
        </w:tc>
        <w:tc>
          <w:tcPr>
            <w:tcW w:w="2420" w:type="dxa"/>
            <w:vAlign w:val="bottom"/>
            <w:gridSpan w:val="2"/>
          </w:tcPr>
          <w:p>
            <w:pPr>
              <w:spacing w:after="0"/>
              <w:rPr>
                <w:sz w:val="20"/>
                <w:szCs w:val="20"/>
                <w:color w:val="auto"/>
              </w:rPr>
            </w:pPr>
            <w:r>
              <w:rPr>
                <w:rFonts w:ascii="Arial" w:cs="Arial" w:eastAsia="Arial" w:hAnsi="Arial"/>
                <w:sz w:val="18"/>
                <w:szCs w:val="18"/>
                <w:color w:val="auto"/>
                <w:w w:val="97"/>
              </w:rPr>
              <w:t>(Nasdaq Global Select Market)</w:t>
            </w: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Stock (Par Value $0.01)</w:t>
            </w: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154305</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161925</wp:posOffset>
            </wp:positionV>
            <wp:extent cx="1586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120" w:right="60" w:firstLine="216"/>
        <w:spacing w:after="0" w:line="29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8" w:lineRule="exact"/>
        <w:rPr>
          <w:sz w:val="24"/>
          <w:szCs w:val="24"/>
          <w:color w:val="auto"/>
        </w:rPr>
      </w:pPr>
    </w:p>
    <w:p>
      <w:pPr>
        <w:ind w:left="340"/>
        <w:spacing w:after="0"/>
        <w:tabs>
          <w:tab w:leader="none" w:pos="11080" w:val="left"/>
        </w:tabs>
        <w:rPr>
          <w:sz w:val="20"/>
          <w:szCs w:val="20"/>
          <w:color w:val="auto"/>
        </w:rPr>
      </w:pPr>
      <w:r>
        <w:rPr>
          <w:rFonts w:ascii="Arial" w:cs="Arial" w:eastAsia="Arial" w:hAnsi="Arial"/>
          <w:sz w:val="21"/>
          <w:szCs w:val="21"/>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Yes</w:t>
      </w:r>
    </w:p>
    <w:p>
      <w:pPr>
        <w:spacing w:after="0" w:line="25" w:lineRule="exact"/>
        <w:rPr>
          <w:sz w:val="24"/>
          <w:szCs w:val="24"/>
          <w:color w:val="auto"/>
        </w:rPr>
      </w:pPr>
    </w:p>
    <w:p>
      <w:pPr>
        <w:ind w:left="420" w:hanging="412"/>
        <w:spacing w:after="0" w:line="253" w:lineRule="exact"/>
        <w:tabs>
          <w:tab w:leader="none" w:pos="4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 xml:space="preserve">No </w:t>
      </w:r>
      <w:r>
        <w:rPr>
          <w:rFonts w:ascii="MS PGothic" w:cs="MS PGothic" w:eastAsia="MS PGothic" w:hAnsi="MS PGothic"/>
          <w:sz w:val="22"/>
          <w:szCs w:val="22"/>
          <w:color w:val="auto"/>
        </w:rPr>
        <w:t>☑</w:t>
      </w:r>
    </w:p>
    <w:p>
      <w:pPr>
        <w:spacing w:after="0" w:line="223" w:lineRule="exact"/>
        <w:rPr>
          <w:sz w:val="24"/>
          <w:szCs w:val="24"/>
          <w:color w:val="auto"/>
        </w:rPr>
      </w:pPr>
    </w:p>
    <w:p>
      <w:pPr>
        <w:jc w:val="both"/>
        <w:ind w:firstLine="324"/>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jc w:val="both"/>
        <w:ind w:firstLine="324"/>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9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ind w:left="360"/>
        <w:spacing w:after="0" w:line="24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8" w:lineRule="exact"/>
        <w:rPr>
          <w:sz w:val="20"/>
          <w:szCs w:val="20"/>
          <w:color w:val="auto"/>
        </w:rPr>
      </w:pPr>
    </w:p>
    <w:p>
      <w:pPr>
        <w:sectPr>
          <w:pgSz w:w="11900" w:h="16838" w:orient="portrait"/>
          <w:cols w:equalWidth="0" w:num="6">
            <w:col w:w="2320" w:space="100"/>
            <w:col w:w="880" w:space="720"/>
            <w:col w:w="1960" w:space="100"/>
            <w:col w:w="980" w:space="720"/>
            <w:col w:w="1520" w:space="80"/>
            <w:col w:w="2040"/>
          </w:cols>
          <w:pgMar w:left="240" w:top="118" w:right="239" w:bottom="1440" w:gutter="0" w:footer="0" w:header="0"/>
          <w:type w:val="continuous"/>
        </w:sectPr>
      </w:pPr>
    </w:p>
    <w:p>
      <w:pPr>
        <w:spacing w:after="0" w:line="22" w:lineRule="exact"/>
        <w:rPr>
          <w:sz w:val="20"/>
          <w:szCs w:val="20"/>
          <w:color w:val="auto"/>
        </w:rPr>
      </w:pPr>
    </w:p>
    <w:p>
      <w:pPr>
        <w:ind w:firstLine="324"/>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0"/>
          <w:szCs w:val="20"/>
          <w:color w:val="auto"/>
        </w:rPr>
      </w:pPr>
    </w:p>
    <w:p>
      <w:pPr>
        <w:ind w:left="340"/>
        <w:spacing w:after="0" w:line="242" w:lineRule="exact"/>
        <w:tabs>
          <w:tab w:leader="none" w:pos="10060" w:val="left"/>
        </w:tabs>
        <w:rPr>
          <w:sz w:val="20"/>
          <w:szCs w:val="20"/>
          <w:color w:val="auto"/>
        </w:rPr>
      </w:pPr>
      <w:r>
        <w:rPr>
          <w:rFonts w:ascii="Arial" w:cs="Arial" w:eastAsia="Arial" w:hAnsi="Arial"/>
          <w:sz w:val="21"/>
          <w:szCs w:val="21"/>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85"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The aggregate market value of voting stock held by nonaffiliates of the registrant as of February 1, 2019 (the last business day of the registrant’s most recently completed second fiscal quarter) was $3,980,072,081.</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of September 18, 2019, there were 24,050,147 shares of common stock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380" w:type="dxa"/>
            <w:vAlign w:val="bottom"/>
            <w:gridSpan w:val="4"/>
          </w:tcPr>
          <w:p>
            <w:pPr>
              <w:jc w:val="center"/>
              <w:ind w:right="4040"/>
              <w:spacing w:after="0"/>
              <w:rPr>
                <w:sz w:val="20"/>
                <w:szCs w:val="20"/>
                <w:color w:val="auto"/>
              </w:rPr>
            </w:pPr>
            <w:r>
              <w:rPr>
                <w:rFonts w:ascii="Arial" w:cs="Arial" w:eastAsia="Arial" w:hAnsi="Arial"/>
                <w:sz w:val="22"/>
                <w:szCs w:val="22"/>
                <w:color w:val="auto"/>
                <w:w w:val="88"/>
              </w:rPr>
              <w:t>Documents Incorporated by Reference</w:t>
            </w:r>
          </w:p>
        </w:tc>
      </w:tr>
      <w:tr>
        <w:trPr>
          <w:trHeight w:val="465"/>
        </w:trPr>
        <w:tc>
          <w:tcPr>
            <w:tcW w:w="4040" w:type="dxa"/>
            <w:vAlign w:val="bottom"/>
            <w:gridSpan w:val="3"/>
          </w:tcPr>
          <w:p>
            <w:pPr>
              <w:spacing w:after="0"/>
              <w:rPr>
                <w:sz w:val="20"/>
                <w:szCs w:val="20"/>
                <w:color w:val="auto"/>
              </w:rPr>
            </w:pPr>
            <w:r>
              <w:rPr>
                <w:rFonts w:ascii="Arial" w:cs="Arial" w:eastAsia="Arial" w:hAnsi="Arial"/>
                <w:sz w:val="18"/>
                <w:szCs w:val="18"/>
                <w:color w:val="auto"/>
              </w:rPr>
              <w:t>Document from which Portions</w:t>
            </w:r>
          </w:p>
        </w:tc>
        <w:tc>
          <w:tcPr>
            <w:tcW w:w="334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gridSpan w:val="2"/>
          </w:tcPr>
          <w:p>
            <w:pPr>
              <w:jc w:val="center"/>
              <w:ind w:right="280"/>
              <w:spacing w:after="0" w:line="207" w:lineRule="exact"/>
              <w:rPr>
                <w:sz w:val="20"/>
                <w:szCs w:val="20"/>
                <w:color w:val="auto"/>
              </w:rPr>
            </w:pPr>
            <w:r>
              <w:rPr>
                <w:rFonts w:ascii="Arial" w:cs="Arial" w:eastAsia="Arial" w:hAnsi="Arial"/>
                <w:sz w:val="18"/>
                <w:szCs w:val="18"/>
                <w:color w:val="auto"/>
                <w:w w:val="92"/>
              </w:rPr>
              <w:t>Part of Form 10</w:t>
            </w:r>
            <w:r>
              <w:rPr>
                <w:rFonts w:ascii="MS PGothic" w:cs="MS PGothic" w:eastAsia="MS PGothic" w:hAnsi="MS PGothic"/>
                <w:sz w:val="18"/>
                <w:szCs w:val="18"/>
                <w:color w:val="auto"/>
                <w:w w:val="92"/>
              </w:rPr>
              <w:t>‑</w:t>
            </w:r>
            <w:r>
              <w:rPr>
                <w:rFonts w:ascii="Arial" w:cs="Arial" w:eastAsia="Arial" w:hAnsi="Arial"/>
                <w:sz w:val="18"/>
                <w:szCs w:val="18"/>
                <w:color w:val="auto"/>
                <w:w w:val="92"/>
              </w:rPr>
              <w:t>K</w:t>
            </w:r>
          </w:p>
        </w:tc>
      </w:tr>
      <w:tr>
        <w:trPr>
          <w:trHeight w:val="190"/>
        </w:trPr>
        <w:tc>
          <w:tcPr>
            <w:tcW w:w="2200" w:type="dxa"/>
            <w:vAlign w:val="bottom"/>
            <w:gridSpan w:val="2"/>
          </w:tcPr>
          <w:p>
            <w:pPr>
              <w:spacing w:after="0" w:line="190" w:lineRule="exact"/>
              <w:rPr>
                <w:sz w:val="20"/>
                <w:szCs w:val="20"/>
                <w:color w:val="auto"/>
              </w:rPr>
            </w:pPr>
            <w:r>
              <w:rPr>
                <w:rFonts w:ascii="Arial" w:cs="Arial" w:eastAsia="Arial" w:hAnsi="Arial"/>
                <w:sz w:val="18"/>
                <w:szCs w:val="18"/>
                <w:color w:val="auto"/>
                <w:w w:val="89"/>
              </w:rPr>
              <w:t>are Incorporated by Reference</w:t>
            </w:r>
          </w:p>
        </w:tc>
        <w:tc>
          <w:tcPr>
            <w:tcW w:w="18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40" w:type="dxa"/>
            <w:vAlign w:val="bottom"/>
            <w:gridSpan w:val="3"/>
          </w:tcPr>
          <w:p>
            <w:pPr>
              <w:jc w:val="center"/>
              <w:ind w:left="1670"/>
              <w:spacing w:after="0" w:line="190" w:lineRule="exact"/>
              <w:rPr>
                <w:sz w:val="20"/>
                <w:szCs w:val="20"/>
                <w:color w:val="auto"/>
              </w:rPr>
            </w:pPr>
            <w:r>
              <w:rPr>
                <w:rFonts w:ascii="Arial" w:cs="Arial" w:eastAsia="Arial" w:hAnsi="Arial"/>
                <w:sz w:val="18"/>
                <w:szCs w:val="18"/>
                <w:color w:val="auto"/>
                <w:w w:val="92"/>
              </w:rPr>
              <w:t>into which incorporated</w:t>
            </w:r>
          </w:p>
        </w:tc>
      </w:tr>
      <w:tr>
        <w:trPr>
          <w:trHeight w:val="20"/>
        </w:trPr>
        <w:tc>
          <w:tcPr>
            <w:tcW w:w="3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Proxy Statement for Annual Meeting of</w:t>
            </w:r>
          </w:p>
        </w:tc>
        <w:tc>
          <w:tcPr>
            <w:tcW w:w="3340" w:type="dxa"/>
            <w:vAlign w:val="bottom"/>
          </w:tcPr>
          <w:p>
            <w:pPr>
              <w:spacing w:after="0"/>
              <w:rPr>
                <w:sz w:val="24"/>
                <w:szCs w:val="24"/>
                <w:color w:val="auto"/>
              </w:rPr>
            </w:pPr>
          </w:p>
        </w:tc>
        <w:tc>
          <w:tcPr>
            <w:tcW w:w="4040" w:type="dxa"/>
            <w:vAlign w:val="bottom"/>
            <w:gridSpan w:val="3"/>
          </w:tcPr>
          <w:p>
            <w:pPr>
              <w:ind w:left="1760"/>
              <w:spacing w:after="0"/>
              <w:rPr>
                <w:sz w:val="20"/>
                <w:szCs w:val="20"/>
                <w:color w:val="auto"/>
              </w:rPr>
            </w:pPr>
            <w:r>
              <w:rPr>
                <w:rFonts w:ascii="Arial" w:cs="Arial" w:eastAsia="Arial" w:hAnsi="Arial"/>
                <w:sz w:val="18"/>
                <w:szCs w:val="18"/>
                <w:color w:val="auto"/>
              </w:rPr>
              <w:t>Part III</w:t>
            </w:r>
          </w:p>
        </w:tc>
      </w:tr>
      <w:tr>
        <w:trPr>
          <w:trHeight w:val="216"/>
        </w:trPr>
        <w:tc>
          <w:tcPr>
            <w:tcW w:w="36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w w:val="97"/>
              </w:rPr>
              <w:t>Shareholders to be held November 21, 2019</w:t>
            </w:r>
          </w:p>
        </w:tc>
        <w:tc>
          <w:tcPr>
            <w:tcW w:w="3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(the “2019 Proxy Statement”)</w:t>
            </w:r>
          </w:p>
        </w:tc>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82"/>
        </w:trPr>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340" w:type="dxa"/>
            <w:vAlign w:val="bottom"/>
          </w:tcPr>
          <w:p>
            <w:pPr>
              <w:jc w:val="right"/>
              <w:ind w:right="1550"/>
              <w:spacing w:after="0"/>
              <w:rPr>
                <w:sz w:val="20"/>
                <w:szCs w:val="20"/>
                <w:color w:val="auto"/>
              </w:rPr>
            </w:pPr>
            <w:r>
              <w:rPr>
                <w:rFonts w:ascii="Arial" w:cs="Arial" w:eastAsia="Arial" w:hAnsi="Arial"/>
                <w:sz w:val="14"/>
                <w:szCs w:val="14"/>
                <w:color w:val="auto"/>
              </w:rPr>
              <w:t>2</w:t>
            </w:r>
          </w:p>
        </w:tc>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gridSpan w:val="9"/>
            <w:vMerge w:val="restart"/>
          </w:tcPr>
          <w:p>
            <w:pPr>
              <w:jc w:val="center"/>
              <w:ind w:right="4600"/>
              <w:spacing w:after="0"/>
              <w:rPr>
                <w:sz w:val="20"/>
                <w:szCs w:val="20"/>
                <w:color w:val="auto"/>
              </w:rPr>
            </w:pPr>
            <w:r>
              <w:rPr>
                <w:rFonts w:ascii="Arial" w:cs="Arial" w:eastAsia="Arial" w:hAnsi="Arial"/>
                <w:sz w:val="18"/>
                <w:szCs w:val="18"/>
                <w:color w:val="auto"/>
                <w:w w:val="92"/>
              </w:rPr>
              <w:t>PART I</w:t>
            </w:r>
          </w:p>
        </w:tc>
        <w:tc>
          <w:tcPr>
            <w:tcW w:w="820" w:type="dxa"/>
            <w:vAlign w:val="bottom"/>
            <w:gridSpan w:val="3"/>
          </w:tcPr>
          <w:p>
            <w:pPr>
              <w:ind w:left="34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gridSpan w:val="9"/>
            <w:vMerge w:val="continue"/>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INTRODUCTION</w:t>
              </w:r>
            </w:hyperlink>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8440" w:type="dxa"/>
            <w:vAlign w:val="bottom"/>
            <w:tcBorders>
              <w:bottom w:val="single" w:sz="8" w:color="CCEEFF"/>
            </w:tcBorders>
            <w:gridSpan w:val="19"/>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700" w:type="dxa"/>
            <w:vAlign w:val="bottom"/>
            <w:gridSpan w:val="26"/>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PROPERTIES</w:t>
              </w:r>
            </w:hyperlink>
          </w:p>
        </w:tc>
        <w:tc>
          <w:tcPr>
            <w:tcW w:w="8640" w:type="dxa"/>
            <w:vAlign w:val="bottom"/>
            <w:tcBorders>
              <w:bottom w:val="single" w:sz="8" w:color="CCEEFF"/>
            </w:tcBorders>
            <w:gridSpan w:val="20"/>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26"/>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INFORMATION ABOUT OUR EXECUTIVE OFFICERS</w:t>
              </w:r>
            </w:hyperlink>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20" w:type="dxa"/>
            <w:vAlign w:val="bottom"/>
            <w:gridSpan w:val="9"/>
            <w:shd w:val="clear" w:color="auto" w:fill="CCEEFF"/>
          </w:tcPr>
          <w:p>
            <w:pPr>
              <w:jc w:val="center"/>
              <w:ind w:right="4580"/>
              <w:spacing w:after="0"/>
              <w:rPr>
                <w:sz w:val="20"/>
                <w:szCs w:val="20"/>
                <w:color w:val="auto"/>
              </w:rPr>
            </w:pPr>
            <w:r>
              <w:rPr>
                <w:rFonts w:ascii="Arial" w:cs="Arial" w:eastAsia="Arial" w:hAnsi="Arial"/>
                <w:sz w:val="18"/>
                <w:szCs w:val="18"/>
                <w:color w:val="auto"/>
                <w:w w:val="95"/>
              </w:rPr>
              <w:t>PART II</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MARKET FOR REGISTRANT’S COMMON EQUITY, RELATED STOCKHOLDER MATTERS AND ISSUER PURCHASES</w:t>
              </w:r>
            </w:hyperlink>
          </w:p>
        </w:tc>
        <w:tc>
          <w:tcPr>
            <w:tcW w:w="3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OF EQUITY SECURITIES</w:t>
              </w:r>
            </w:hyperlink>
          </w:p>
        </w:tc>
        <w:tc>
          <w:tcPr>
            <w:tcW w:w="7520" w:type="dxa"/>
            <w:vAlign w:val="bottom"/>
            <w:tcBorders>
              <w:bottom w:val="single" w:sz="8" w:color="CCEEFF"/>
            </w:tcBorders>
            <w:gridSpan w:val="16"/>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2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7A.</w:t>
            </w:r>
          </w:p>
        </w:tc>
        <w:tc>
          <w:tcPr>
            <w:tcW w:w="892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780" w:type="dxa"/>
            <w:vAlign w:val="bottom"/>
            <w:tcBorders>
              <w:top w:val="single" w:sz="8" w:color="CCEEFF"/>
            </w:tcBorders>
            <w:gridSpan w:val="3"/>
          </w:tcPr>
          <w:p>
            <w:pPr>
              <w:spacing w:after="0"/>
              <w:rPr>
                <w:sz w:val="15"/>
                <w:szCs w:val="15"/>
                <w:color w:val="auto"/>
              </w:rPr>
            </w:pPr>
          </w:p>
        </w:tc>
        <w:tc>
          <w:tcPr>
            <w:tcW w:w="8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700" w:type="dxa"/>
            <w:vAlign w:val="bottom"/>
            <w:gridSpan w:val="26"/>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26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100" w:type="dxa"/>
            <w:vAlign w:val="bottom"/>
            <w:tcBorders>
              <w:top w:val="single" w:sz="8" w:color="CCEEFF"/>
            </w:tcBorders>
            <w:gridSpan w:val="13"/>
          </w:tcPr>
          <w:p>
            <w:pPr>
              <w:spacing w:after="0"/>
              <w:rPr>
                <w:sz w:val="15"/>
                <w:szCs w:val="15"/>
                <w:color w:val="auto"/>
              </w:rPr>
            </w:pPr>
          </w:p>
        </w:tc>
        <w:tc>
          <w:tcPr>
            <w:tcW w:w="8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10"/>
          </w:tcPr>
          <w:p>
            <w:pPr>
              <w:jc w:val="center"/>
              <w:ind w:right="4400"/>
              <w:spacing w:after="0"/>
              <w:rPr>
                <w:sz w:val="20"/>
                <w:szCs w:val="20"/>
                <w:color w:val="auto"/>
              </w:rPr>
            </w:pPr>
            <w:r>
              <w:rPr>
                <w:rFonts w:ascii="Arial" w:cs="Arial" w:eastAsia="Arial" w:hAnsi="Arial"/>
                <w:sz w:val="18"/>
                <w:szCs w:val="18"/>
                <w:color w:val="auto"/>
                <w:w w:val="96"/>
              </w:rPr>
              <w:t>PART III</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700" w:type="dxa"/>
            <w:vAlign w:val="bottom"/>
            <w:gridSpan w:val="26"/>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2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EXECUTIVE COMPENSATION</w:t>
              </w:r>
            </w:hyperlink>
          </w:p>
        </w:tc>
        <w:tc>
          <w:tcPr>
            <w:tcW w:w="7240" w:type="dxa"/>
            <w:vAlign w:val="bottom"/>
            <w:tcBorders>
              <w:bottom w:val="single" w:sz="8" w:color="CCEEFF"/>
            </w:tcBorders>
            <w:gridSpan w:val="14"/>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22"/>
          </w:tcPr>
          <w:p>
            <w:pPr>
              <w:spacing w:after="0" w:line="17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SECURITY OWNERSHIP OF CERTAIN BENEFICIAL OWNERS AND MANAGEMENT AND RELATED</w:t>
              </w:r>
            </w:hyperlink>
          </w:p>
        </w:tc>
        <w:tc>
          <w:tcPr>
            <w:tcW w:w="1680" w:type="dxa"/>
            <w:vAlign w:val="bottom"/>
            <w:gridSpan w:val="4"/>
          </w:tcPr>
          <w:p>
            <w:pPr>
              <w:spacing w:after="0"/>
              <w:rPr>
                <w:sz w:val="15"/>
                <w:szCs w:val="15"/>
                <w:color w:val="auto"/>
              </w:rPr>
            </w:pPr>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STOCKHOLDER MATTERS</w:t>
              </w:r>
            </w:hyperlink>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770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2000" w:type="dxa"/>
            <w:vAlign w:val="bottom"/>
            <w:tcBorders>
              <w:top w:val="single" w:sz="8" w:color="CCEEFF"/>
            </w:tcBorders>
            <w:gridSpan w:val="5"/>
          </w:tcPr>
          <w:p>
            <w:pPr>
              <w:spacing w:after="0"/>
              <w:rPr>
                <w:sz w:val="15"/>
                <w:szCs w:val="15"/>
                <w:color w:val="auto"/>
              </w:rPr>
            </w:pPr>
          </w:p>
        </w:tc>
        <w:tc>
          <w:tcPr>
            <w:tcW w:w="8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10"/>
          </w:tcPr>
          <w:p>
            <w:pPr>
              <w:jc w:val="center"/>
              <w:ind w:right="4400"/>
              <w:spacing w:after="0"/>
              <w:rPr>
                <w:sz w:val="20"/>
                <w:szCs w:val="20"/>
                <w:color w:val="auto"/>
              </w:rPr>
            </w:pPr>
            <w:r>
              <w:rPr>
                <w:rFonts w:ascii="Arial" w:cs="Arial" w:eastAsia="Arial" w:hAnsi="Arial"/>
                <w:sz w:val="18"/>
                <w:szCs w:val="18"/>
                <w:color w:val="auto"/>
                <w:w w:val="94"/>
              </w:rPr>
              <w:t>PART IV</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700" w:type="dxa"/>
            <w:vAlign w:val="bottom"/>
            <w:gridSpan w:val="26"/>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EXHIBITS, AND FINANCIAL STATEMENT SCHEDULES</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7"/>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INDEX TO EXHIBITS</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7"/>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5620" w:type="dxa"/>
            <w:vAlign w:val="bottom"/>
            <w:gridSpan w:val="17"/>
          </w:tcPr>
          <w:p>
            <w:pPr>
              <w:jc w:val="center"/>
              <w:ind w:left="3528"/>
              <w:spacing w:after="0"/>
              <w:rPr>
                <w:sz w:val="20"/>
                <w:szCs w:val="20"/>
                <w:color w:val="auto"/>
              </w:rPr>
            </w:pPr>
            <w:r>
              <w:rPr>
                <w:rFonts w:ascii="Arial" w:cs="Arial" w:eastAsia="Arial" w:hAnsi="Arial"/>
                <w:sz w:val="14"/>
                <w:szCs w:val="14"/>
                <w:color w:val="auto"/>
                <w:w w:val="76"/>
              </w:rPr>
              <w:t>3</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General</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This report contains references to years 2019, 2018 and 2017, which represent our fiscal years ended August 2, 2019, August 3, 2018 and July 28, 2017, respectively.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Statements/Risk Factors</w:t>
      </w:r>
    </w:p>
    <w:p>
      <w:pPr>
        <w:spacing w:after="0" w:line="2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the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or intention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I</w:t>
      </w: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OVERVIEW</w:t>
      </w:r>
    </w:p>
    <w:p>
      <w:pPr>
        <w:spacing w:after="0" w:line="23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Cracker Barrel Old Country Store, Inc. (“we,” “us,” “our” or the “Company,” which reference, unless the context requires otherwise, also includes our direct and indirect wholly 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0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We maintain a website at crackerbarrel.com. We make available free of charge through our website our periodic and other reports filed with or furnished to the SEC pursuant to the Securities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Cracker Barrel Old Country Store Concept</w:t>
      </w:r>
    </w:p>
    <w:p>
      <w:pPr>
        <w:spacing w:after="0" w:line="233"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As of September 18, 2019, we operated 660 Cracker Barrel stores in 45 states. None of our stores are franchised. Our stores are intended to appeal to both the traveler and the local customer, and we believe they have consistently been a consumer favorite. We pride ourselves on our consistent quality, value and friendly service.</w:t>
      </w:r>
    </w:p>
    <w:p>
      <w:pPr>
        <w:spacing w:after="0" w:line="213" w:lineRule="exact"/>
        <w:rPr>
          <w:sz w:val="20"/>
          <w:szCs w:val="20"/>
          <w:color w:val="auto"/>
        </w:rPr>
      </w:pPr>
    </w:p>
    <w:p>
      <w:pPr>
        <w:jc w:val="both"/>
        <w:ind w:firstLine="324"/>
        <w:spacing w:after="0" w:line="247" w:lineRule="exact"/>
        <w:rPr>
          <w:sz w:val="20"/>
          <w:szCs w:val="20"/>
          <w:color w:val="auto"/>
        </w:rPr>
      </w:pPr>
      <w:r>
        <w:rPr>
          <w:rFonts w:ascii="Arial" w:cs="Arial" w:eastAsia="Arial" w:hAnsi="Arial"/>
          <w:sz w:val="22"/>
          <w:szCs w:val="22"/>
          <w:u w:val="single" w:color="auto"/>
          <w:color w:val="auto"/>
        </w:rPr>
        <w:t>Store Format</w:t>
      </w:r>
      <w:r>
        <w:rPr>
          <w:rFonts w:ascii="Arial" w:cs="Arial" w:eastAsia="Arial" w:hAnsi="Arial"/>
          <w:sz w:val="22"/>
          <w:szCs w:val="22"/>
          <w:color w:val="auto"/>
        </w:rPr>
        <w:t>: The format of our stores consists of a trademarked rustic old country-store design offering a full-service restaurant menu that features home-style country food and a wide variety of decorative and functional items such as rocking chairs, holiday and seasonal gifts, toys, apparel, cookware and foods. All stores are freestanding buildings and consist of approximately 20% of gift shop space with the remainder dedicated to our restaurant, training and storage space. Our stores have stone fireplaces and are decorated with antique</w:t>
      </w:r>
      <w:r>
        <w:rPr>
          <w:rFonts w:ascii="MS PGothic" w:cs="MS PGothic" w:eastAsia="MS PGothic" w:hAnsi="MS PGothic"/>
          <w:sz w:val="22"/>
          <w:szCs w:val="22"/>
          <w:color w:val="auto"/>
        </w:rPr>
        <w:t>‑</w:t>
      </w:r>
      <w:r>
        <w:rPr>
          <w:rFonts w:ascii="Arial" w:cs="Arial" w:eastAsia="Arial" w:hAnsi="Arial"/>
          <w:sz w:val="22"/>
          <w:szCs w:val="22"/>
          <w:color w:val="auto"/>
        </w:rPr>
        <w:t>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w:t>
      </w:r>
    </w:p>
    <w:p>
      <w:pPr>
        <w:spacing w:after="0" w:line="215"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21"/>
          <w:szCs w:val="21"/>
          <w:u w:val="single" w:color="auto"/>
          <w:color w:val="auto"/>
        </w:rPr>
        <w:t>Products</w:t>
      </w:r>
      <w:r>
        <w:rPr>
          <w:rFonts w:ascii="Arial" w:cs="Arial" w:eastAsia="Arial" w:hAnsi="Arial"/>
          <w:sz w:val="21"/>
          <w:szCs w:val="21"/>
          <w:color w:val="auto"/>
        </w:rPr>
        <w:t>: Our restaurants, which generated approximately 81% of our total revenue in 2019, offer home-style country cooking featuring many of our own recipes that emphasize authenticity and quality. Our restaurants serve breakfast, lunch and dinner daily. Menu items are moderately priced. The restaurants do not serve alcoholic beverages.</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Breakfast items can be ordered at any time throughout the day and include juices, eggs, pancakes, fruit and yogurt parfaits, meat, grits, and a variety of biscuit specialties, such as gravy and biscuits and country ham and biscuits. Lunch and dinner items include southern fried chicken, chicken and dumplings, chicken fried chicken, meatloaf, country fried steak, pork chops, fish, steak, roast beef, vegetable plates, sandwiches and a variety of salads. Additionally,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for both breakfast and lunch/dinner. The average check per guest during 2019 was $10.84, which represents a 3.3% increase over the prior year. We served an average of approximately 6,700 restaurant guests per week in a typical store in 2019.</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the price ranges for our meals in 2019:</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Price Range</w:t>
            </w:r>
          </w:p>
        </w:tc>
      </w:tr>
      <w:tr>
        <w:trPr>
          <w:trHeight w:val="216"/>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Breakfast</w:t>
            </w:r>
          </w:p>
        </w:tc>
        <w:tc>
          <w:tcPr>
            <w:tcW w:w="3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4.99 to $12.89</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Lunch and Dinner</w:t>
            </w: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4.89 to $17.69</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each day-part’s percentage of restaurant sales in 2019:</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4160" w:type="dxa"/>
            <w:vAlign w:val="bottom"/>
            <w:gridSpan w:val="2"/>
          </w:tcPr>
          <w:p>
            <w:pPr>
              <w:jc w:val="center"/>
              <w:ind w:left="2370"/>
              <w:spacing w:after="0"/>
              <w:rPr>
                <w:sz w:val="20"/>
                <w:szCs w:val="20"/>
                <w:color w:val="auto"/>
              </w:rPr>
            </w:pPr>
            <w:r>
              <w:rPr>
                <w:rFonts w:ascii="Arial" w:cs="Arial" w:eastAsia="Arial" w:hAnsi="Arial"/>
                <w:sz w:val="18"/>
                <w:szCs w:val="18"/>
                <w:color w:val="auto"/>
                <w:w w:val="87"/>
              </w:rPr>
              <w:t>Percentage of</w:t>
            </w:r>
          </w:p>
        </w:tc>
      </w:tr>
      <w:tr>
        <w:trPr>
          <w:trHeight w:val="216"/>
        </w:trPr>
        <w:tc>
          <w:tcPr>
            <w:tcW w:w="5800" w:type="dxa"/>
            <w:vAlign w:val="bottom"/>
          </w:tcPr>
          <w:p>
            <w:pPr>
              <w:spacing w:after="0"/>
              <w:rPr>
                <w:sz w:val="18"/>
                <w:szCs w:val="18"/>
                <w:color w:val="auto"/>
              </w:rPr>
            </w:pPr>
          </w:p>
        </w:tc>
        <w:tc>
          <w:tcPr>
            <w:tcW w:w="4160" w:type="dxa"/>
            <w:vAlign w:val="bottom"/>
            <w:gridSpan w:val="2"/>
          </w:tcPr>
          <w:p>
            <w:pPr>
              <w:jc w:val="center"/>
              <w:ind w:left="2390"/>
              <w:spacing w:after="0"/>
              <w:rPr>
                <w:sz w:val="20"/>
                <w:szCs w:val="20"/>
                <w:color w:val="auto"/>
              </w:rPr>
            </w:pPr>
            <w:r>
              <w:rPr>
                <w:rFonts w:ascii="Arial" w:cs="Arial" w:eastAsia="Arial" w:hAnsi="Arial"/>
                <w:sz w:val="18"/>
                <w:szCs w:val="18"/>
                <w:color w:val="auto"/>
                <w:w w:val="86"/>
              </w:rPr>
              <w:t>Restaurant</w:t>
            </w:r>
          </w:p>
        </w:tc>
      </w:tr>
      <w:tr>
        <w:trPr>
          <w:trHeight w:val="237"/>
        </w:trPr>
        <w:tc>
          <w:tcPr>
            <w:tcW w:w="58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jc w:val="center"/>
              <w:ind w:left="2570"/>
              <w:spacing w:after="0"/>
              <w:rPr>
                <w:sz w:val="20"/>
                <w:szCs w:val="20"/>
                <w:color w:val="auto"/>
              </w:rPr>
            </w:pPr>
            <w:r>
              <w:rPr>
                <w:rFonts w:ascii="Arial" w:cs="Arial" w:eastAsia="Arial" w:hAnsi="Arial"/>
                <w:sz w:val="18"/>
                <w:szCs w:val="18"/>
                <w:color w:val="auto"/>
                <w:w w:val="87"/>
              </w:rPr>
              <w:t>Sales in 2019</w:t>
            </w:r>
          </w:p>
        </w:tc>
        <w:tc>
          <w:tcPr>
            <w:tcW w:w="180" w:type="dxa"/>
            <w:vAlign w:val="bottom"/>
          </w:tcPr>
          <w:p>
            <w:pPr>
              <w:spacing w:after="0"/>
              <w:rPr>
                <w:sz w:val="20"/>
                <w:szCs w:val="20"/>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4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Dinner Day-Part (4:00 p.m. to close)</w:t>
            </w:r>
          </w:p>
        </w:tc>
        <w:tc>
          <w:tcPr>
            <w:tcW w:w="4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7"/>
        </w:trPr>
        <w:tc>
          <w:tcPr>
            <w:tcW w:w="5800" w:type="dxa"/>
            <w:vAlign w:val="bottom"/>
            <w:shd w:val="clear" w:color="auto" w:fill="000000"/>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also offer items for sale in our gift shops that are featured on, or related to, the restaurant menu, such as pies, cornbread mix, coffee, syrups and pancake mixes. Our gift shops offer a wide variety of decorative and functional items such as rocking chairs, seasonal gifts, apparel, toys, music CDs, cookware and various other gift items, as well as various candies, preserves and other food items.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the five categories which accounted for the largest shares of our retail sales in 2019:</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780" w:type="dxa"/>
            <w:vAlign w:val="bottom"/>
            <w:gridSpan w:val="2"/>
          </w:tcPr>
          <w:p>
            <w:pPr>
              <w:jc w:val="center"/>
              <w:ind w:left="2990"/>
              <w:spacing w:after="0"/>
              <w:rPr>
                <w:sz w:val="20"/>
                <w:szCs w:val="20"/>
                <w:color w:val="auto"/>
              </w:rPr>
            </w:pPr>
            <w:r>
              <w:rPr>
                <w:rFonts w:ascii="Arial" w:cs="Arial" w:eastAsia="Arial" w:hAnsi="Arial"/>
                <w:sz w:val="18"/>
                <w:szCs w:val="18"/>
                <w:color w:val="auto"/>
                <w:w w:val="87"/>
              </w:rPr>
              <w:t>Percentage of</w:t>
            </w:r>
          </w:p>
        </w:tc>
      </w:tr>
      <w:tr>
        <w:trPr>
          <w:trHeight w:val="216"/>
        </w:trPr>
        <w:tc>
          <w:tcPr>
            <w:tcW w:w="5180" w:type="dxa"/>
            <w:vAlign w:val="bottom"/>
          </w:tcPr>
          <w:p>
            <w:pPr>
              <w:spacing w:after="0"/>
              <w:rPr>
                <w:sz w:val="18"/>
                <w:szCs w:val="18"/>
                <w:color w:val="auto"/>
              </w:rPr>
            </w:pPr>
          </w:p>
        </w:tc>
        <w:tc>
          <w:tcPr>
            <w:tcW w:w="4780" w:type="dxa"/>
            <w:vAlign w:val="bottom"/>
            <w:gridSpan w:val="2"/>
          </w:tcPr>
          <w:p>
            <w:pPr>
              <w:jc w:val="center"/>
              <w:ind w:left="3010"/>
              <w:spacing w:after="0"/>
              <w:rPr>
                <w:sz w:val="20"/>
                <w:szCs w:val="20"/>
                <w:color w:val="auto"/>
              </w:rPr>
            </w:pPr>
            <w:r>
              <w:rPr>
                <w:rFonts w:ascii="Arial" w:cs="Arial" w:eastAsia="Arial" w:hAnsi="Arial"/>
                <w:sz w:val="18"/>
                <w:szCs w:val="18"/>
                <w:color w:val="auto"/>
                <w:w w:val="90"/>
              </w:rPr>
              <w:t>Retail Sales in</w:t>
            </w:r>
          </w:p>
        </w:tc>
      </w:tr>
      <w:tr>
        <w:trPr>
          <w:trHeight w:val="237"/>
        </w:trPr>
        <w:tc>
          <w:tcPr>
            <w:tcW w:w="518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center"/>
              <w:ind w:left="319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4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Food</w:t>
            </w:r>
          </w:p>
        </w:tc>
        <w:tc>
          <w:tcPr>
            <w:tcW w:w="47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Décor</w:t>
            </w:r>
          </w:p>
        </w:tc>
        <w:tc>
          <w:tcPr>
            <w:tcW w:w="4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Toys</w:t>
            </w:r>
          </w:p>
        </w:tc>
        <w:tc>
          <w:tcPr>
            <w:tcW w:w="4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4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7"/>
        </w:trPr>
        <w:tc>
          <w:tcPr>
            <w:tcW w:w="5180" w:type="dxa"/>
            <w:vAlign w:val="bottom"/>
            <w:shd w:val="clear" w:color="auto" w:fill="000000"/>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Our typical gift shop features approximately 4,000 stock keeping units. A selection of the food items are sold under the “Cracker Barrel Old Country Store” brand name. We believe that we achieve high retail sales per square foot of retail selling space (approximately $427 per square foot in 2019) as compared to mall stores both by offering appealing merchandise and by having a significant source of customers who are typically our restaurant guests.</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u w:val="single" w:color="auto"/>
          <w:color w:val="auto"/>
        </w:rPr>
        <w:t>Product Development and Merchandising</w:t>
      </w:r>
      <w:r>
        <w:rPr>
          <w:rFonts w:ascii="Arial" w:cs="Arial" w:eastAsia="Arial" w:hAnsi="Arial"/>
          <w:sz w:val="19"/>
          <w:szCs w:val="19"/>
          <w:color w:val="auto"/>
        </w:rPr>
        <w:t>: We maintain a product development department, which develops new and improved menu items either in response to shifts in customer preferences or to create customer interest. We use a formal development and testing process, which includes guest research and in-store market tests to ensure products brought to market have a greater likelihood of meeting our goals. Menu-driven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Our assortment includes core and seasonal themes. Our seasonal themes are designed to create interest and excitement in our stores by providing our guests with additional choices.</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u w:val="single" w:color="auto"/>
          <w:color w:val="auto"/>
        </w:rPr>
        <w:t>Store Management and Quality Controls</w:t>
      </w:r>
      <w:r>
        <w:rPr>
          <w:rFonts w:ascii="Arial" w:cs="Arial" w:eastAsia="Arial" w:hAnsi="Arial"/>
          <w:sz w:val="22"/>
          <w:szCs w:val="22"/>
          <w:color w:val="auto"/>
        </w:rPr>
        <w:t>: At each store, our store management typically consists of one general manager, four associate managers and one retail manager. Our store management is responsible for an average of 102 employees operating two shifts. The relative complexity of operating one of our stores requires an effective management team at the individual store level. To motivate store managers to improve sales and operational performance, we maintain bonus plans designed to provide store managers with an opportunity to share in the profits of their store. The bonus plans also reward managers who achieve specific operational targets. Each store is assigned to both a restaurant and a retail district manager who each report to a regional vice president.</w:t>
      </w: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To ensure that individual stores operate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assessments designed to identify those applicants most likely to be best suited to manage store operations. Candidates who successfully pass this screening process are then required to complete a training program. We believe that our training programs develop managers who effectively deliver a great employee and guest experience through the leadership and execution of our operating systems. We provide our managers and hourly employees with ongoing training through various development courses taught through a blended learning approach, including a mix of hands-on, traditional classroom, written and cloud-based training. Each store is equipped with dedicated training computers and cloud-based proprietary eLearning instruction programs. Additionally, each store typically has an employee training coordinator who oversees the training of the store’s hourly employees.</w:t>
      </w:r>
    </w:p>
    <w:p>
      <w:pPr>
        <w:sectPr>
          <w:pgSz w:w="11900" w:h="16838" w:orient="portrait"/>
          <w:cols w:equalWidth="0" w:num="1">
            <w:col w:w="11420"/>
          </w:cols>
          <w:pgMar w:left="240" w:top="121"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46" w:lineRule="exact"/>
        <w:rPr>
          <w:sz w:val="20"/>
          <w:szCs w:val="20"/>
          <w:color w:val="auto"/>
        </w:rPr>
      </w:pPr>
      <w:r>
        <w:rPr>
          <w:rFonts w:ascii="Arial" w:cs="Arial" w:eastAsia="Arial" w:hAnsi="Arial"/>
          <w:sz w:val="22"/>
          <w:szCs w:val="22"/>
          <w:u w:val="single" w:color="auto"/>
          <w:color w:val="auto"/>
        </w:rPr>
        <w:t>Purchasing and Distribution</w:t>
      </w:r>
      <w:r>
        <w:rPr>
          <w:rFonts w:ascii="Arial" w:cs="Arial" w:eastAsia="Arial" w:hAnsi="Arial"/>
          <w:sz w:val="22"/>
          <w:szCs w:val="22"/>
          <w:color w:val="auto"/>
        </w:rPr>
        <w:t>: We negotiate directly with food vendors as to specification, price and other material terms of most food purchases. We have a contract with an unaffiliated distributor with custom distribution centers in Lebanon, Tennessee; McKinney, Texas; Gainesville, Florida; Elkton, Maryland; Kendallville, Indiana; Rock Hill, South Carolina; and Shafter, California. We purchase the majority of our food products and restaurant supplies on a cost</w:t>
      </w:r>
      <w:r>
        <w:rPr>
          <w:rFonts w:ascii="MS PGothic" w:cs="MS PGothic" w:eastAsia="MS PGothic" w:hAnsi="MS PGothic"/>
          <w:sz w:val="22"/>
          <w:szCs w:val="22"/>
          <w:color w:val="auto"/>
        </w:rPr>
        <w:t>‑</w:t>
      </w:r>
      <w:r>
        <w:rPr>
          <w:rFonts w:ascii="Arial" w:cs="Arial" w:eastAsia="Arial" w:hAnsi="Arial"/>
          <w:sz w:val="22"/>
          <w:szCs w:val="22"/>
          <w:color w:val="auto"/>
        </w:rPr>
        <w:t>plus basis through this unaffiliated distributor. The distributor is responsible for placing food orders, warehousing and delivering food products to our stores. Deliveries are generally made once per week to individual stores. Produce is purchased through a national program and is delivered three times a week through a network of approximately fifty independent produce suppliers. Fluid dairy is delivered three times a week through approximately fifty regional dairies, the majority of which are under the ownership of two separate companies.</w:t>
      </w:r>
    </w:p>
    <w:p>
      <w:pPr>
        <w:spacing w:after="0" w:line="2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table highlights the five food categories which accounted for the largest shares of our food purchasing expense in 2019:</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840" w:type="dxa"/>
            <w:vAlign w:val="bottom"/>
            <w:gridSpan w:val="2"/>
          </w:tcPr>
          <w:p>
            <w:pPr>
              <w:jc w:val="center"/>
              <w:ind w:left="3170"/>
              <w:spacing w:after="0"/>
              <w:rPr>
                <w:sz w:val="20"/>
                <w:szCs w:val="20"/>
                <w:color w:val="auto"/>
              </w:rPr>
            </w:pPr>
            <w:r>
              <w:rPr>
                <w:rFonts w:ascii="Arial" w:cs="Arial" w:eastAsia="Arial" w:hAnsi="Arial"/>
                <w:sz w:val="18"/>
                <w:szCs w:val="18"/>
                <w:color w:val="auto"/>
                <w:w w:val="87"/>
              </w:rPr>
              <w:t>Percentage of</w:t>
            </w:r>
          </w:p>
        </w:tc>
      </w:tr>
      <w:tr>
        <w:trPr>
          <w:trHeight w:val="216"/>
        </w:trPr>
        <w:tc>
          <w:tcPr>
            <w:tcW w:w="5120" w:type="dxa"/>
            <w:vAlign w:val="bottom"/>
          </w:tcPr>
          <w:p>
            <w:pPr>
              <w:spacing w:after="0"/>
              <w:rPr>
                <w:sz w:val="18"/>
                <w:szCs w:val="18"/>
                <w:color w:val="auto"/>
              </w:rPr>
            </w:pPr>
          </w:p>
        </w:tc>
        <w:tc>
          <w:tcPr>
            <w:tcW w:w="4840" w:type="dxa"/>
            <w:vAlign w:val="bottom"/>
            <w:gridSpan w:val="2"/>
          </w:tcPr>
          <w:p>
            <w:pPr>
              <w:jc w:val="center"/>
              <w:ind w:left="3170"/>
              <w:spacing w:after="0"/>
              <w:rPr>
                <w:sz w:val="20"/>
                <w:szCs w:val="20"/>
                <w:color w:val="auto"/>
              </w:rPr>
            </w:pPr>
            <w:r>
              <w:rPr>
                <w:rFonts w:ascii="Arial" w:cs="Arial" w:eastAsia="Arial" w:hAnsi="Arial"/>
                <w:sz w:val="18"/>
                <w:szCs w:val="18"/>
                <w:color w:val="auto"/>
                <w:w w:val="86"/>
              </w:rPr>
              <w:t>Food Purchases</w:t>
            </w:r>
          </w:p>
        </w:tc>
      </w:tr>
      <w:tr>
        <w:trPr>
          <w:trHeight w:val="237"/>
        </w:trPr>
        <w:tc>
          <w:tcPr>
            <w:tcW w:w="51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jc w:val="center"/>
              <w:ind w:left="3350"/>
              <w:spacing w:after="0"/>
              <w:rPr>
                <w:sz w:val="20"/>
                <w:szCs w:val="20"/>
                <w:color w:val="auto"/>
              </w:rPr>
            </w:pPr>
            <w:r>
              <w:rPr>
                <w:rFonts w:ascii="Arial" w:cs="Arial" w:eastAsia="Arial" w:hAnsi="Arial"/>
                <w:sz w:val="18"/>
                <w:szCs w:val="18"/>
                <w:color w:val="auto"/>
                <w:w w:val="91"/>
              </w:rPr>
              <w:t>in 2019</w:t>
            </w:r>
          </w:p>
        </w:tc>
        <w:tc>
          <w:tcPr>
            <w:tcW w:w="18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Dairy (including eggs)</w:t>
            </w:r>
          </w:p>
        </w:tc>
        <w:tc>
          <w:tcPr>
            <w:tcW w:w="4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Poultry</w:t>
            </w:r>
          </w:p>
        </w:tc>
        <w:tc>
          <w:tcPr>
            <w:tcW w:w="4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7"/>
        </w:trPr>
        <w:tc>
          <w:tcPr>
            <w:tcW w:w="5120" w:type="dxa"/>
            <w:vAlign w:val="bottom"/>
            <w:shd w:val="clear" w:color="auto" w:fill="000000"/>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Each of these categories includes several individual items. The single food item within these categories that accounted for the largest share of our food purchasing expense in 2019 was bacon at approximately 5% of total food purchases. Dairy, fruits and vegetables are purchased through numerous vendors, including local vendors. Eggs are purchased through five vendors. We purchase our pork through six vendors, poultry through eleven vendors and beef through nine vendors. Should any food items from a particular vendor become unavailable, we generally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21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We purchase the majority of our retail items (approximately 80% in 2019) directly from domestic and international vendors and warehouse, or crossdock, such items at our retail distribution center in Lebanon, Tennessee, which we lease.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individual stores.</w:t>
      </w:r>
    </w:p>
    <w:p>
      <w:pPr>
        <w:spacing w:after="0" w:line="206"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Approximately one-third of our 2019 retail items were purchased directly from vendors in the People’s Republic of China. We have relationships with several foreign buying agencies to source product, monitor quality control and supplement product development.</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u w:val="single" w:color="auto"/>
          <w:color w:val="auto"/>
        </w:rPr>
        <w:t>Operational and Inventory Controls</w:t>
      </w:r>
      <w:r>
        <w:rPr>
          <w:rFonts w:ascii="Arial" w:cs="Arial" w:eastAsia="Arial" w:hAnsi="Arial"/>
          <w:sz w:val="19"/>
          <w:szCs w:val="19"/>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u w:val="single" w:color="auto"/>
          <w:color w:val="auto"/>
        </w:rPr>
        <w:t>Guest Satisfaction</w:t>
      </w:r>
      <w:r>
        <w:rPr>
          <w:rFonts w:ascii="Arial" w:cs="Arial" w:eastAsia="Arial" w:hAnsi="Arial"/>
          <w:sz w:val="19"/>
          <w:szCs w:val="19"/>
          <w:color w:val="auto"/>
        </w:rPr>
        <w:t>: We are committed to providing our guests a home-style, country-cooked meal, and a variety of retail merchandise served and sold with genuine hospitality in a comfortable environment.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operational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Internet and interactive voice response systems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on how to gather information and investigate and resolve customer concerns. This is accompanied by comprehensive training for all store employees on our public accommodations policy and commitment to “Pleasing People.”</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u w:val="single" w:color="auto"/>
          <w:color w:val="auto"/>
        </w:rPr>
        <w:t>Marketing</w:t>
      </w:r>
      <w:r>
        <w:rPr>
          <w:rFonts w:ascii="Arial" w:cs="Arial" w:eastAsia="Arial" w:hAnsi="Arial"/>
          <w:sz w:val="21"/>
          <w:szCs w:val="21"/>
          <w:color w:val="auto"/>
        </w:rPr>
        <w:t>: We employ multiple media to reach and engage our guests. Outdoor advertising (i.e., billboards and state department of transportation signs) is the largest advertising vehicle we use to reach our traveling and local guests. In 2019, we had over 1,600 billboards and this expenditure accounts for approximately one-third of total advertising spend annually. Our use of non-billboard media has increased in recent years as we look to build market awareness for local occasions. This increased support has used broadcast television, national cable, Internet, mobile, social, email and search marketing. We continued to increase our efforts in the digital space to drive preference and engagement with the brand. We now have properties on multiple social media sites, an e-commerce platform and our brand site. Our exclusive music program drives awareness for the brand and builds cultural relevance and affinity with our guests.</w:t>
      </w:r>
    </w:p>
    <w:p>
      <w:pPr>
        <w:spacing w:after="0" w:line="2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u w:val="single" w:color="auto"/>
          <w:color w:val="auto"/>
        </w:rPr>
        <w:t>Store Development:</w:t>
      </w:r>
      <w:r>
        <w:rPr>
          <w:rFonts w:ascii="Arial" w:cs="Arial" w:eastAsia="Arial" w:hAnsi="Arial"/>
          <w:sz w:val="19"/>
          <w:szCs w:val="19"/>
          <w:color w:val="auto"/>
        </w:rPr>
        <w:t xml:space="preserve"> We opened eight new stores in 2019. We plan to open six new stores during 2020. As of September 18, 2019, approximately 83% of our stores are located along interstate highways. Our remaining stores are located off-interstate or near tourist destinations. We pursue development of both interstate locations and off-interstate locations to capitalize on the strength of our brand with travelers on the interstate highway system and by locating in certain local markets where our guests live and work, including locations outside of our existing core markets and in states where we currently do not operate.</w:t>
      </w:r>
    </w:p>
    <w:p>
      <w:pPr>
        <w:spacing w:after="0" w:line="17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Of the 660 stores open as of September 18, 2019, we own the land and buildings for 420, while the other 240 properties are either ground leases or ground and building leases. Land costs for stores opened during 2019 averaged $1,026 per site if owned. Building, site improvement, furniture, equipment and related development costs for stores opened during 2019 averaged $4,700. Pre-opening costs averaged $587 per store in 2019.</w:t>
      </w:r>
    </w:p>
    <w:p>
      <w:pPr>
        <w:spacing w:after="0" w:line="21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21"/>
          <w:szCs w:val="21"/>
          <w:color w:val="auto"/>
        </w:rPr>
        <w:t>Our current store prototype is approximately 9,000 square feet, including approximately 2,100 square feet of retail selling space, and has dining room seating for approximately 180 guests. Our capital investment in new stores may differ in the future due to changes in our store prototype, building design specifications, site location and site characteristics.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Holler &amp; Dash Concept</w:t>
      </w:r>
    </w:p>
    <w:p>
      <w:pPr>
        <w:spacing w:after="0" w:line="227" w:lineRule="exact"/>
        <w:rPr>
          <w:sz w:val="20"/>
          <w:szCs w:val="20"/>
          <w:color w:val="auto"/>
        </w:rPr>
      </w:pPr>
    </w:p>
    <w:p>
      <w:pPr>
        <w:jc w:val="both"/>
        <w:ind w:firstLine="324"/>
        <w:spacing w:after="0" w:line="213" w:lineRule="auto"/>
        <w:rPr>
          <w:sz w:val="20"/>
          <w:szCs w:val="20"/>
          <w:color w:val="auto"/>
        </w:rPr>
      </w:pPr>
      <w:r>
        <w:rPr>
          <w:rFonts w:ascii="Arial" w:cs="Arial" w:eastAsia="Arial" w:hAnsi="Arial"/>
          <w:sz w:val="22"/>
          <w:szCs w:val="22"/>
          <w:color w:val="auto"/>
        </w:rPr>
        <w:t>In 2016, the Company launched its new fast casual concept, Holler &amp; Dash Biscuit House</w:t>
      </w:r>
      <w:r>
        <w:rPr>
          <w:rFonts w:ascii="Arial" w:cs="Arial" w:eastAsia="Arial" w:hAnsi="Arial"/>
          <w:sz w:val="36"/>
          <w:szCs w:val="36"/>
          <w:color w:val="auto"/>
          <w:vertAlign w:val="superscript"/>
        </w:rPr>
        <w:t>TM</w:t>
      </w:r>
      <w:r>
        <w:rPr>
          <w:rFonts w:ascii="Arial" w:cs="Arial" w:eastAsia="Arial" w:hAnsi="Arial"/>
          <w:sz w:val="22"/>
          <w:szCs w:val="22"/>
          <w:color w:val="auto"/>
        </w:rPr>
        <w:t>. The concept offers biscuit-inspired entrées and a unique portfolio of alcoholic and non-alcoholic beverage options. We did not open any new locations in 2019 and currently do not expect to open any new locations in 2020. As of September 18, 2019, seven Holler &amp; Dash locations were open - all leased properties in Alabama, Florida, Tennessee, Georgia and North Carolina. The Holler &amp; Dash concept operates in a smaller footprint than our Cracker Barrel Old Country Store concept and has operating hours limited to the breakfast and lunch day parts.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Punch Bowl Social</w:t>
      </w:r>
    </w:p>
    <w:p>
      <w:pPr>
        <w:spacing w:after="0" w:line="23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Effective July 18, 2019, the Company entered into a strategic relationship with Punch Bowl Social (“PBS”), a food, beverage and entertainment concept, by purchasing a non-controlling interest in the concept. PBS offers made-from-scratch food, a craft beverage program and social gaming. As of September 18, 2019, PBS has 18 locations in 12 states and plans to open ten additional locations by the end of calendar year 2020. The Company has committed to provide PBS with growth capital for future development. We believe the investment in PBS provides the Company with another vehicle to deliver shareholder value and drive continued growth.</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EMPLOYEES</w:t>
      </w:r>
    </w:p>
    <w:p>
      <w:pPr>
        <w:spacing w:after="0" w:line="233" w:lineRule="exact"/>
        <w:rPr>
          <w:sz w:val="20"/>
          <w:szCs w:val="20"/>
          <w:color w:val="auto"/>
        </w:rPr>
      </w:pPr>
    </w:p>
    <w:p>
      <w:pPr>
        <w:jc w:val="both"/>
        <w:ind w:firstLine="324"/>
        <w:spacing w:after="0" w:line="254" w:lineRule="exact"/>
        <w:rPr>
          <w:sz w:val="20"/>
          <w:szCs w:val="20"/>
          <w:color w:val="auto"/>
        </w:rPr>
      </w:pPr>
      <w:r>
        <w:rPr>
          <w:rFonts w:ascii="Arial" w:cs="Arial" w:eastAsia="Arial" w:hAnsi="Arial"/>
          <w:sz w:val="19"/>
          <w:szCs w:val="19"/>
          <w:color w:val="auto"/>
        </w:rPr>
        <w:t>As of August 2, 2019, we employed approximately 73,000 people, of whom 576 were in advisory and supervisory capacities, 3,735 were in-store management positions and 39 were officers. Many store personnel are employed on a part</w:t>
      </w:r>
      <w:r>
        <w:rPr>
          <w:rFonts w:ascii="MS PGothic" w:cs="MS PGothic" w:eastAsia="MS PGothic" w:hAnsi="MS PGothic"/>
          <w:sz w:val="19"/>
          <w:szCs w:val="19"/>
          <w:color w:val="auto"/>
        </w:rPr>
        <w:t>‑</w:t>
      </w:r>
      <w:r>
        <w:rPr>
          <w:rFonts w:ascii="Arial" w:cs="Arial" w:eastAsia="Arial" w:hAnsi="Arial"/>
          <w:sz w:val="19"/>
          <w:szCs w:val="19"/>
          <w:color w:val="auto"/>
        </w:rPr>
        <w:t>time basis. None of our employees is represented by any union, and management considers its employee relations to be good.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COMPETITION</w:t>
      </w:r>
    </w:p>
    <w:p>
      <w:pPr>
        <w:spacing w:after="0" w:line="2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restaurant and retail industries are intensely competitive with respect to the type and quality of food, retail merchandise, price, service, location, personnel, concept, attractiveness of facilities and effectiveness of advertising and marketing. We compete with a significant number of national and regional restaurant and retail chains, some of which have greater resources than us, as well as locally owned restaurants and retail stores. We also face growing competition from the supermarket industry, which offers “convenient meals” in the form of improved entrées and side dishes from the deli section; fast casual restaurants; quick-service restaurants; and highly promotional casual and family dining restaurants. We expect competition to continue in all of these areas, which could cause consumers to choose less expensive alternatives. The restaurant and retail businesses are also often affected by changes in consumer taste and preference; national, regional or local economic conditions; demographic trends; traffic and weather patterns; the type, number and location of competing restaurants and retailers; and consumers’ discretionary purchasing power. In addition, factors such as inflation, increased food, labor and benefits costs and the lack of experienced management and hourly employees may adversely affect the restaurant and retail industries in general and our stores in particular. We believe we compete effectively and have successfully differentiated ourselves from many of our competitors in the restaurant and retail industries through a unique brand and guest experience, which offers a diversified full service menu and a large variety of nostalgic and unique retail items. For further information regarding competition, see Item 1A. Risk Factors.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RAW MATERIALS SOURCES AND AVAILABILITY</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Essential restaurant supplies and raw materials are generally available from several sources. Generally, we are not dependent upon single sources of supplies or raw materials. However, in our stores, certain branded items are single source products or product lines.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7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such disruptions should they occur.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ENVIRONMENTAL MATTERS</w:t>
      </w:r>
    </w:p>
    <w:p>
      <w:pPr>
        <w:spacing w:after="0" w:line="233"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Federal, state and local environmental laws and regulations have not historically had a significant impact on our operations; however, we cannot predict the effect of possible future environmental legislation or regulations on our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TRADEMARKS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 and service marks.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RESEARCH AND DEVELOPMENT</w:t>
      </w:r>
    </w:p>
    <w:p>
      <w:pPr>
        <w:spacing w:after="0" w:line="23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While research and development is important to us, these expenditures have not been material due to the nature of the restaurant and retail industries.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SEASONAL ASPECTS</w:t>
      </w:r>
    </w:p>
    <w:p>
      <w:pPr>
        <w:spacing w:after="0" w:line="23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Historically, our revenue and profits have been lower in the first and third fiscal quarters and higher in the second and fourth fiscal quarters. We attribute these variations primarily to the holiday shopping season and the summer vacation and travel season. Our gift shop sales, which are made substantially to our restaurant guests, historically have been highest in our second quarter, which includes the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WORKING CAPITAL</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In the restaurant industry, substantially all sales are either for cash or third-party credit card. Therefore, like many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4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Discretionary consumer spending, which is critical to our success, is influenced by general economic conditions and the availability of discretionary income. Global economic factors and a weak economic recovery may reduce consumer confidence and affected consumers’ ability or desire to spend disposable income. A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186"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revolving credit facility and our derivative and other contracts, increasing the cost of goods to us, and other adverse consequences which we are unable to fully anticipate.</w:t>
      </w:r>
    </w:p>
    <w:p>
      <w:pPr>
        <w:spacing w:after="0" w:line="21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0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16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There can be no assurance that the economic conditions that have adversely affected the restaurant and retail industries, and the capital, credit and real estate markets generally or us in particular will remain static in 2020, or thereafter, in which case we could experience declines in revenues and profits, and could face capital and liquidity constraints or other business challenges.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i w:val="1"/>
          <w:iCs w:val="1"/>
          <w:color w:val="auto"/>
        </w:rPr>
        <w:t>Our plans depend significantly on our strategic priorities and business initiatives designed to enhance our menu and retail offerings, support our brand, improve operating margins and improve the efficiencies and effectiveness of our operations. Failure to achieve or sustain these plans could adversely affect our results of operations.</w:t>
      </w:r>
    </w:p>
    <w:p>
      <w:pPr>
        <w:spacing w:after="0" w:line="1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We have had, and expect to continue to have, priorities and initiatives in various stages of testing, evaluation and implementation, upon which we expect to improve our results of operations and financial condition. These priorities and initiatives include, but are not limited to, tiered menu and retail pricing, evolving our marketing messaging to support the brand, improving the quality and breadth of retail assortments, evolving our menu, re-engineering store processes to reduce costs and improve store margins, applying technology to improve the employee and guest experience, expanding our store footprint, focusing on new and existing fast casual concepts, focusing on our off premise business and transactions such as strategic relationships, joint ventures and acquisitions. It is possible that our focus on these priorities and initiatives and constantly changing consumer preferences could cause unintended changes to our current results of operations. Additionally,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We face intense competition, and if we are unable to continue to compete effectively, our business, financial condition and results of operations would be adversely affected.</w:t>
      </w:r>
    </w:p>
    <w:p>
      <w:pPr>
        <w:spacing w:after="0" w:line="2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restaurant and retail industries are intensely competitive, and we face many well-established competitors. We compete within each market with national and regional restaurant and retail chains and locally owned restaurants and retailers. Competition from other regional or national restaurant and retail chains typically represents the more important competitive influence, principally because of their significant marketing and financial resources. We also face competition as a result of the convergence of grocery, deli, retail and restaurant services, particularly in the supermarket industry. We also face competition from various off-premise meal replacement offerings including, but not limited to, home meal kits delivery, third party meal delivery and catering and the rapid growth of these channels by our competitors.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200" w:lineRule="exact"/>
        <w:rPr>
          <w:sz w:val="20"/>
          <w:szCs w:val="20"/>
          <w:color w:val="auto"/>
        </w:rPr>
      </w:pPr>
    </w:p>
    <w:p>
      <w:pPr>
        <w:spacing w:after="0" w:line="236"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Our business is not static – it changes periodically as a result of many factors, including, among other items discussed in other risk factors, the following:</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and decreases in guest traffic, average weekly sales, restaurant and retail sales and restaurant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advertising and promotional activities and expansion into new markets;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and any loss on store closures.</w:t>
      </w:r>
    </w:p>
    <w:p>
      <w:pPr>
        <w:spacing w:after="0" w:line="23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such event, the price of our securities could fluctuate dramatically over time or could decrease generally.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b w:val="1"/>
          <w:bCs w:val="1"/>
          <w:i w:val="1"/>
          <w:iCs w:val="1"/>
          <w:color w:val="auto"/>
        </w:rPr>
        <w:t>The price and availability of food, ingredients, retail merchandise, transportation, distribution and utilities used by our stores could adversely affect our revenues and results of operations.</w:t>
      </w:r>
    </w:p>
    <w:p>
      <w:pPr>
        <w:spacing w:after="0" w:line="2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transportation, distribution, utilities and other related costs over which we have limited control. Fluctuations in economic conditions, weather, demand and other factors affect the availability, quality and cost of the ingredients and products that we buy. Furthermore, many of the products that we use and their costs are interrelated. Changes in global demand for corn, wheat and dairy products could cause volatility in the feed costs for poultry and livestock. The effect of, introduction of, or changes to tariffs or exchange rates on imported retail products or food products could increase our costs and possibly affect the supply of those products. Changes in demand for over the road transportation and distribution services could cause volatility, increase our costs and affect our operating margins. In addition, food safety concerns, widespread outbreaks of livestock and poultry diseases, such as, among other things, the avian flu and African swine fever, and product recalls, all of which are out of our control, and, in many instances, unpredictable, could also increase our costs and possibly affect the supply of livestock and poultry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 priced product, we may not seek to or be able to pass along price increases to our customers sufficient to completely offset cost increases.</w:t>
      </w:r>
    </w:p>
    <w:p>
      <w:pPr>
        <w:spacing w:after="0" w:line="18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20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17"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221" w:lineRule="exact"/>
        <w:rPr>
          <w:sz w:val="20"/>
          <w:szCs w:val="20"/>
          <w:color w:val="auto"/>
        </w:rPr>
      </w:pPr>
    </w:p>
    <w:p>
      <w:pPr>
        <w:ind w:left="34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trade barriers, sanctions, import limitations and other trade restrictions by the U.S. government on products or components shipped from foreign sources (particularly, the People’s Republic of China);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fluctuating currency exchange rates or control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testing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political and economic instability;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disruptions due to labor stoppages, strikes or slowdowns, or other disruptions, involving our vendors or the transportation and handling industries.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2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African swine fever,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are dependent upon attracting and retaining qualified employees while also controlling labor costs.</w:t>
      </w:r>
    </w:p>
    <w:p>
      <w:pPr>
        <w:spacing w:after="0" w:line="23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21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b w:val="1"/>
          <w:bCs w:val="1"/>
          <w:i w:val="1"/>
          <w:iCs w:val="1"/>
          <w:color w:val="auto"/>
        </w:rPr>
        <w:t>If we fail to execute our business strategy, which includes our ability to find new store locations and open new stores that are profitable, our business could suffer.</w:t>
      </w:r>
    </w:p>
    <w:p>
      <w:pPr>
        <w:spacing w:after="0" w:line="20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One of the means of achieving our growth objectives is opening and operating new and profitable stores. This strategy involves numerous risks, and we may not be able to open all of our planned new stores and the new stores that we open may not be profitable or as profitable as our existing stores.</w:t>
      </w:r>
    </w:p>
    <w:p>
      <w:pPr>
        <w:spacing w:after="0" w:line="2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A significant risk in executing our business strategy is locating, securing and profitably operating an adequate supply of suitable new store sites. Competition for suitable store sites and operating personnel in our target markets is intense, and there can be no assurance that we will be able to find sufficient suitable locations, or negotiate suitable purchase or lease terms, for our planned expansion in any future period. Recently, our target markets have been expanded to include markets that are outside of our existing core markets and in states where we currently do not have existing operations, which increases the risk of executing our business strategy. Economic conditions may also reduce commercial development activity and limit the availability of attractive sites for new stores. New stores typically experience an adjustment period before sales levels and operating margins normalize, and even sales at successful newly opened stores generally do not make a significant contribution to profitability in their initial months of operation. Our ability to open and operate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approvals and permits, zoning and licensing processes in a timely manner; our ability to appropriately train employees and staff the stores; consumer acceptance of our stores in new markets; and our ability to manage construction delays related to the opening of a new store. Delays or failures in opening new stores, or achieving lower than expected sales in new stores, or drawing a greater than expected proportion of sales in new stores from existing stores, could materially adversely affect our business strategy and could have an adverse effect on our business and results of operations.</w:t>
      </w:r>
    </w:p>
    <w:p>
      <w:pPr>
        <w:spacing w:after="0" w:line="200" w:lineRule="exact"/>
        <w:rPr>
          <w:sz w:val="20"/>
          <w:szCs w:val="20"/>
          <w:color w:val="auto"/>
        </w:rPr>
      </w:pP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Our capital structure contains significant indebtedness, which may decrease our flexibility, increase our borrowing costs and adversely affect our liquidity. In addition, we cannot provide any guarantee of future cash dividend payments or that we will be able to actively repurchase our common stock pursuant to a share repurchase program.</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Our consolidated indebtedness and our leverage ratio may have the effect, among other things, of reducing our flexibility to respond to changing business and economic conditions and increasing borrowing costs. There are various financial covenants and other restrictions in our revolving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Our ability to make scheduled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results of operations.</w:t>
      </w:r>
    </w:p>
    <w:p>
      <w:pPr>
        <w:spacing w:after="0" w:line="20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In recent years, we have increased the quarterly cash dividends on our common stock and, beginning in 2015, we have also declared special dividends on our common stock. Any determination to pay cash dividends on our common stock in the future will be based primarily upon our financial condition, results of operations, business requirements and our Board of Directors’ conclusion that the declaration of cash dividends is in the best interest of our shareholders and is in compliance with all laws and agreements applicable to the payment of dividends. Furthermore, there can be no assurance that we will be able to actively repurchase our common stock and we may discontinue plans to repurchase common stock at any time.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2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Our financial reporting complies with the United States generally accepted accounting principles (“GAAP”), and GAAP is subject to change over time. If new rules or interpretations of existing rules require us to change our financial reporting (including the lease accounting changes which we will adopt in 2020), our reported results of operations and financial condition could be affected substantially, including requirements to restate historical financial reporting.</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Our risks are heightened because of our single retail distribution facility and our potential inability or failure to execute on a comprehensive business continuity plan following a major disaster at or near our corporate facility could adversely affect our business</w:t>
      </w:r>
      <w:r>
        <w:rPr>
          <w:rFonts w:ascii="Arial" w:cs="Arial" w:eastAsia="Arial" w:hAnsi="Arial"/>
          <w:sz w:val="22"/>
          <w:szCs w:val="22"/>
          <w:color w:val="auto"/>
        </w:rPr>
        <w:t>.</w:t>
      </w:r>
    </w:p>
    <w:p>
      <w:pPr>
        <w:spacing w:after="0" w:line="21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affecting either of these warehouses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and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21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b w:val="1"/>
          <w:bCs w:val="1"/>
          <w:i w:val="1"/>
          <w:iCs w:val="1"/>
          <w:color w:val="auto"/>
        </w:rPr>
        <w:t>A material disruption in our information technology, network infrastructure and telecommunication systems could adversely affect our business and results of operations.</w:t>
      </w:r>
    </w:p>
    <w:p>
      <w:pPr>
        <w:spacing w:after="0" w:line="200"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security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 In addition, some of these essential technology-based business systems are outsourced to third parties. While we make efforts to ensure that our outsourced providers are observing proper standards and controls, we cannot guarantee that breaches, disruptions or failures caused by these providers will not occur.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ability to manage our retail inventory levels and changes in merchandise mix may adversely affect our business.</w:t>
      </w:r>
    </w:p>
    <w:p>
      <w:pPr>
        <w:spacing w:after="0" w:line="26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Any of these factors could have an adverse effect on our results of operations, cash flows from operations and our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privacy breach could adversely affect our business.</w:t>
      </w:r>
    </w:p>
    <w:p>
      <w:pPr>
        <w:spacing w:after="0" w:line="2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prevent others from obtaining improper access to this information. If we fail to comply with the laws and regulations regarding privacy and security or experience a security breach, we could be exposed to risks of data loss, regulatory investigations and/or penalties, a loss of the ability to process credit and debit card payments, substantial inconvenience or harm to our guests, litigation and serious disruption of our operations. Additionally, any resulting negative publicity could significantly harm our reputation and damage our relations with our guests. As privacy and information security laws, regulations and practices change and cyber risks continue to evolve, we may incur additional costs to ensure we remain in compliance and protect guest, employee and Company information.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are subject to a number of risks relating to federal, state and local regulation of our business, including the areas of minimum wage increases, health care reform and environmental matters, and an insufficient or ineffective response to government regulation may increase our costs and decrease our profit margins.</w:t>
      </w:r>
    </w:p>
    <w:p>
      <w:pPr>
        <w:spacing w:after="0" w:line="2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 restaurant industry is subject to extensive federal, state and local laws and regulations, including those relating to food safety, minimum wage and other labor issues (such as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200" w:lineRule="exact"/>
        <w:rPr>
          <w:sz w:val="20"/>
          <w:szCs w:val="20"/>
          <w:color w:val="auto"/>
        </w:rPr>
      </w:pPr>
    </w:p>
    <w:p>
      <w:pPr>
        <w:spacing w:after="0" w:line="23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Increases in state or federal minimum wage rates, including recent proposals to increase state or federal minimum wage rates and index future increases to inflation, or other changes in these laws could increase our labor costs. Our ability to respond to minimum wage increases by increasing menu prices will depend on the responses of our competitors and customers. Our distributors and suppliers also may be affected by higher minimum wage and benefit standards and tracking costs, which could result in higher costs for goods and services supplied to us.</w:t>
      </w:r>
    </w:p>
    <w:p>
      <w:pPr>
        <w:spacing w:after="0" w:line="21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Patient Protection and Affordable Care Act and the Health Care and Education Affordability Reconciliation Act of 2010 required restaurant companies such as ours to disclose calorie and nutritional information on their menus effective as of May 2018. We cannot fully predict the long-term changes, if any, in guest behavior that could result from implementation of this provision, which may have an adverse effect on our sales or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There also has been increasing focus by U.S. and foreign governmental authorities on environmental matters, such as climate change, the reduction of greenhouse gases and water consumption. This increased focus may lead to new initiatives directed at regulating an as yet unspecified array of environmental matters.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17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Our advertising is heavily dependent on billboards, which are highly regulated, and our evolving marketing strategy involves increased advertising and marketing costs that could adversely affect our results of operations.</w:t>
      </w:r>
    </w:p>
    <w:p>
      <w:pPr>
        <w:spacing w:after="0" w:line="17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adversely affect our visibility and ability to attract customers.</w:t>
      </w:r>
    </w:p>
    <w:p>
      <w:pPr>
        <w:spacing w:after="0" w:line="21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Additionally, as we continue to evolve our marketing strategy, we are increasingly utilizing more traditional and higher cost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expansion into new geographic markets may present increased risks due to our relative unfamiliarity with these markets.</w:t>
      </w:r>
    </w:p>
    <w:p>
      <w:pPr>
        <w:spacing w:after="0" w:line="26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Some of our new store locations may be located in areas where we have lower market presence and, as a result, less or no meaningful business experience than in our traditional, existing markets. Those new markets may have different competitive conditions, consumer tastes and discretionary spending patterns than our traditional, existing markets, which may cause our new store locations to be less successful than restaurants in our existing markets. An additional risk of expanding into new markets is the potential for lower or lacking market awareness of our brand in those areas. Stores opened in new markets may open at lower average weekly sales volumes than stores opened in existing markets and may have higher store-level operating expense ratios than in existing markets. Sales at stores opened in new markets may take longer to reach average unit volume and margins, if at all, thereby affecting our overall profitability.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b w:val="1"/>
          <w:bCs w:val="1"/>
          <w:i w:val="1"/>
          <w:iCs w:val="1"/>
          <w:color w:val="auto"/>
        </w:rPr>
        <w:t>Unfavorable publicity could harm our business. In addition, our failure to recognize, respond to and effectively manage the impact of social media could materially impact our business.</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one or more of our stores, or only to a single store, could adversely affect public perception of the entire brand. Additionally, negative publicity from online social network postings may also result from actual or alleged incidents taking place in our stores. Adverse publicity and its effect on overall consumer perceptions of food safety or customer service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business is somewhat seasonal and also can be affected by extreme weather conditions and natural disasters.</w:t>
      </w:r>
    </w:p>
    <w:p>
      <w:pPr>
        <w:spacing w:after="0" w:line="26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Historically, our highest sales and profits have occurred during the second and fourth quarters, which include the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18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21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b w:val="1"/>
          <w:bCs w:val="1"/>
          <w:i w:val="1"/>
          <w:iCs w:val="1"/>
          <w:color w:val="auto"/>
        </w:rPr>
        <w:t>Individual store locations are affected by local conditions that could change and adversely affect the carrying value of those locations.</w:t>
      </w:r>
    </w:p>
    <w:p>
      <w:pPr>
        <w:spacing w:after="0" w:line="2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material adverse effect on our revenues and results of operations as well as the carrying value of our individual locations.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Failure to maximize or to successfully assert our intellectual property rights could adversely affect our business and results of operations.</w:t>
      </w:r>
    </w:p>
    <w:p>
      <w:pPr>
        <w:spacing w:after="0" w:line="20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outsource certain business processes to third-party vendors that subject us to risks, including disruptions in business and increased costs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our use of third party technologies has increased and if we are unable to maintain our rights to these technologies our business may be harmed.</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Some of our business processes are currently outsourced to third parties. Such processes include distribution of food and retail products to our store locations and customers, credit and debit card authorization and processing, gift card tracking and authorization, employee payroll card services, health care and workers’ compensation insurance claims processing, wage and related tax credit documentation and approval, guest satisfaction survey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18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non-controlling interest in PBS, as well as other strategic investments or initiatives that the Company may pursue now or in the future, may not yield their expected benefits, resulting in a loss of some or all of the Company’s investment.</w:t>
      </w:r>
    </w:p>
    <w:p>
      <w:pPr>
        <w:spacing w:after="0" w:line="13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In 2019, the Company purchased a non-controlling interest in PBS. The non-controlling interest requires the Company to participate in its respective share of profits or losses from the PBS business and provide growth capital for brand expansion. Due to the growth nature of the acquired interest, future outcomes of PBS’s financial results and operating condition may present a risk of loss of the Company’s initial and any on-going capital contributions as well as have an adverse impact on our business, financial condition and results of operations.</w:t>
      </w:r>
    </w:p>
    <w:p>
      <w:pPr>
        <w:spacing w:after="0" w:line="21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Litigation may adversely affect our business, financial condition and results of operations.</w:t>
      </w:r>
    </w:p>
    <w:p>
      <w:pPr>
        <w:spacing w:after="0" w:line="2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Our business is subject to the risk of litigation by employees, guests, suppliers, shareholders, governmental agencies, competitors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as well. As a result, litigation may adversely affect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b w:val="1"/>
          <w:bCs w:val="1"/>
          <w:i w:val="1"/>
          <w:iCs w:val="1"/>
          <w:color w:val="auto"/>
        </w:rPr>
        <w:t>The loss of key executives or difficulties in recruiting and retaining qualified personnel could jeopardize our future growth and success</w:t>
      </w:r>
      <w:r>
        <w:rPr>
          <w:rFonts w:ascii="Arial" w:cs="Arial" w:eastAsia="Arial" w:hAnsi="Arial"/>
          <w:sz w:val="22"/>
          <w:szCs w:val="22"/>
          <w:color w:val="auto"/>
        </w:rPr>
        <w:t>.</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attract or retain senior management or other key personnel, our succession planning and operations could be materially and adversely affected. We must continue to recruit, retain and motivate management and other employees sufficiently to maintain our current business and support our projected growth. A loss of key employees or a significant shortage of high-quality store employees could jeopardize our ability to meet our business goals.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Our current insurance programs may expose us to unexpected costs, which could have a material adverse effect on our financial condition and results of operations.</w:t>
      </w:r>
    </w:p>
    <w:p>
      <w:pPr>
        <w:spacing w:after="0" w:line="20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Our insurance coverage is structured to include deductibles, self-insured retentions, limits of liability, stop loss limits and similar provisions that we believe are prudent based on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Failure of our internal control over financial reporting could adversely affect our business and financial results.</w:t>
      </w:r>
    </w:p>
    <w:p>
      <w:pPr>
        <w:spacing w:after="0" w:line="24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business could be negatively affected as a result of actions of activist shareholders.</w:t>
      </w:r>
    </w:p>
    <w:p>
      <w:pPr>
        <w:spacing w:after="0" w:line="23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Lion Fund II, L.P., an affiliate of Biglari Holdings Inc. (“BH”), is the beneficial owner of approximately 9.2% of our outstanding common stock as of August 12, 2019. In the past, BH and its affiliates have nominated candidates for election to our board of directors at our annual meetings of shareholders, resulting in proxy contests, and called publicly for special meetings of shareholders to consider other proposals. While BH and its affiliates have not nominated director candidates for election at our 2019 Annual Meeting of Shareholders, the actions of BH and its affiliates or another activist shareholder in the future could adversely affect our business because:</w:t>
      </w:r>
    </w:p>
    <w:p>
      <w:pPr>
        <w:spacing w:after="0" w:line="223" w:lineRule="exact"/>
        <w:rPr>
          <w:sz w:val="20"/>
          <w:szCs w:val="20"/>
          <w:color w:val="auto"/>
        </w:rPr>
      </w:pPr>
    </w:p>
    <w:p>
      <w:pPr>
        <w:ind w:left="340" w:right="20" w:hanging="332"/>
        <w:spacing w:after="0" w:line="258"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responding to public proposals, special meeting requests and other actions by activist shareholders can disrupt our operations, be costly and time-consuming, and divert the attention of our management and employees;</w:t>
      </w:r>
    </w:p>
    <w:p>
      <w:pPr>
        <w:spacing w:after="0" w:line="1" w:lineRule="exact"/>
        <w:rPr>
          <w:rFonts w:ascii="Arial" w:cs="Arial" w:eastAsia="Arial" w:hAnsi="Arial"/>
          <w:sz w:val="18"/>
          <w:szCs w:val="18"/>
          <w:i w:val="1"/>
          <w:iCs w:val="1"/>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 and</w:t>
      </w:r>
    </w:p>
    <w:p>
      <w:pPr>
        <w:ind w:left="340" w:hanging="332"/>
        <w:spacing w:after="0" w:line="261"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pursuit of an activist shareholder’s agenda may adversely affect our ability to effectively implement our business strategy and create additional value for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Provisions in our charter, Tennessee law and our shareholder rights plan may discourage potential acquirers of the Company.</w:t>
      </w:r>
    </w:p>
    <w:p>
      <w:pPr>
        <w:spacing w:after="0" w:line="26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will expire on April 9, 2021.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18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interest rates may adversely affect our earnings and/or cash flows.</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Our indebtedness under our revolving credit facility bears interest at variable interest rates that use the London Inter-Bank Offered Rate (“LIBOR”) as a benchmark rate. On July 27, 2017, the United Kingdom’s Financial Conduct Authority (“FCA”),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of calculating LIBOR or the establishment of one or more alternative benchmark rates. Although our credit facility provides for successor base rates, the successor base rates may be related to LIBOR, and the consequences of any potential cessation, modification or other reform of LIBOR cannot be predicted at this time. If LIBOR ceases to exist, we may need to amend our credit facility, and we cannot predict what alternative interest rate(s) will be negotiated with our counterparties. As a result, our interest expense may increase, our ability to refinance some or all of our existing indebtedness may be impacted and our available cash flow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Our home office headquarters and warehouse facilities are located on approximately 90 acres of land owned by the Company in Lebanon, Tennessee. We use approximately 250,000 square feet of office space for our home office headquarters and decorative fixtures warehouse. We also lease our retail distribution center, which consists of approximately 370,000 square feet of warehouse facilities and an additional approximately 14,000 square feet of office and maintenance space.</w:t>
      </w:r>
    </w:p>
    <w:p>
      <w:pPr>
        <w:spacing w:after="0" w:line="170" w:lineRule="exact"/>
        <w:rPr>
          <w:sz w:val="20"/>
          <w:szCs w:val="20"/>
          <w:color w:val="auto"/>
        </w:rPr>
      </w:pPr>
    </w:p>
    <w:p>
      <w:pPr>
        <w:jc w:val="both"/>
        <w:ind w:right="20" w:firstLine="324"/>
        <w:spacing w:after="0" w:line="328" w:lineRule="auto"/>
        <w:rPr>
          <w:sz w:val="20"/>
          <w:szCs w:val="20"/>
          <w:color w:val="auto"/>
        </w:rPr>
      </w:pPr>
      <w:r>
        <w:rPr>
          <w:rFonts w:ascii="Arial" w:cs="Arial" w:eastAsia="Arial" w:hAnsi="Arial"/>
          <w:sz w:val="19"/>
          <w:szCs w:val="19"/>
          <w:color w:val="auto"/>
        </w:rPr>
        <w:t>In addition to the various corporate facilities, we have four owned properties for future development, a motel used for housing management trainees and for the general public, and four parcels of excess real property and improvements that we intend to sell.</w:t>
      </w:r>
    </w:p>
    <w:p>
      <w:pPr>
        <w:spacing w:after="0" w:line="13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In addition to the properties mentioned above, we own or lease the following store properties (including both our 660 Cracker Barrel Old Country Store locations and seven locations for our Holler &amp; Dash brand) as of September 18, 2019:</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color w:val="auto"/>
              </w:rPr>
              <w:t>State</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Owned</w:t>
            </w:r>
          </w:p>
        </w:tc>
        <w:tc>
          <w:tcPr>
            <w:tcW w:w="1900" w:type="dxa"/>
            <w:vAlign w:val="bottom"/>
            <w:gridSpan w:val="3"/>
          </w:tcPr>
          <w:p>
            <w:pPr>
              <w:ind w:left="260"/>
              <w:spacing w:after="0"/>
              <w:rPr>
                <w:sz w:val="20"/>
                <w:szCs w:val="20"/>
                <w:color w:val="auto"/>
              </w:rPr>
            </w:pPr>
            <w:r>
              <w:rPr>
                <w:rFonts w:ascii="Arial" w:cs="Arial" w:eastAsia="Arial" w:hAnsi="Arial"/>
                <w:sz w:val="18"/>
                <w:szCs w:val="18"/>
                <w:color w:val="auto"/>
              </w:rPr>
              <w:t>Leased</w:t>
            </w:r>
          </w:p>
        </w:tc>
        <w:tc>
          <w:tcPr>
            <w:tcW w:w="1960" w:type="dxa"/>
            <w:vAlign w:val="bottom"/>
            <w:gridSpan w:val="2"/>
          </w:tcPr>
          <w:p>
            <w:pPr>
              <w:spacing w:after="0"/>
              <w:rPr>
                <w:sz w:val="20"/>
                <w:szCs w:val="20"/>
                <w:color w:val="auto"/>
              </w:rPr>
            </w:pPr>
            <w:r>
              <w:rPr>
                <w:rFonts w:ascii="Arial" w:cs="Arial" w:eastAsia="Arial" w:hAnsi="Arial"/>
                <w:sz w:val="18"/>
                <w:szCs w:val="18"/>
                <w:color w:val="auto"/>
              </w:rPr>
              <w:t>State</w:t>
            </w:r>
          </w:p>
        </w:tc>
        <w:tc>
          <w:tcPr>
            <w:tcW w:w="5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Owned</w:t>
            </w:r>
          </w:p>
        </w:tc>
        <w:tc>
          <w:tcPr>
            <w:tcW w:w="520" w:type="dxa"/>
            <w:vAlign w:val="bottom"/>
          </w:tcPr>
          <w:p>
            <w:pPr>
              <w:jc w:val="right"/>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1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11</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9</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7</w:t>
            </w:r>
          </w:p>
        </w:tc>
        <w:tc>
          <w:tcPr>
            <w:tcW w:w="1960" w:type="dxa"/>
            <w:vAlign w:val="bottom"/>
            <w:gridSpan w:val="2"/>
          </w:tcPr>
          <w:p>
            <w:pPr>
              <w:spacing w:after="0"/>
              <w:rPr>
                <w:sz w:val="20"/>
                <w:szCs w:val="20"/>
                <w:color w:val="auto"/>
              </w:rPr>
            </w:pPr>
            <w:r>
              <w:rPr>
                <w:rFonts w:ascii="Arial" w:cs="Arial" w:eastAsia="Arial" w:hAnsi="Arial"/>
                <w:sz w:val="18"/>
                <w:szCs w:val="18"/>
                <w:color w:val="auto"/>
              </w:rPr>
              <w:t>Idaho</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2</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Montana</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3</w:t>
            </w:r>
          </w:p>
        </w:tc>
        <w:tc>
          <w:tcPr>
            <w:tcW w:w="196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3</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11</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Maine</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7</w:t>
            </w:r>
          </w:p>
        </w:tc>
        <w:tc>
          <w:tcPr>
            <w:tcW w:w="196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2</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Hampshire</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6</w:t>
            </w:r>
          </w:p>
        </w:tc>
        <w:tc>
          <w:tcPr>
            <w:tcW w:w="1960" w:type="dxa"/>
            <w:vAlign w:val="bottom"/>
            <w:gridSpan w:val="2"/>
          </w:tcPr>
          <w:p>
            <w:pPr>
              <w:spacing w:after="0"/>
              <w:rPr>
                <w:sz w:val="20"/>
                <w:szCs w:val="20"/>
                <w:color w:val="auto"/>
              </w:rPr>
            </w:pPr>
            <w:r>
              <w:rPr>
                <w:rFonts w:ascii="Arial" w:cs="Arial" w:eastAsia="Arial" w:hAnsi="Arial"/>
                <w:sz w:val="18"/>
                <w:szCs w:val="18"/>
                <w:color w:val="auto"/>
              </w:rPr>
              <w:t>North Dakota</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 Island</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West Virginia</w:t>
            </w:r>
          </w:p>
        </w:tc>
        <w:tc>
          <w:tcPr>
            <w:tcW w:w="7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3</w:t>
            </w:r>
          </w:p>
        </w:tc>
        <w:tc>
          <w:tcPr>
            <w:tcW w:w="1900" w:type="dxa"/>
            <w:vAlign w:val="bottom"/>
            <w:tcBorders>
              <w:bottom w:val="single" w:sz="8" w:color="CCEEFF"/>
            </w:tcBorders>
            <w:gridSpan w:val="3"/>
          </w:tcPr>
          <w:p>
            <w:pPr>
              <w:jc w:val="right"/>
              <w:ind w:right="1120"/>
              <w:spacing w:after="0"/>
              <w:rPr>
                <w:sz w:val="20"/>
                <w:szCs w:val="20"/>
                <w:color w:val="auto"/>
              </w:rPr>
            </w:pPr>
            <w:r>
              <w:rPr>
                <w:rFonts w:ascii="Arial" w:cs="Arial" w:eastAsia="Arial" w:hAnsi="Arial"/>
                <w:sz w:val="18"/>
                <w:szCs w:val="18"/>
                <w:color w:val="auto"/>
              </w:rPr>
              <w:t>6</w:t>
            </w:r>
          </w:p>
        </w:tc>
        <w:tc>
          <w:tcPr>
            <w:tcW w:w="1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South Dakota</w:t>
            </w:r>
          </w:p>
        </w:tc>
        <w:tc>
          <w:tcPr>
            <w:tcW w:w="15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900" w:type="dxa"/>
            <w:vAlign w:val="bottom"/>
            <w:tcBorders>
              <w:bottom w:val="single" w:sz="8" w:color="CCEEFF"/>
            </w:tcBorders>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420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We believe that our properties are suitable, adequate, well-maintained and sufficient for the operations contemplated. See “Operations” and “Store Development” in Item 1 of this Annual Report on Form 10-K for additional information on our properties.</w:t>
      </w:r>
    </w:p>
    <w:p>
      <w:pPr>
        <w:spacing w:after="0" w:line="1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4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9" w:lineRule="exact"/>
        <w:rPr>
          <w:sz w:val="20"/>
          <w:szCs w:val="20"/>
          <w:color w:val="auto"/>
        </w:rPr>
      </w:pPr>
      <w:r>
        <w:rPr>
          <w:rFonts w:ascii="Arial" w:cs="Arial" w:eastAsia="Arial" w:hAnsi="Arial"/>
          <w:sz w:val="22"/>
          <w:szCs w:val="22"/>
          <w:color w:val="auto"/>
        </w:rPr>
        <w:t>Pursuant to Instruction 3 to Item 401(b) of Regulation S</w:t>
      </w:r>
      <w:r>
        <w:rPr>
          <w:rFonts w:ascii="MS PGothic" w:cs="MS PGothic" w:eastAsia="MS PGothic" w:hAnsi="MS PGothic"/>
          <w:sz w:val="22"/>
          <w:szCs w:val="22"/>
          <w:color w:val="auto"/>
        </w:rPr>
        <w:t>‑</w:t>
      </w:r>
      <w:r>
        <w:rPr>
          <w:rFonts w:ascii="Arial" w:cs="Arial" w:eastAsia="Arial" w:hAnsi="Arial"/>
          <w:sz w:val="22"/>
          <w:szCs w:val="22"/>
          <w:color w:val="auto"/>
        </w:rPr>
        <w:t>K and General Instruction G(3) to Form 10</w:t>
      </w:r>
      <w:r>
        <w:rPr>
          <w:rFonts w:ascii="MS PGothic" w:cs="MS PGothic" w:eastAsia="MS PGothic" w:hAnsi="MS PGothic"/>
          <w:sz w:val="22"/>
          <w:szCs w:val="22"/>
          <w:color w:val="auto"/>
        </w:rPr>
        <w:t>‑</w:t>
      </w:r>
      <w:r>
        <w:rPr>
          <w:rFonts w:ascii="Arial" w:cs="Arial" w:eastAsia="Arial" w:hAnsi="Arial"/>
          <w:sz w:val="22"/>
          <w:szCs w:val="22"/>
          <w:color w:val="auto"/>
        </w:rPr>
        <w:t>K, the following information is included in Part I of this Form 10</w:t>
      </w:r>
      <w:r>
        <w:rPr>
          <w:rFonts w:ascii="MS PGothic" w:cs="MS PGothic" w:eastAsia="MS PGothic" w:hAnsi="MS PGothic"/>
          <w:sz w:val="22"/>
          <w:szCs w:val="22"/>
          <w:color w:val="auto"/>
        </w:rPr>
        <w:t>‑</w:t>
      </w:r>
      <w:r>
        <w:rPr>
          <w:rFonts w:ascii="Arial" w:cs="Arial" w:eastAsia="Arial" w:hAnsi="Arial"/>
          <w:sz w:val="22"/>
          <w:szCs w:val="22"/>
          <w:color w:val="auto"/>
        </w:rPr>
        <w:t>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about Our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certain information concerning our executive officers: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3"/>
          </w:tcPr>
          <w:p>
            <w:pPr>
              <w:spacing w:after="0"/>
              <w:rPr>
                <w:sz w:val="20"/>
                <w:szCs w:val="20"/>
                <w:color w:val="auto"/>
              </w:rPr>
            </w:pPr>
            <w:r>
              <w:rPr>
                <w:rFonts w:ascii="Arial" w:cs="Arial" w:eastAsia="Arial" w:hAnsi="Arial"/>
                <w:sz w:val="18"/>
                <w:szCs w:val="18"/>
                <w:color w:val="auto"/>
              </w:rPr>
              <w:t>Name</w:t>
            </w:r>
          </w:p>
        </w:tc>
        <w:tc>
          <w:tcPr>
            <w:tcW w:w="1260" w:type="dxa"/>
            <w:vAlign w:val="bottom"/>
            <w:gridSpan w:val="3"/>
          </w:tcPr>
          <w:p>
            <w:pPr>
              <w:jc w:val="center"/>
              <w:ind w:left="550"/>
              <w:spacing w:after="0"/>
              <w:rPr>
                <w:sz w:val="20"/>
                <w:szCs w:val="20"/>
                <w:color w:val="auto"/>
              </w:rPr>
            </w:pPr>
            <w:r>
              <w:rPr>
                <w:rFonts w:ascii="Arial" w:cs="Arial" w:eastAsia="Arial" w:hAnsi="Arial"/>
                <w:sz w:val="18"/>
                <w:szCs w:val="18"/>
                <w:color w:val="auto"/>
                <w:w w:val="93"/>
              </w:rPr>
              <w:t>Age</w:t>
            </w: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110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61</w:t>
            </w:r>
          </w:p>
        </w:tc>
        <w:tc>
          <w:tcPr>
            <w:tcW w:w="16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M. Golder</w:t>
            </w:r>
          </w:p>
        </w:tc>
        <w:tc>
          <w:tcPr>
            <w:tcW w:w="110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57</w:t>
            </w:r>
          </w:p>
        </w:tc>
        <w:tc>
          <w:tcPr>
            <w:tcW w:w="16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110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55</w:t>
            </w:r>
          </w:p>
        </w:tc>
        <w:tc>
          <w:tcPr>
            <w:tcW w:w="16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Hackney</w:t>
            </w:r>
          </w:p>
        </w:tc>
        <w:tc>
          <w:tcPr>
            <w:tcW w:w="110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63</w:t>
            </w:r>
          </w:p>
        </w:tc>
        <w:tc>
          <w:tcPr>
            <w:tcW w:w="16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Wolfson</w:t>
            </w:r>
          </w:p>
        </w:tc>
        <w:tc>
          <w:tcPr>
            <w:tcW w:w="110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53</w:t>
            </w:r>
          </w:p>
        </w:tc>
        <w:tc>
          <w:tcPr>
            <w:tcW w:w="16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Couvillion</w:t>
            </w:r>
          </w:p>
        </w:tc>
        <w:tc>
          <w:tcPr>
            <w:tcW w:w="110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55</w:t>
            </w:r>
          </w:p>
        </w:tc>
        <w:tc>
          <w:tcPr>
            <w:tcW w:w="16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Vice President, Sourcing and Supply Chain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 Wilson</w:t>
            </w:r>
          </w:p>
        </w:tc>
        <w:tc>
          <w:tcPr>
            <w:tcW w:w="110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44</w:t>
            </w:r>
          </w:p>
        </w:tc>
        <w:tc>
          <w:tcPr>
            <w:tcW w:w="160" w:type="dxa"/>
            <w:vAlign w:val="bottom"/>
            <w:shd w:val="clear" w:color="auto" w:fill="CCEEFF"/>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Corporate Controller and Principal Accounting Officer</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information summarizes the business experience of each of our executive officers for at least the past five years:</w:t>
      </w:r>
    </w:p>
    <w:p>
      <w:pPr>
        <w:spacing w:after="0" w:line="26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Ms. Cochran has been employed with us since 2009 and assumed her current position as President and Chief Executive Officer in September 2011, when she also became a member of our Board of Directors. Prior to September 2011, Ms. Cochran served as our President and Chief Operating Officer since November 2010 and as our Executive Vice President and Chief Financial Officer from April 2009 to November 2010. Before joining us in April 2009, she was the Chief Executive Officer of Books-A-Million, Inc. Ms. Cochran has 26 years of experience in the retail industry and nine years of experience in the restaurant industry.</w:t>
      </w:r>
    </w:p>
    <w:p>
      <w:pPr>
        <w:spacing w:after="0" w:line="17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Ms. Golder has been employed with us since April 2016 and assumed the responsibilities of Senior Vice President and Chief Financial Officer in June 2016. Prior to April 2016, she served as Executive Vice President and Chief Financial Officer of Ruby Tuesday, Inc. since June 2014, and as Senior Vice President, Finance from April 2013 to June 2014. Prior to her tenure with Ruby Tuesday, Inc., she was Chief Financial Officer of Cooper’s Hawk Winery &amp; Restaurants from December 2012 to April 2013. Before joining Cooper’s Hawk Winery &amp; Restaurants, Ms. Golder spent 23 years at Darden Restaurants, Inc., where she held progressively more responsible positions in finance, including Senior Vice President of Finance. Ms. Golder has almost 32 years of experience in the restaurant industry.</w:t>
      </w:r>
    </w:p>
    <w:p>
      <w:pPr>
        <w:spacing w:after="0" w:line="205" w:lineRule="exact"/>
        <w:rPr>
          <w:sz w:val="20"/>
          <w:szCs w:val="20"/>
          <w:color w:val="auto"/>
        </w:rPr>
      </w:pPr>
    </w:p>
    <w:p>
      <w:pPr>
        <w:jc w:val="both"/>
        <w:ind w:right="20" w:firstLine="324"/>
        <w:spacing w:after="0" w:line="238" w:lineRule="auto"/>
        <w:rPr>
          <w:sz w:val="20"/>
          <w:szCs w:val="20"/>
          <w:color w:val="auto"/>
        </w:rPr>
      </w:pPr>
      <w:r>
        <w:rPr>
          <w:rFonts w:ascii="Arial" w:cs="Arial" w:eastAsia="Arial" w:hAnsi="Arial"/>
          <w:sz w:val="22"/>
          <w:szCs w:val="22"/>
          <w:color w:val="auto"/>
        </w:rPr>
        <w:t>Ms. Daily has been employed with us as Senior Vice President, Retail since May 2012. Prior to May 2012, she served as Vice President for Ballard Designs, an Internet and catalog home furnishings retailer that is part of HSN, Inc., where she was in charge of all merchandising and trends for the company. She has over 26 years of experience as a merchant with a number of retail organizations.</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Mr. Hackney has been employed with us since 2010 and assumed his current position in April 2019. From 2010 to 2019, he served in various capacities in both operations and home office functions including Regional Vice President, Vice President of Training and Leadership and Vice President of People and Talent. Mr. Hackney has over 40 years of experience in the restaurant industry.</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Mr. Wolfson has been employed with us in his current capacity since July 2017. From January 2006 to April 2017, he served as Vice President, General Counsel and Corporate Secretary at CLARCOR Inc., an industrial company. From 2001 to 2006, he was a partner of the InterAmerican Group, an advisory services and private equity firm. Mr. Wolfson has over 27 years of legal experience.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Mr. Couvillion has been employed with us since 2001 and assumed his current position in November 2016. From 2001 to 2016, he served in various capacities including Vice President of Supply Chain and Quality Assurance and Corporate Controller and Principal Accounting Officer. Mr. Couvillion has 25 years of experience in the restaurant industry and 18 years of experience in the retail industry.</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Mr. Wilson has been employed with us since 2007 and assumed his current position in June 2015. From 2007 to 2015, he served in various capacities including Vice President, Operations Analysis. Mr. Wilson has 22 years of experience in the restaurant industry and eight years of experience in the retail industry.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II</w:t>
      </w:r>
    </w:p>
    <w:p>
      <w:pPr>
        <w:spacing w:after="0" w:line="24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ITEM 5.</w:t>
        <w:tab/>
        <w:t>MARKET FOR REGISTRANT’S COMMON EQUITY, RELATED STOCKHOLDER MATTERS AND ISSUER PURCHASES OF EQUITY SECURITIES</w:t>
      </w:r>
    </w:p>
    <w:p>
      <w:pPr>
        <w:spacing w:after="0" w:line="1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Our common stock is traded on the Nasdaq Global Select Market (“Nasdaq”) under the symbol “CBRL.” There were 7,864 shareholders of record as of September 18, 2019.</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See Note 6 to Consolidated Financial Statements with respect to dividend restrictions.</w:t>
      </w:r>
    </w:p>
    <w:p>
      <w:pPr>
        <w:spacing w:after="0" w:line="23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See the table labeled “Equity Compensation Plan Information” to be contained in the 2019 Proxy Statement, incorporated by reference in Part III, Item 12 of this Annual Report on Form 10-K.</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Part III, Item 12 of this Annual Report on Form 10-K is incorporated herein by this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Unregistered Sales of Equity Securities</w:t>
      </w:r>
    </w:p>
    <w:p>
      <w:pPr>
        <w:spacing w:after="0" w:line="239" w:lineRule="exact"/>
        <w:rPr>
          <w:sz w:val="20"/>
          <w:szCs w:val="20"/>
          <w:color w:val="auto"/>
        </w:rPr>
      </w:pPr>
    </w:p>
    <w:p>
      <w:pPr>
        <w:ind w:right="120" w:firstLine="324"/>
        <w:spacing w:after="0" w:line="251" w:lineRule="auto"/>
        <w:rPr>
          <w:sz w:val="20"/>
          <w:szCs w:val="20"/>
          <w:color w:val="auto"/>
        </w:rPr>
      </w:pPr>
      <w:r>
        <w:rPr>
          <w:rFonts w:ascii="Arial" w:cs="Arial" w:eastAsia="Arial" w:hAnsi="Arial"/>
          <w:sz w:val="22"/>
          <w:szCs w:val="22"/>
          <w:color w:val="auto"/>
        </w:rPr>
        <w:t>There were no equity securities sold by the Company during the period covered by this Annual Report on Form 10-K that were not registered under the Securities Act of 1933, as amended.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Issuer Purchases of Equity Securities</w:t>
      </w:r>
    </w:p>
    <w:p>
      <w:pPr>
        <w:spacing w:after="0" w:line="23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On September 25, 2018, our Board of Directors approved the repurchase of up to $25,000 of our common stock, with such authorization to expire on October 4, 2019 to the extent it remains unused. On June 3, 2019, our Board of Directors approved an increase in our share repurchase authorization of up to $50,000, with such authorization to expire on June 2, 2020. This share repurchase authorization was effective immediately and replaced the prior share repurchase authorization of up to $25,000. We did not repurchase any of our common stock in the fourth quarter ended August 2, 2019.</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SELECTED FINANCIAL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gridSpan w:val="5"/>
          </w:tcPr>
          <w:p>
            <w:pPr>
              <w:jc w:val="center"/>
              <w:ind w:right="270"/>
              <w:spacing w:after="0"/>
              <w:rPr>
                <w:sz w:val="20"/>
                <w:szCs w:val="20"/>
                <w:color w:val="auto"/>
              </w:rPr>
            </w:pPr>
            <w:r>
              <w:rPr>
                <w:rFonts w:ascii="Arial" w:cs="Arial" w:eastAsia="Arial" w:hAnsi="Arial"/>
                <w:sz w:val="14"/>
                <w:szCs w:val="14"/>
                <w:i w:val="1"/>
                <w:iCs w:val="1"/>
                <w:color w:val="auto"/>
                <w:w w:val="92"/>
              </w:rPr>
              <w:t>(Dollars in thousands except percentages and share data)</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jc w:val="center"/>
              <w:ind w:left="691"/>
              <w:spacing w:after="0"/>
              <w:rPr>
                <w:sz w:val="20"/>
                <w:szCs w:val="20"/>
                <w:color w:val="auto"/>
              </w:rPr>
            </w:pPr>
            <w:r>
              <w:rPr>
                <w:rFonts w:ascii="Arial" w:cs="Arial" w:eastAsia="Arial" w:hAnsi="Arial"/>
                <w:sz w:val="14"/>
                <w:szCs w:val="14"/>
                <w:i w:val="1"/>
                <w:iCs w:val="1"/>
                <w:color w:val="auto"/>
                <w:w w:val="92"/>
              </w:rPr>
              <w:t>For each of the fiscal years ended</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24"/>
                <w:szCs w:val="24"/>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b w:val="1"/>
                <w:bCs w:val="1"/>
                <w:color w:val="auto"/>
                <w:w w:val="92"/>
              </w:rPr>
              <w:t>August 3,</w:t>
            </w:r>
          </w:p>
        </w:tc>
        <w:tc>
          <w:tcPr>
            <w:tcW w:w="240" w:type="dxa"/>
            <w:vAlign w:val="bottom"/>
          </w:tcPr>
          <w:p>
            <w:pPr>
              <w:spacing w:after="0"/>
              <w:rPr>
                <w:sz w:val="24"/>
                <w:szCs w:val="24"/>
                <w:color w:val="auto"/>
              </w:rPr>
            </w:pPr>
          </w:p>
        </w:tc>
        <w:tc>
          <w:tcPr>
            <w:tcW w:w="116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July 28,</w:t>
            </w:r>
          </w:p>
        </w:tc>
        <w:tc>
          <w:tcPr>
            <w:tcW w:w="260" w:type="dxa"/>
            <w:vAlign w:val="bottom"/>
          </w:tcPr>
          <w:p>
            <w:pPr>
              <w:spacing w:after="0"/>
              <w:rPr>
                <w:sz w:val="24"/>
                <w:szCs w:val="24"/>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July 29,</w:t>
            </w:r>
          </w:p>
        </w:tc>
        <w:tc>
          <w:tcPr>
            <w:tcW w:w="24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410"/>
              <w:spacing w:after="0" w:line="245" w:lineRule="exact"/>
              <w:rPr>
                <w:sz w:val="20"/>
                <w:szCs w:val="20"/>
                <w:color w:val="auto"/>
              </w:rPr>
            </w:pPr>
            <w:r>
              <w:rPr>
                <w:rFonts w:ascii="Arial" w:cs="Arial" w:eastAsia="Arial" w:hAnsi="Arial"/>
                <w:sz w:val="17"/>
                <w:szCs w:val="17"/>
                <w:b w:val="1"/>
                <w:bCs w:val="1"/>
                <w:color w:val="auto"/>
              </w:rPr>
              <w:t>2019</w:t>
            </w:r>
            <w:r>
              <w:rPr>
                <w:rFonts w:ascii="Arial" w:cs="Arial" w:eastAsia="Arial" w:hAnsi="Arial"/>
                <w:sz w:val="28"/>
                <w:szCs w:val="28"/>
                <w:b w:val="1"/>
                <w:bCs w:val="1"/>
                <w:color w:val="auto"/>
                <w:vertAlign w:val="superscript"/>
              </w:rPr>
              <w:t>(a)</w:t>
            </w:r>
          </w:p>
        </w:tc>
        <w:tc>
          <w:tcPr>
            <w:tcW w:w="220" w:type="dxa"/>
            <w:vAlign w:val="bottom"/>
          </w:tcPr>
          <w:p>
            <w:pPr>
              <w:spacing w:after="0"/>
              <w:rPr>
                <w:sz w:val="21"/>
                <w:szCs w:val="21"/>
                <w:color w:val="auto"/>
              </w:rPr>
            </w:pPr>
          </w:p>
        </w:tc>
        <w:tc>
          <w:tcPr>
            <w:tcW w:w="1200" w:type="dxa"/>
            <w:vAlign w:val="bottom"/>
          </w:tcPr>
          <w:p>
            <w:pPr>
              <w:jc w:val="right"/>
              <w:ind w:right="431"/>
              <w:spacing w:after="0" w:line="245" w:lineRule="exact"/>
              <w:rPr>
                <w:sz w:val="20"/>
                <w:szCs w:val="20"/>
                <w:color w:val="auto"/>
              </w:rPr>
            </w:pPr>
            <w:r>
              <w:rPr>
                <w:rFonts w:ascii="Arial" w:cs="Arial" w:eastAsia="Arial" w:hAnsi="Arial"/>
                <w:sz w:val="17"/>
                <w:szCs w:val="17"/>
                <w:b w:val="1"/>
                <w:bCs w:val="1"/>
                <w:color w:val="auto"/>
              </w:rPr>
              <w:t>2018</w:t>
            </w:r>
            <w:r>
              <w:rPr>
                <w:rFonts w:ascii="Arial" w:cs="Arial" w:eastAsia="Arial" w:hAnsi="Arial"/>
                <w:sz w:val="28"/>
                <w:szCs w:val="28"/>
                <w:b w:val="1"/>
                <w:bCs w:val="1"/>
                <w:color w:val="auto"/>
                <w:vertAlign w:val="superscript"/>
              </w:rPr>
              <w:t>(b)</w:t>
            </w:r>
          </w:p>
        </w:tc>
        <w:tc>
          <w:tcPr>
            <w:tcW w:w="240" w:type="dxa"/>
            <w:vAlign w:val="bottom"/>
          </w:tcPr>
          <w:p>
            <w:pPr>
              <w:spacing w:after="0"/>
              <w:rPr>
                <w:sz w:val="21"/>
                <w:szCs w:val="21"/>
                <w:color w:val="auto"/>
              </w:rPr>
            </w:pPr>
          </w:p>
        </w:tc>
        <w:tc>
          <w:tcPr>
            <w:tcW w:w="116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1"/>
                <w:szCs w:val="21"/>
                <w:color w:val="auto"/>
              </w:rPr>
            </w:pPr>
          </w:p>
        </w:tc>
        <w:tc>
          <w:tcPr>
            <w:tcW w:w="1120" w:type="dxa"/>
            <w:vAlign w:val="bottom"/>
            <w:gridSpan w:val="2"/>
          </w:tcPr>
          <w:p>
            <w:pPr>
              <w:jc w:val="right"/>
              <w:ind w:right="460"/>
              <w:spacing w:after="0" w:line="245" w:lineRule="exact"/>
              <w:rPr>
                <w:sz w:val="20"/>
                <w:szCs w:val="20"/>
                <w:color w:val="auto"/>
              </w:rPr>
            </w:pPr>
            <w:r>
              <w:rPr>
                <w:rFonts w:ascii="Arial" w:cs="Arial" w:eastAsia="Arial" w:hAnsi="Arial"/>
                <w:sz w:val="17"/>
                <w:szCs w:val="17"/>
                <w:b w:val="1"/>
                <w:bCs w:val="1"/>
                <w:color w:val="auto"/>
              </w:rPr>
              <w:t>2015</w:t>
            </w:r>
            <w:r>
              <w:rPr>
                <w:rFonts w:ascii="Arial" w:cs="Arial" w:eastAsia="Arial" w:hAnsi="Arial"/>
                <w:sz w:val="28"/>
                <w:szCs w:val="28"/>
                <w:b w:val="1"/>
                <w:bCs w:val="1"/>
                <w:color w:val="auto"/>
                <w:vertAlign w:val="superscript"/>
              </w:rPr>
              <w:t>(c)</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Selected Income Statement Data:</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3,071,951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3,030,445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2,926,289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2,912,351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223,401</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247,620</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201,899</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189,299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8.60</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Percent of Total Revenue: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expenses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Selected Balance Sheet Data:</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(57,867)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(16,971)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Investment in unconsolidated subsidiary</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89,100</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1,581,225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1,527,355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1,521,942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1,497,664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400,000</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10,483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6,833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22,070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129,439</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128,794</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129,353</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126,608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604,710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581,781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544,507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526,443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of property and equipment,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137,540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151,633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110,108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113,360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 in unconsolidated subsidiary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89,100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Share repurchases</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14,772</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14,653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Selected Other Data:</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year</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24,049,240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24,011,550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24,055,682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23,956,134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Stores open at end of year</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line="216" w:lineRule="exact"/>
              <w:rPr>
                <w:sz w:val="20"/>
                <w:szCs w:val="20"/>
                <w:color w:val="auto"/>
              </w:rPr>
            </w:pPr>
            <w:r>
              <w:rPr>
                <w:rFonts w:ascii="Arial" w:cs="Arial" w:eastAsia="Arial" w:hAnsi="Arial"/>
                <w:sz w:val="16"/>
                <w:szCs w:val="16"/>
                <w:b w:val="1"/>
                <w:bCs w:val="1"/>
                <w:color w:val="auto"/>
              </w:rPr>
              <w:t>Average Unit Volumes</w:t>
            </w:r>
            <w:r>
              <w:rPr>
                <w:rFonts w:ascii="Arial" w:cs="Arial" w:eastAsia="Arial" w:hAnsi="Arial"/>
                <w:sz w:val="25"/>
                <w:szCs w:val="25"/>
                <w:b w:val="1"/>
                <w:bCs w:val="1"/>
                <w:color w:val="auto"/>
                <w:vertAlign w:val="superscript"/>
              </w:rPr>
              <w:t>(d)</w:t>
            </w: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3,724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3,646</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892</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line="216" w:lineRule="exact"/>
              <w:rPr>
                <w:sz w:val="20"/>
                <w:szCs w:val="20"/>
                <w:color w:val="auto"/>
              </w:rPr>
            </w:pPr>
            <w:r>
              <w:rPr>
                <w:rFonts w:ascii="Arial" w:cs="Arial" w:eastAsia="Arial" w:hAnsi="Arial"/>
                <w:sz w:val="16"/>
                <w:szCs w:val="16"/>
                <w:b w:val="1"/>
                <w:bCs w:val="1"/>
                <w:color w:val="auto"/>
              </w:rPr>
              <w:t>Comparable Store Sales</w:t>
            </w:r>
            <w:r>
              <w:rPr>
                <w:rFonts w:ascii="Arial" w:cs="Arial" w:eastAsia="Arial" w:hAnsi="Arial"/>
                <w:sz w:val="25"/>
                <w:szCs w:val="25"/>
                <w:b w:val="1"/>
                <w:bCs w:val="1"/>
                <w:color w:val="auto"/>
                <w:vertAlign w:val="superscript"/>
              </w:rPr>
              <w:t>(e)</w:t>
            </w: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Period to period increase (decrease) in comparable store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Number of stores in comparable base</w:t>
            </w:r>
          </w:p>
        </w:tc>
        <w:tc>
          <w:tcPr>
            <w:tcW w:w="1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Effective July 18, 2019, the Company entered into a strategic relationship with PBS by purchasing a non-controlling interest in PBS for $89,100.</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6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Fiscal 2018 consisted of 53 weeks while all other periods presented consisted of 52 weeks. The estimated impact of the additional week was to increase consolidated fiscal 2018 results as follows: total revenue, $58,353; store operating income, 0.1% of total revenue; operating income, 0.2% of total revenue; net income, 0.2% of total revenue; and diluted net income per share, $0.36. Additionally, as a result of P.L. 115-97, the Tax Cuts and Jobs Act, which was enacted on December 22, 2017 by the U.S. government and lowered the federal corporate income tax rate to 21%, we recorded a provisional tax benefit in fiscal 2018 for the re-measurement of deferred tax liabilities of $30,482.</w:t>
      </w:r>
    </w:p>
    <w:p>
      <w:pPr>
        <w:spacing w:after="0" w:line="3"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incurred approximately $3,500 in costs related to a litigation matter, which are included in general and administrative expenses. Our debt refinancing in the second quarter of fiscal 2015 resulted in additional interest expense of $412 related to the write-off of deferred financing costs.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Average unit volumes include sales of all stores. Fiscal 2018 consisted of 53 weeks while all other periods presented consisted of 52 weeks.</w:t>
      </w:r>
    </w:p>
    <w:p>
      <w:pPr>
        <w:spacing w:after="0" w:line="20"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consist of sales of stores open at least six full quarters at the beginning of the year and are measured on comparable calendar weeks.</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4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should also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This overview summarizes the MD&amp;A, which includes the following sections:</w:t>
      </w:r>
    </w:p>
    <w:p>
      <w:pPr>
        <w:spacing w:after="0" w:line="240" w:lineRule="exact"/>
        <w:rPr>
          <w:sz w:val="20"/>
          <w:szCs w:val="20"/>
          <w:color w:val="auto"/>
        </w:rPr>
      </w:pPr>
    </w:p>
    <w:p>
      <w:pPr>
        <w:ind w:left="580" w:hanging="248"/>
        <w:spacing w:after="0" w:line="25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and retail industries, our key performance indicators and the Company’s performance in 2019.</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Results of Operations – an analysis of our consolidated statements of income for the three years presented in our Consolidated Financial Statements.</w:t>
      </w:r>
    </w:p>
    <w:p>
      <w:pPr>
        <w:spacing w:after="0" w:line="32" w:lineRule="exact"/>
        <w:rPr>
          <w:rFonts w:ascii="Arial" w:cs="Arial" w:eastAsia="Arial" w:hAnsi="Arial"/>
          <w:sz w:val="16"/>
          <w:szCs w:val="16"/>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EXECUTIVE OVERVIEW</w:t>
      </w:r>
    </w:p>
    <w:p>
      <w:pPr>
        <w:spacing w:after="0" w:line="23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Cracker Barrel Old Country Store, Inc. (the “Company,” “our” or “we”) is a publicly traded (Nasdaq: CBRL) company that, through its operations and those of certain subsidiaries, is principally engaged in the operation and development of the Cracker Barrel Old Country Store® (“Cracker Barrel”) concept. Each Cracker Barrel store consists of a restaurant with a gift shop. The restaurants serve breakfast, lunch and dinner. The gift shop offers a variety of decorative and functional items specializing in rocking chairs, holiday gifts, toys, apparel and foods. As of September 18, 2019, the Company operated 660 Cracker Barrel stores located in 45 states.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Restaurant and Retail Industries</w:t>
      </w:r>
    </w:p>
    <w:p>
      <w:pPr>
        <w:spacing w:after="0" w:line="23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Our stores operate in both the restaurant and retail industries in the United States. The restaurant and retail industries are highly competitive with respect to quality, variety and price of the food products and retail merchandise offered. We compete with a significant number of national and regional restaurant and retail chains. Additionally, there are many segments within the restaurant industry, such as family dining, casual dining, full-service, fast casual and quick service, which often overlap and provide competition for widely diverse restaurant concepts. We primarily operate in the full-service segment of the restaurant industry. Competition also exists in securing prime real estate locations for new stores, in hiring qualified employees, in advertising, in the attractiveness of facilities and with competitors having similar menu offerings or convenience.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20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Additionally, economic, seasonal and weather conditions affect the restaurant and retail industries.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holiday shopping season. Severe weather also affects restaurant and retail sales adversely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Key Performance Indicators</w:t>
      </w:r>
    </w:p>
    <w:p>
      <w:pPr>
        <w:spacing w:after="0" w:line="23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Management uses a number of key performance measures to evaluate our operational and financial performance, including the following:</w:t>
      </w:r>
    </w:p>
    <w:p>
      <w:pPr>
        <w:spacing w:after="0" w:line="200"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Comparable store restaurant and retail sales and restaurant guest traffic consist of sales and calculated number of guests, respectively, of stores open at least six full quarters at the beginning of the year and are measured on comparable calendar weeks. This measure excludes the impact of new store openings.</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Retail conversion is the percentage of dine-in restaurant guest traffic that makes a retail purchase. Management uses retail conversion as its metric to analyze a store’s ability to convert restaurant traffic into a retail sales occasion.</w:t>
      </w:r>
    </w:p>
    <w:p>
      <w:pPr>
        <w:spacing w:after="0" w:line="20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Store operating margins are defined as total revenue less cost of goods sold (exclusive of depreciation and rent), labor and other related expenses and other store operating expenses, all as a percentage of total revenue. Management uses this indicator as a primary measure of operating profitability.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Company Performance in 2019</w:t>
      </w:r>
    </w:p>
    <w:p>
      <w:pPr>
        <w:spacing w:after="0" w:line="23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Management believes that the Cracker Barrel brand remains one of the strongest and most differentiated brands in the restaurant industry.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long-term strategy includes the following:</w:t>
      </w:r>
    </w:p>
    <w:p>
      <w:pPr>
        <w:spacing w:after="0" w:line="240" w:lineRule="exact"/>
        <w:rPr>
          <w:sz w:val="20"/>
          <w:szCs w:val="20"/>
          <w:color w:val="auto"/>
        </w:rPr>
      </w:pPr>
    </w:p>
    <w:p>
      <w:pPr>
        <w:jc w:val="both"/>
        <w:ind w:left="6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Enhancing the Core business to drive sustainable sales growth and continued business model improvements. During 2019, we focused on driving topline sales growth through an increased focus on our menu and the employee and guest experience as well as the continued expansion of our off-premise business. We introduced new and unique menu offerings such as our Country Fried Turkey and Southern Fried Chicken, and we implemented several enhancements to our employee training and recognition program. Additionally, we continued to evolve our off-premise business. Also, during 2019, we further delivered on our commitment to achieve ongoing cost reductions through business model improvements.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Expanding the Footprint by building profitable stores in core and developing markets. In 2019, we opened eight new Cracker Barrel locations.</w:t>
      </w:r>
    </w:p>
    <w:p>
      <w:pPr>
        <w:spacing w:after="0" w:line="253" w:lineRule="exact"/>
        <w:rPr>
          <w:rFonts w:ascii="Arial" w:cs="Arial" w:eastAsia="Arial" w:hAnsi="Arial"/>
          <w:sz w:val="17"/>
          <w:szCs w:val="17"/>
          <w:color w:val="auto"/>
        </w:rPr>
      </w:pPr>
    </w:p>
    <w:p>
      <w:pPr>
        <w:ind w:left="660" w:right="20" w:hanging="328"/>
        <w:spacing w:after="0" w:line="19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Extending the Brand by optimizing on long-term drivers, such as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through our strategic relationship with PBS, to further drive shareholder value.</w:t>
      </w:r>
    </w:p>
    <w:p>
      <w:pPr>
        <w:spacing w:after="0" w:line="223"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Additionally, during 2019, we increased shareholder return by growing our regular quarterly dividend from $1.25 to $1.30 per share. Also reflecting our commitment to returning significant value to shareholders while maintaining a balanced approach to capital allocation, we declared a special dividend of $3.00 per share.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operating results over the past three years:</w:t>
      </w:r>
    </w:p>
    <w:p>
      <w:pPr>
        <w:spacing w:after="0" w:line="240"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Relationship to Total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0" w:type="dxa"/>
            <w:vAlign w:val="bottom"/>
            <w:tcBorders>
              <w:top w:val="single" w:sz="8" w:color="auto"/>
              <w:bottom w:val="single" w:sz="8" w:color="auto"/>
            </w:tcBorders>
          </w:tcPr>
          <w:p>
            <w:pPr>
              <w:spacing w:after="0"/>
              <w:rPr>
                <w:sz w:val="20"/>
                <w:szCs w:val="20"/>
                <w:color w:val="auto"/>
              </w:rPr>
            </w:pPr>
          </w:p>
        </w:tc>
        <w:tc>
          <w:tcPr>
            <w:tcW w:w="30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2019</w:t>
            </w:r>
          </w:p>
        </w:tc>
        <w:tc>
          <w:tcPr>
            <w:tcW w:w="14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2018</w:t>
            </w: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3040" w:type="dxa"/>
            <w:vAlign w:val="bottom"/>
          </w:tcPr>
          <w:p>
            <w:pPr>
              <w:jc w:val="right"/>
              <w:ind w:right="330"/>
              <w:spacing w:after="0"/>
              <w:rPr>
                <w:sz w:val="20"/>
                <w:szCs w:val="20"/>
                <w:color w:val="auto"/>
              </w:rPr>
            </w:pPr>
            <w:r>
              <w:rPr>
                <w:rFonts w:ascii="Arial" w:cs="Arial" w:eastAsia="Arial" w:hAnsi="Arial"/>
                <w:sz w:val="18"/>
                <w:szCs w:val="18"/>
                <w:color w:val="auto"/>
              </w:rPr>
              <w:t>30.3</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30.9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3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35.1</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040" w:type="dxa"/>
            <w:vAlign w:val="bottom"/>
          </w:tcPr>
          <w:p>
            <w:pPr>
              <w:jc w:val="right"/>
              <w:ind w:right="330"/>
              <w:spacing w:after="0"/>
              <w:rPr>
                <w:sz w:val="20"/>
                <w:szCs w:val="20"/>
                <w:color w:val="auto"/>
              </w:rPr>
            </w:pPr>
            <w:r>
              <w:rPr>
                <w:rFonts w:ascii="Arial" w:cs="Arial" w:eastAsia="Arial" w:hAnsi="Arial"/>
                <w:sz w:val="18"/>
                <w:szCs w:val="18"/>
                <w:color w:val="auto"/>
              </w:rPr>
              <w:t>20.4</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19.9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3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14.2</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4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9.2</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expense</w:t>
            </w:r>
          </w:p>
        </w:tc>
        <w:tc>
          <w:tcPr>
            <w:tcW w:w="3040" w:type="dxa"/>
            <w:vAlign w:val="bottom"/>
          </w:tcPr>
          <w:p>
            <w:pPr>
              <w:jc w:val="right"/>
              <w:ind w:right="330"/>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8.7</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4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r>
      <w:tr>
        <w:trPr>
          <w:trHeight w:val="257"/>
        </w:trPr>
        <w:tc>
          <w:tcPr>
            <w:tcW w:w="20" w:type="dxa"/>
            <w:vAlign w:val="bottom"/>
          </w:tcPr>
          <w:p>
            <w:pPr>
              <w:spacing w:after="0"/>
              <w:rPr>
                <w:sz w:val="22"/>
                <w:szCs w:val="22"/>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7.3</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Total Revenue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the key components of revenue for the past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line="216" w:lineRule="exact"/>
              <w:rPr>
                <w:sz w:val="20"/>
                <w:szCs w:val="20"/>
                <w:color w:val="auto"/>
              </w:rPr>
            </w:pPr>
            <w:r>
              <w:rPr>
                <w:rFonts w:ascii="Arial" w:cs="Arial" w:eastAsia="Arial" w:hAnsi="Arial"/>
                <w:sz w:val="16"/>
                <w:szCs w:val="16"/>
                <w:color w:val="auto"/>
              </w:rPr>
              <w:t>Revenue in dollars</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2,482,377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2,439,389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2,351,212</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2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589,574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591,056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575,077</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3,071,951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3,030,445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2,926,289</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line="216" w:lineRule="exact"/>
              <w:rPr>
                <w:sz w:val="20"/>
                <w:szCs w:val="20"/>
                <w:color w:val="auto"/>
              </w:rPr>
            </w:pPr>
            <w:r>
              <w:rPr>
                <w:rFonts w:ascii="Arial" w:cs="Arial" w:eastAsia="Arial" w:hAnsi="Arial"/>
                <w:sz w:val="16"/>
                <w:szCs w:val="16"/>
                <w:color w:val="auto"/>
              </w:rPr>
              <w:t>Total revenue percentage increase</w:t>
            </w:r>
            <w:r>
              <w:rPr>
                <w:rFonts w:ascii="Arial" w:cs="Arial" w:eastAsia="Arial" w:hAnsi="Arial"/>
                <w:sz w:val="25"/>
                <w:szCs w:val="25"/>
                <w:color w:val="auto"/>
                <w:vertAlign w:val="superscript"/>
              </w:rPr>
              <w:t>(1)</w:t>
            </w:r>
          </w:p>
        </w:tc>
        <w:tc>
          <w:tcPr>
            <w:tcW w:w="2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2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2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Comparable number of stores</w:t>
            </w:r>
          </w:p>
        </w:tc>
        <w:tc>
          <w:tcPr>
            <w:tcW w:w="2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640</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635</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averages per store: </w:t>
            </w:r>
            <w:r>
              <w:rPr>
                <w:rFonts w:ascii="Arial" w:cs="Arial" w:eastAsia="Arial" w:hAnsi="Arial"/>
                <w:sz w:val="25"/>
                <w:szCs w:val="25"/>
                <w:color w:val="auto"/>
                <w:vertAlign w:val="superscript"/>
              </w:rPr>
              <w:t>(2)</w:t>
            </w:r>
          </w:p>
        </w:tc>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3,784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3,762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3,669</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891</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903</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4,675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4,665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Restaurant average weekly sales </w:t>
            </w:r>
            <w:r>
              <w:rPr>
                <w:rFonts w:ascii="Arial" w:cs="Arial" w:eastAsia="Arial" w:hAnsi="Arial"/>
                <w:sz w:val="25"/>
                <w:szCs w:val="25"/>
                <w:color w:val="auto"/>
                <w:vertAlign w:val="superscript"/>
              </w:rPr>
              <w:t>(3)</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160" w:type="dxa"/>
            <w:vAlign w:val="bottom"/>
          </w:tcPr>
          <w:p>
            <w:pPr>
              <w:spacing w:after="0" w:line="231" w:lineRule="exact"/>
              <w:rPr>
                <w:sz w:val="20"/>
                <w:szCs w:val="20"/>
                <w:color w:val="auto"/>
              </w:rPr>
            </w:pPr>
            <w:r>
              <w:rPr>
                <w:rFonts w:ascii="Arial" w:cs="Arial" w:eastAsia="Arial" w:hAnsi="Arial"/>
                <w:sz w:val="16"/>
                <w:szCs w:val="16"/>
                <w:color w:val="auto"/>
              </w:rPr>
              <w:t xml:space="preserve">Retail average weekly sales </w:t>
            </w:r>
            <w:r>
              <w:rPr>
                <w:rFonts w:ascii="Arial" w:cs="Arial" w:eastAsia="Arial" w:hAnsi="Arial"/>
                <w:sz w:val="26"/>
                <w:szCs w:val="26"/>
                <w:color w:val="auto"/>
                <w:vertAlign w:val="superscript"/>
              </w:rPr>
              <w:t>(3)</w:t>
            </w:r>
          </w:p>
        </w:tc>
        <w:tc>
          <w:tcPr>
            <w:tcW w:w="238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260" w:hanging="252"/>
        <w:spacing w:after="0" w:line="180" w:lineRule="auto"/>
        <w:tabs>
          <w:tab w:leader="none" w:pos="26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2018 consists of 53 weeks while the other periods presented consist of 52 weeks.</w:t>
      </w:r>
    </w:p>
    <w:p>
      <w:pPr>
        <w:spacing w:after="0" w:line="1" w:lineRule="exact"/>
        <w:rPr>
          <w:rFonts w:ascii="Arial" w:cs="Arial" w:eastAsia="Arial" w:hAnsi="Arial"/>
          <w:sz w:val="29"/>
          <w:szCs w:val="29"/>
          <w:color w:val="auto"/>
          <w:vertAlign w:val="superscript"/>
        </w:rPr>
      </w:pPr>
    </w:p>
    <w:p>
      <w:pPr>
        <w:ind w:left="260" w:hanging="252"/>
        <w:spacing w:after="0" w:line="181" w:lineRule="auto"/>
        <w:tabs>
          <w:tab w:leader="none" w:pos="260" w:val="left"/>
        </w:tabs>
        <w:numPr>
          <w:ilvl w:val="0"/>
          <w:numId w:val="11"/>
        </w:numPr>
        <w:rPr>
          <w:rFonts w:ascii="Arial" w:cs="Arial" w:eastAsia="Arial" w:hAnsi="Arial"/>
          <w:sz w:val="28"/>
          <w:szCs w:val="28"/>
          <w:color w:val="auto"/>
          <w:vertAlign w:val="superscript"/>
        </w:rPr>
      </w:pPr>
      <w:r>
        <w:rPr>
          <w:rFonts w:ascii="Arial" w:cs="Arial" w:eastAsia="Arial" w:hAnsi="Arial"/>
          <w:sz w:val="18"/>
          <w:szCs w:val="18"/>
          <w:color w:val="auto"/>
        </w:rPr>
        <w:t>2018 is calculated on a 53-week basis while the other periods are calculated on a 52-week basis.</w:t>
      </w:r>
    </w:p>
    <w:p>
      <w:pPr>
        <w:ind w:left="260" w:hanging="252"/>
        <w:spacing w:after="0" w:line="184" w:lineRule="auto"/>
        <w:tabs>
          <w:tab w:leader="none" w:pos="26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Average weekly sales are calculated by dividing net sales by operating weeks and include all stores.</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Total revenue benefited from the opening of ---eight new stores in 2019, eleven new stores in 2018 and eight new stores in 2017, partially offset by the closing of one store in 2019. In 2018, total revenue also benefited by the additional week in 2018, which resulted in an increase in revenues of $58,353.</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comparable store sales* results over the past two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Period to Period</w:t>
            </w:r>
          </w:p>
        </w:tc>
        <w:tc>
          <w:tcPr>
            <w:tcW w:w="84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140" w:type="dxa"/>
            <w:vAlign w:val="bottom"/>
            <w:gridSpan w:val="6"/>
          </w:tcPr>
          <w:p>
            <w:pPr>
              <w:jc w:val="center"/>
              <w:ind w:right="720"/>
              <w:spacing w:after="0" w:line="196" w:lineRule="exact"/>
              <w:rPr>
                <w:sz w:val="20"/>
                <w:szCs w:val="20"/>
                <w:color w:val="auto"/>
              </w:rPr>
            </w:pPr>
            <w:r>
              <w:rPr>
                <w:rFonts w:ascii="Arial" w:cs="Arial" w:eastAsia="Arial" w:hAnsi="Arial"/>
                <w:sz w:val="18"/>
                <w:szCs w:val="18"/>
                <w:color w:val="auto"/>
                <w:w w:val="87"/>
              </w:rPr>
              <w:t>Increase (Decrease)</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980" w:type="dxa"/>
            <w:vAlign w:val="bottom"/>
            <w:gridSpan w:val="3"/>
          </w:tcPr>
          <w:p>
            <w:pPr>
              <w:jc w:val="center"/>
              <w:ind w:left="3270"/>
              <w:spacing w:after="0"/>
              <w:rPr>
                <w:sz w:val="20"/>
                <w:szCs w:val="20"/>
                <w:color w:val="auto"/>
              </w:rPr>
            </w:pPr>
            <w:r>
              <w:rPr>
                <w:rFonts w:ascii="Arial" w:cs="Arial" w:eastAsia="Arial" w:hAnsi="Arial"/>
                <w:sz w:val="18"/>
                <w:szCs w:val="18"/>
                <w:color w:val="auto"/>
                <w:w w:val="90"/>
              </w:rPr>
              <w:t>2019 vs 2018</w:t>
            </w:r>
          </w:p>
        </w:tc>
        <w:tc>
          <w:tcPr>
            <w:tcW w:w="13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2018 vs 2017</w:t>
            </w:r>
          </w:p>
        </w:tc>
      </w:tr>
      <w:tr>
        <w:trPr>
          <w:trHeight w:val="237"/>
        </w:trPr>
        <w:tc>
          <w:tcPr>
            <w:tcW w:w="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3"/>
          </w:tcPr>
          <w:p>
            <w:pPr>
              <w:jc w:val="center"/>
              <w:ind w:left="3250"/>
              <w:spacing w:after="0"/>
              <w:rPr>
                <w:sz w:val="20"/>
                <w:szCs w:val="20"/>
                <w:color w:val="auto"/>
              </w:rPr>
            </w:pPr>
            <w:r>
              <w:rPr>
                <w:rFonts w:ascii="Arial" w:cs="Arial" w:eastAsia="Arial" w:hAnsi="Arial"/>
                <w:sz w:val="18"/>
                <w:szCs w:val="18"/>
                <w:color w:val="auto"/>
                <w:w w:val="88"/>
              </w:rPr>
              <w:t>(640 Stores)</w:t>
            </w: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(635 Stores)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4980" w:type="dxa"/>
            <w:vAlign w:val="bottom"/>
            <w:gridSpan w:val="3"/>
            <w:shd w:val="clear" w:color="auto" w:fill="CCEEFF"/>
          </w:tcPr>
          <w:p>
            <w:pPr>
              <w:ind w:left="4500"/>
              <w:spacing w:after="0"/>
              <w:rPr>
                <w:sz w:val="20"/>
                <w:szCs w:val="20"/>
                <w:color w:val="auto"/>
              </w:rPr>
            </w:pPr>
            <w:r>
              <w:rPr>
                <w:rFonts w:ascii="Arial" w:cs="Arial" w:eastAsia="Arial" w:hAnsi="Arial"/>
                <w:sz w:val="18"/>
                <w:szCs w:val="18"/>
                <w:color w:val="auto"/>
              </w:rPr>
              <w:t>2.6%</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Retail</w:t>
            </w:r>
          </w:p>
        </w:tc>
        <w:tc>
          <w:tcPr>
            <w:tcW w:w="4980" w:type="dxa"/>
            <w:vAlign w:val="bottom"/>
            <w:gridSpan w:val="3"/>
          </w:tcPr>
          <w:p>
            <w:pPr>
              <w:ind w:left="4500"/>
              <w:spacing w:after="0"/>
              <w:rPr>
                <w:sz w:val="20"/>
                <w:szCs w:val="20"/>
                <w:color w:val="auto"/>
              </w:rPr>
            </w:pPr>
            <w:r>
              <w:rPr>
                <w:rFonts w:ascii="Arial" w:cs="Arial" w:eastAsia="Arial" w:hAnsi="Arial"/>
                <w:sz w:val="18"/>
                <w:szCs w:val="18"/>
                <w:color w:val="auto"/>
              </w:rPr>
              <w:t>0.1</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(0.1)</w:t>
            </w:r>
          </w:p>
        </w:tc>
      </w:tr>
      <w:tr>
        <w:trPr>
          <w:trHeight w:val="237"/>
        </w:trPr>
        <w:tc>
          <w:tcPr>
            <w:tcW w:w="2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4980" w:type="dxa"/>
            <w:vAlign w:val="bottom"/>
            <w:gridSpan w:val="3"/>
            <w:shd w:val="clear" w:color="auto" w:fill="CCEEFF"/>
          </w:tcPr>
          <w:p>
            <w:pPr>
              <w:ind w:left="4500"/>
              <w:spacing w:after="0"/>
              <w:rPr>
                <w:sz w:val="20"/>
                <w:szCs w:val="20"/>
                <w:color w:val="auto"/>
              </w:rPr>
            </w:pPr>
            <w:r>
              <w:rPr>
                <w:rFonts w:ascii="Arial" w:cs="Arial" w:eastAsia="Arial" w:hAnsi="Arial"/>
                <w:sz w:val="18"/>
                <w:szCs w:val="18"/>
                <w:color w:val="auto"/>
              </w:rPr>
              <w:t>2.1%</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auto"/>
            </w:tcBorders>
            <w:shd w:val="clear" w:color="auto" w:fill="000000"/>
          </w:tcPr>
          <w:p>
            <w:pPr>
              <w:spacing w:after="0" w:line="20" w:lineRule="exact"/>
              <w:rPr>
                <w:sz w:val="1"/>
                <w:szCs w:val="1"/>
                <w:color w:val="auto"/>
              </w:rPr>
            </w:pPr>
          </w:p>
        </w:tc>
        <w:tc>
          <w:tcPr>
            <w:tcW w:w="4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*Comparable store sales consist of sales of stores open at least six full quarters at the beginning of the year and are measured on comparable calendar weeks.</w:t>
      </w:r>
    </w:p>
    <w:p>
      <w:pPr>
        <w:spacing w:after="0" w:line="20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Our comparable store restaurant sales increase from 2018 to 2019 resulted from a higher average check of 3.3%, primarily attributable to a 2.1% average menu price increase and 1.2% of favorable check impact from changes in mix, partially offset by a decrease in guest traffic of 0.7%. Our comparable store restaurant sales increase from 2017 to 2018 resulted from a higher average check of 2.5%, primarily attributable to a 2.4% average menu price increase, partially offset by a decrease in guest traffic of 1.9%.</w:t>
      </w:r>
    </w:p>
    <w:p>
      <w:pPr>
        <w:spacing w:after="0" w:line="170"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 slight increase in our comparable store retail sales from 2018 to 2019 resulting primarily from strong performance in the apparel and accessories merchandise category was partially offset by the decrease in guest traffic and lower performance in the décor merchandise category. The slight decrease in our comparable store retail sales from 2017 to 2018 resulting primarily from the decrease in guest traffic and lower performance in décor, toys, and bed and bath merchandise categories was partially offset by strong performance in the apparel and accessories merchandise category.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Cost of Goods Sold (Exclusive of Depreciation and Rent)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the components of cost of goods sold in dollar amounts for the past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628,761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625,999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595,186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28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302,316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309,398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296,107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2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931,077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935,397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highlights restaurant cost of goods sold as a percentage of restaurant revenue for the past three years: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w w:val="88"/>
              </w:rPr>
              <w:t>Restaurant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25.3%</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25.7%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decrease from 2018 to 2019 was primarily the result of our menu price increase referenced above, lower food waste and a shift to lower cost menu items partially offset by food commodity inflation of 1.6%. Lower food waste and lower cost menu items both accounted for a decrease of 0.1% in restaurant cost of goods sold as a percentage of restaurant revenue. The increase from 2017 to 2018 was primarily the result of food commodity inflation of 3.3% and higher food waste partially offset by our menu price increase referenced above. Higher food waste accounted for 0.1% in restaurant cost of goods sold as a percentage of restaurant revenue.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We presently expect the rate of commodity inflation to be approximately 2.0% to 2.5% in 2020 as compared to 1.6% in 2019.</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retail cost of goods sold as a percentage of retail revenue for the past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110"/>
              <w:spacing w:after="0"/>
              <w:rPr>
                <w:sz w:val="20"/>
                <w:szCs w:val="20"/>
                <w:color w:val="auto"/>
              </w:rPr>
            </w:pPr>
            <w:r>
              <w:rPr>
                <w:rFonts w:ascii="Arial" w:cs="Arial" w:eastAsia="Arial" w:hAnsi="Arial"/>
                <w:sz w:val="18"/>
                <w:szCs w:val="18"/>
                <w:color w:val="auto"/>
                <w:w w:val="89"/>
              </w:rPr>
              <w:t>Retail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51.3%</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52.3%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The decrease in retail cost of goods sold as a percentage of retail revenue in 2019 as compared to 2018 resulted primarily from lower markdowns and a decrease in the provision for obsolete inventory partially offset by lower initial margin.</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84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71"/>
        </w:trPr>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440" w:type="dxa"/>
            <w:vAlign w:val="bottom"/>
          </w:tcPr>
          <w:p>
            <w:pPr>
              <w:spacing w:after="0"/>
              <w:rPr>
                <w:sz w:val="24"/>
                <w:szCs w:val="24"/>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2018 to 2019</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Markdowns</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58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Provision for obsolete inventory</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58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increase in retail cost of goods sold as a percentage of retail revenue in 2018 as compared to 2017 resulted from lower initial margin, an increase in the provision for obsolete inventory, higher inventory shrinkage and higher freight expense partially offset by lower markdowns.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2017 to 2018</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Inventory shrinkage</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Freight expense</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Labor and Other Related Expenses</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21"/>
          <w:szCs w:val="21"/>
          <w:color w:val="auto"/>
        </w:rPr>
        <w:t>Labor and other related expenses include all direct and indirect labor and related costs incurred in store operations. The following table highlights labor and other related expenses as a percentage of total revenue for the past three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630"/>
              <w:spacing w:after="0"/>
              <w:rPr>
                <w:sz w:val="20"/>
                <w:szCs w:val="20"/>
                <w:color w:val="auto"/>
              </w:rPr>
            </w:pPr>
            <w:r>
              <w:rPr>
                <w:rFonts w:ascii="Arial" w:cs="Arial" w:eastAsia="Arial" w:hAnsi="Arial"/>
                <w:sz w:val="18"/>
                <w:szCs w:val="18"/>
                <w:color w:val="auto"/>
                <w:w w:val="86"/>
              </w:rPr>
              <w:t>Labor and other related expenses</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35.1%</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34.8%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year-to-year percentage change from 2018 to 2019 resulted primarily from the following:</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2018 to 2019</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Store bonus expense</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222"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The increase in store hourly labor in 2019 as compared to 2018 resulted primarily from wage inflation exceeding menu price increases.</w:t>
      </w:r>
    </w:p>
    <w:p>
      <w:pPr>
        <w:spacing w:after="0" w:line="200" w:lineRule="exact"/>
        <w:rPr>
          <w:sz w:val="20"/>
          <w:szCs w:val="20"/>
          <w:color w:val="auto"/>
        </w:rPr>
      </w:pPr>
    </w:p>
    <w:p>
      <w:pPr>
        <w:ind w:right="20" w:firstLine="324"/>
        <w:spacing w:after="0" w:line="251" w:lineRule="auto"/>
        <w:rPr>
          <w:sz w:val="20"/>
          <w:szCs w:val="20"/>
          <w:color w:val="auto"/>
        </w:rPr>
      </w:pPr>
      <w:r>
        <w:rPr>
          <w:rFonts w:ascii="Arial" w:cs="Arial" w:eastAsia="Arial" w:hAnsi="Arial"/>
          <w:sz w:val="22"/>
          <w:szCs w:val="22"/>
          <w:color w:val="auto"/>
        </w:rPr>
        <w:t>The increase in store bonus expense in 2019 as compared to 2018 resulted from better performance against financial objectives in 2019 as compared to 2018.</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decrease in employee health care expenses in 2019 as compared to 2018 resulted primarily from lower claims activity.</w:t>
      </w:r>
    </w:p>
    <w:p>
      <w:pPr>
        <w:spacing w:after="0" w:line="268"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Labor and other related expenses as a percentage of total revenue in 2018 remained flat to 2017 as a result of the following offsetting percentage changes: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2017 to 2018</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Store bonus expense</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22"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The increase in store hourly labor in 2018 as compared to 2017 resulted primarily from lower productivity and wage inflation exceeding menu price increases.</w:t>
      </w:r>
    </w:p>
    <w:p>
      <w:pPr>
        <w:sectPr>
          <w:pgSz w:w="11900" w:h="16838" w:orient="portrait"/>
          <w:cols w:equalWidth="0" w:num="1">
            <w:col w:w="11420"/>
          </w:cols>
          <w:pgMar w:left="240" w:top="114"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decrease in store bonus expense in 2018 as compared to 2017 resulted from lower performance against financial objectives in 2018 as compared to 2017.</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decrease in employee health care expenses in 2018 as compared to 2017 resulted primarily from lower claims activity.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Other Store Operating Expenses</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Other store operating expenses include all store-level operating costs, the major components of which are utilities, operating supplies, repairs and maintenance, depreciation and amortization, advertising, rent, credit card and gift card fees, real and personal property taxes, general insurance and costs associated with our bi-annual manager conference and training event. The following table highlights other store operating expenses as a percentage of total revenue for the past three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w w:val="87"/>
              </w:rPr>
              <w:t>Other store operating expenses</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20.4%</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19.9%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year-to-year percentage change from 2018 to 2019 resulted primarily from the following:</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2018 to 2019</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Loss on disposition of property and equipment</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22"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The increase in depreciation expense as a percentage of total revenue for 2019 as compared to 2018 resulted primarily from higher capital expenditures with accelerated depreciation methods.</w:t>
      </w:r>
    </w:p>
    <w:p>
      <w:pPr>
        <w:spacing w:after="0" w:line="20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increase in loss on disposition of property and equipment as a percentage of total revenue for 2019 as compared to 2018 resulted primarily from costs associated with a store closure, higher disposal of assets related primarily to discontinued projects and a reduction in the carrying value for a previously closed store.</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decrease in maintenance expense as a percentage of total revenue for 2019 as compared to 2018 resulted primarily from improved management of expenses in 2019.</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year-to-year percentage change from 2017 to 2018 resulted from the following:</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2017 to 2018</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Depreciation</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Store manager conference expense</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0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increase in maintenance expense as a percentage of total revenue for 2018 as compared to 2017 resulted primarily from the implementation of previously announced initiatives, higher costs associated with snow removal due to adverse weather, higher costs associated with site maintenance and expenses associated with the related repair of certain building components and kitchen equipment.</w:t>
      </w:r>
    </w:p>
    <w:p>
      <w:pPr>
        <w:spacing w:after="0" w:line="212"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The increase in depreciation expense as a percentage of total revenue for 2018 as compared to 2017 resulted from higher capital expenditures.</w:t>
      </w:r>
    </w:p>
    <w:p>
      <w:pPr>
        <w:spacing w:after="0" w:line="2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increase in supplies expense as a percentage of total revenue for 2018 as compared to 2017 resulted primarily from costs associated with growth in our off-premise business.</w:t>
      </w:r>
    </w:p>
    <w:p>
      <w:pPr>
        <w:spacing w:after="0" w:line="2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In the first quarter of 2018, we held a bi-annual manager conference and training event that was attended by our store operations management team. We did not hold a manager’s conference and training event in 2017.</w:t>
      </w:r>
    </w:p>
    <w:p>
      <w:pPr>
        <w:sectPr>
          <w:pgSz w:w="11900" w:h="16838" w:orient="portrait"/>
          <w:cols w:equalWidth="0" w:num="1">
            <w:col w:w="11420"/>
          </w:cols>
          <w:pgMar w:left="240" w:top="12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General and Administrative Expenses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highlights general and administrative expenses as a percentage of total revenue for the past three years: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120" w:type="dxa"/>
            <w:vAlign w:val="bottom"/>
            <w:shd w:val="clear" w:color="auto" w:fill="CCEEFF"/>
          </w:tcPr>
          <w:p>
            <w:pPr>
              <w:jc w:val="right"/>
              <w:ind w:right="5390"/>
              <w:spacing w:after="0"/>
              <w:rPr>
                <w:sz w:val="20"/>
                <w:szCs w:val="20"/>
                <w:color w:val="auto"/>
              </w:rPr>
            </w:pPr>
            <w:r>
              <w:rPr>
                <w:rFonts w:ascii="Arial" w:cs="Arial" w:eastAsia="Arial" w:hAnsi="Arial"/>
                <w:sz w:val="18"/>
                <w:szCs w:val="18"/>
                <w:color w:val="auto"/>
                <w:w w:val="88"/>
              </w:rPr>
              <w:t>General and administrative expenses</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year-to-year percentage change from 2018 to 2019 resulted primarily from higher incentive compensation. Higher incentive compensation in 2019 as compared to 2018 resulted from better performance against financial objectives as compared to the prior year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year-to-year percentage change from 2017 to 2018 resulted from the following:</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2017 to 2018</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expense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bl>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decrease in incentive compensation expense as a percentage of total revenue in 2018 as compared to 2017 resulted primarily from lower performance against financial objectives in 2018 as compared to 2017.</w:t>
      </w:r>
    </w:p>
    <w:p>
      <w:pPr>
        <w:spacing w:after="0" w:line="200"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The increase in payroll and related expenses as a percentage of total revenue in 2018 as compared to 2017 resulted primarily from more manager-in-training weeks and higher average wages.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interest expense for the past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year-to-year increases from 2018 to 2019 and from 2017 to 2018 resulted primarily from higher weighted average interest rates. Additionally, as part of our debt refinancing in 2019, we incurred additional interest expense of $166 related to the write-off of deferred financing costs. The additional week in 2018 also increased interest expense by $323. We presently expect our net interest expense for 2020 to be approximately $14,000.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Provision for Income Taxes</w:t>
      </w:r>
    </w:p>
    <w:p>
      <w:pPr>
        <w:spacing w:after="0" w:line="23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table highlights the provision for income taxes as a percentage of income before income taxes (“effective tax rate”) for the past three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w w:val="89"/>
              </w:rPr>
              <w:t>Effective tax rate</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16.1%</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11.1%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increase in our effective tax rate from 2018 to 2019 reflected the significant impact of P.L. 115-97, the Tax Cuts and Jobs Act (the “Tax Act”), enacted on December 22, 2017 by the U.S. government. The Tax Act made broad and complex changes to the U.S. tax code, including, but not limited to, reducing the U.S. federal corporate tax rate from 35% to 21%. This rate reduction lowered deferred tax liabilities, the tax benefit of which was recognized in 2018.</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Similarly, the decrease in our effective tax rate from 2017 to 2018 reflected the reduction in the U.S. federal corporate tax rate from 35% to 21% effective January 1, 2018. In accordance with Section 15 of the Internal Revenue Code, we used a blended rate of 26.9% for our fiscal 2018 tax year, by applying a prorated percentage of the number of days prior to and subsequent to the January 1, 2018 effective date of the Tax Act.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presently expect our effective tax rate for 2020 to be approximately 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presents a summary of our cash flows for the last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362,796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330,620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(241,574)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(151,222)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(109,605)</w:t>
            </w: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(225,743)</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(201,127)</w:t>
            </w:r>
          </w:p>
        </w:tc>
      </w:tr>
      <w:tr>
        <w:trPr>
          <w:trHeight w:val="216"/>
        </w:trPr>
        <w:tc>
          <w:tcPr>
            <w:tcW w:w="20" w:type="dxa"/>
            <w:vAlign w:val="bottom"/>
            <w:tcBorders>
              <w:bottom w:val="single" w:sz="8" w:color="auto"/>
            </w:tcBorders>
          </w:tcPr>
          <w:p>
            <w:pPr>
              <w:spacing w:after="0"/>
              <w:rPr>
                <w:sz w:val="18"/>
                <w:szCs w:val="18"/>
                <w:color w:val="auto"/>
              </w:rPr>
            </w:pPr>
          </w:p>
        </w:tc>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(77,772)</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(46,345)</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Our primary sources of liquidity are cash generated from our operations and our borrowing capacity under our revolving credit facility. Our internally generated cash, along with cash on hand at August 3, 2018, was sufficient to finance all of our growth, dividend payments, working capital needs and other cash payment obligations in 2019.</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We believe that cash at August 2, 2019, along with cash expected to be generated from our operating activities and the borrowing capacity under our revolving credit facility, will be sufficient to finance our continuing operations, our continuing expansion plans, our expected share repurchases and our expected dividend payments for 2020.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Cash Generated from Operations</w:t>
      </w:r>
    </w:p>
    <w:p>
      <w:pPr>
        <w:spacing w:after="0" w:line="23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increase in net cash flow provided by operating activities from 2018 to 2019 primarily reflected the timing of payments for accounts payable, interest, payroll and advertising.</w:t>
      </w:r>
    </w:p>
    <w:p>
      <w:pPr>
        <w:spacing w:after="0" w:line="20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increase in net cash flow provided by operating activities from 2017 to 2018 primarily reflected higher net income and the timing of payments for accounts payable partially offset by lower income tax payments, the timing of payroll payments as compared to prior year as a result of our fiscal year end dates, lower spending on advertising and a lesser increase in the sales of our gift cards in 2018 as compared to 2017.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Capital Expenditures</w:t>
      </w:r>
    </w:p>
    <w:p>
      <w:pPr>
        <w:spacing w:after="0" w:line="233"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The following table presents our capital expenditures (purchase of property and equipment), net of proceeds from insurance recoveries, for the last three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expenditures, net of proceeds from insurance recoveries</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137,540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151,633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Our capital expenditures consisted primarily of capital investments for existing stores, new store locations and strategic initiatives. The decrease in capital expenditures from 2018 to 2019 resulted primarily from the timing of new unit construction partially offset by higher capital expenditures for strategic initiatives. The increase in capital expenditures from 2017 to 2018 resulted primarily from an increase in the number of new store locations and capital expenditures for strategic initiatives.</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We estimate that our capital expenditures during 2020 will be approximately $115,000 to $125,000. This estimate includes the acquisition of sites and construction costs of six new Cracker Barrel stores that we plan to open during 2020, as well as acquisition and construction costs for store locations to be opened in 2021. We intend to fund our capital expenditures with cash generated by operations and borrowings under our revolving credit facility, as necessary.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Punch Bowl Social</w:t>
      </w:r>
    </w:p>
    <w:p>
      <w:pPr>
        <w:spacing w:after="0" w:line="23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Effective July 18, 2019, we entered into a strategic relationship with PBS, a food, beverage and entertainment concept, by purchasing a non-controlling interest in the concept for $89,100. At closing, we also purchased promissory notes of $6,900 along with the related interest on the notes and provided additional funding of $8,000 to PBS in exchange for a promissory note. Additionally, as part of the transaction, we agreed to fund PBS’s further capital needs through calendar year 2020 up to a limit of approximately $38,000, which commitment may be reduced by the amount of any third-party financing secured by PBS during the commitment period. The terms of the Company’s investment in PBS provide us with a call right beginning in 2023 to purchase the remaining ownership interest in PBS, subject to terms and conditions governed by the PBS operating agreement, and, after the expiration of that call right, provide us with the right to demand that PBS initiate a sale process to sell PBS to an unaffiliated third party. We believe the investment in PBS provides us with another growth vehicle to deliver shareholder value and drive continued growth.</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Borrowing Capacity and Debt Covenants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On September 5, 2018, we entered into a five-year $950,000 revolving credit facility (the “2019 Revolving Credit Facility”) with substantially the same terms and financial covenants as our previous $750,000 revolving credit facility, which it replaced. The 2019 Revolving Credit Facility also contains an option to increase the revolving credit facility by $300,000. In the first quarter of 2019, we paid $3,022 in deferred financing costs related to the debt refinancing.</w:t>
      </w:r>
    </w:p>
    <w:p>
      <w:pPr>
        <w:spacing w:after="0" w:line="21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The following table highlights our borrowing capacity and outstanding borrowings under the 2019 Revolving Credit Facility, our standby letters of credit and our borrowing availability under the 2019 Revolving Credit Facility as of August 2,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660" w:type="dxa"/>
            <w:vAlign w:val="bottom"/>
            <w:gridSpan w:val="3"/>
          </w:tcPr>
          <w:p>
            <w:pPr>
              <w:ind w:left="2440"/>
              <w:spacing w:after="0"/>
              <w:rPr>
                <w:sz w:val="20"/>
                <w:szCs w:val="20"/>
                <w:color w:val="auto"/>
              </w:rPr>
            </w:pPr>
            <w:r>
              <w:rPr>
                <w:rFonts w:ascii="Arial" w:cs="Arial" w:eastAsia="Arial" w:hAnsi="Arial"/>
                <w:sz w:val="18"/>
                <w:szCs w:val="18"/>
                <w:color w:val="auto"/>
                <w:w w:val="99"/>
              </w:rPr>
              <w:t>August 2, 2019</w:t>
            </w:r>
          </w:p>
        </w:tc>
      </w:tr>
      <w:tr>
        <w:trPr>
          <w:trHeight w:val="216"/>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 capacity under the 2019 Revolving Credit Facility</w:t>
            </w:r>
          </w:p>
        </w:tc>
        <w:tc>
          <w:tcPr>
            <w:tcW w:w="2740" w:type="dxa"/>
            <w:vAlign w:val="bottom"/>
            <w:tcBorders>
              <w:top w:val="single" w:sz="8" w:color="auto"/>
            </w:tcBorders>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Less: Outstanding borrowings under the 2019 Revolving Credit Facility</w:t>
            </w:r>
          </w:p>
        </w:tc>
        <w:tc>
          <w:tcPr>
            <w:tcW w:w="27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Standby letters of credit*</w:t>
            </w:r>
          </w:p>
        </w:tc>
        <w:tc>
          <w:tcPr>
            <w:tcW w:w="2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Borrowing availability under the 2019 Revolving Credit Facility</w:t>
            </w:r>
          </w:p>
        </w:tc>
        <w:tc>
          <w:tcPr>
            <w:tcW w:w="2740" w:type="dxa"/>
            <w:vAlign w:val="bottom"/>
          </w:tcPr>
          <w:p>
            <w:pPr>
              <w:ind w:left="2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541,045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jc w:val="both"/>
        <w:spacing w:after="0" w:line="251" w:lineRule="auto"/>
        <w:rPr>
          <w:sz w:val="20"/>
          <w:szCs w:val="20"/>
          <w:color w:val="auto"/>
        </w:rPr>
      </w:pPr>
      <w:r>
        <w:rPr>
          <w:rFonts w:ascii="Arial" w:cs="Arial" w:eastAsia="Arial" w:hAnsi="Arial"/>
          <w:sz w:val="22"/>
          <w:szCs w:val="22"/>
          <w:color w:val="auto"/>
        </w:rPr>
        <w:t>*Our standby letters of credit relate to securing reserved claims under workers’ compensation insurance and reduce our borrowing availability under the 2019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78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21"/>
          <w:szCs w:val="21"/>
          <w:color w:val="auto"/>
        </w:rPr>
        <w:t>We did not borrow or make any debt payments in 2018 or 2017. In 2019, we refinanced our debt as discussed above.</w:t>
      </w:r>
    </w:p>
    <w:p>
      <w:pPr>
        <w:spacing w:after="0" w:line="24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See “Material Commitments” below and Note 6 to our Consolidated Financial Statements for further information on our long-term debt.</w:t>
      </w:r>
    </w:p>
    <w:p>
      <w:pPr>
        <w:spacing w:after="0" w:line="20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Our 2019 Revolving Credit Facility contains customary financial covenants, which include maintenance of a maximum consolidated total leverage ratio and a minimum consolidated interest coverage ratio. We were in compliance with the 2019 Revolving Credit Facility’s financial covenants at August 2, 2019, and we presently expect to be in compliance with the 2019 Revolving Credit Facility’s financial covenants for the remaining term of the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Dividends, Share Repurchases and Share-Based Compensation Awards</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Our 2019 Revolving Credit Facility imposes restrictions on the amount of dividends we are permitted to pay and the amount of shares we are permitted to repurchase. Under the 2019 Revolving Credit Facility, provided there is no default existing and the total of our availability under the 2019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During each of the first three quarters of 2019, we declared a regular quarterly dividend of $1.25 per share of our common stock. Each of these dividends was paid in the immediately following quarter. Additionally, during the fourth quarter of 2019, we increased our regular quarterly dividend by 4.0% by declaring a dividend of $1.30 per share and declared a special dividend of $3.00 per share. The special dividend was paid on August 2, 2019 to shareholders of record on July 19, 2019. The regular quarterly dividend was paid on August 5, 2019 to shareholders of record on July 19, 2019. In 2018 and 2017, we paid special dividends of $3.75 per share and $3.50 per share, respectively.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the dividends per share we paid for the last three years:</w:t>
      </w:r>
    </w:p>
    <w:p>
      <w:pPr>
        <w:spacing w:after="0" w:line="240"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260" w:val="left"/>
          <w:tab w:leader="none" w:pos="8800" w:val="left"/>
          <w:tab w:leader="none" w:pos="9620" w:val="left"/>
          <w:tab w:leader="none" w:pos="10160" w:val="left"/>
          <w:tab w:leader="none" w:pos="1098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8.00</w:t>
        <w:tab/>
        <w:t>$</w:t>
      </w:r>
      <w:r>
        <w:rPr>
          <w:sz w:val="20"/>
          <w:szCs w:val="20"/>
          <w:color w:val="auto"/>
        </w:rPr>
        <w:tab/>
      </w:r>
      <w:r>
        <w:rPr>
          <w:rFonts w:ascii="Arial" w:cs="Arial" w:eastAsia="Arial" w:hAnsi="Arial"/>
          <w:sz w:val="18"/>
          <w:szCs w:val="18"/>
          <w:color w:val="auto"/>
        </w:rPr>
        <w:t>8.55</w:t>
        <w:tab/>
        <w:t>$</w:t>
      </w:r>
      <w:r>
        <w:rPr>
          <w:sz w:val="20"/>
          <w:szCs w:val="20"/>
          <w:color w:val="auto"/>
        </w:rPr>
        <w:tab/>
      </w:r>
      <w:r>
        <w:rPr>
          <w:rFonts w:ascii="Arial" w:cs="Arial" w:eastAsia="Arial" w:hAnsi="Arial"/>
          <w:sz w:val="16"/>
          <w:szCs w:val="16"/>
          <w:color w:val="auto"/>
        </w:rPr>
        <w:t>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Our criteria for share repurchases are that they be accretive to expected net income per share and are within the limits imposed by our debt commitments. Subject to the limits imposed by our revolving credit facility, in each of 2019, 2018 and 2017, we were authorized by our Board of Directors to repurchase shares at the discretion of management up to $25,000. Additionally, in the fourth quarter of 2019, our Board of Directors increased our share repurchase authorization to $50,000. In 2019 and 2017, we did not repurchase any shares of our common stock. In 2018, we repurchased 100,000 shares of our common stock in the open market at an aggregate cost of $14,772.</w:t>
      </w:r>
    </w:p>
    <w:p>
      <w:pPr>
        <w:spacing w:after="0" w:line="215"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In 2019, 2018 and 2017, related tax withholding payments on certain share-based compensation awards exceeded proceeds received from the exercise of stock options which resulted in a net use of cash of $2,497, $3,816, and $6,896,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Working Capital</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our working capital deficit: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4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20" w:type="dxa"/>
            <w:vAlign w:val="bottom"/>
          </w:tcPr>
          <w:p>
            <w:pPr>
              <w:jc w:val="right"/>
              <w:ind w:right="1819"/>
              <w:spacing w:after="0"/>
              <w:rPr>
                <w:sz w:val="20"/>
                <w:szCs w:val="20"/>
                <w:color w:val="auto"/>
              </w:rPr>
            </w:pPr>
            <w:r>
              <w:rPr>
                <w:rFonts w:ascii="Arial" w:cs="Arial" w:eastAsia="Arial" w:hAnsi="Arial"/>
                <w:sz w:val="14"/>
                <w:szCs w:val="14"/>
                <w:color w:val="auto"/>
              </w:rPr>
              <w:t>36</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change in working capital at August 2, 2019 compared to August 3, 2018 primarily reflected the decrease in cash, higher accounts payable, higher incentive compensation accruals and an increase in the sales of our gift cards partially offset by the timing of payments for income taxes. The decrease in cash resulted primarily from the purchase of our investment in PBS partially offset by lower spending for capital expenditures. Higher incentive compensation accruals resulted from better performance against financial objectives in 2019 as compared to 2018.</w:t>
      </w:r>
    </w:p>
    <w:p>
      <w:pPr>
        <w:spacing w:after="0" w:line="21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change in working capital at August 3, 2018 compared to July 28, 2017 primarily reflected the decrease in cash and the timing of payments for income taxes partially offset by lower incentive compensation accruals based on lower performance against financial objectives in 2018 and lower payroll accruals due to the timing of payments. The decrease in cash resulted primarily from higher spending for capital expenditures and the repurchase of shares in 2018 partially offset by an increase in cash generated by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Off-Balance Sheet Arrangements</w:t>
      </w:r>
    </w:p>
    <w:p>
      <w:pPr>
        <w:spacing w:after="0" w:line="23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Other than various operating leases, which are disclosed more fully in “Material Commitments” below and Notes 2 and 10 to our Consolidated Financial Statements, we have no other material off-balance sheet arrangements.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Material Commitments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contractual cash obligations and commitments as of August 2, 2019, are summarized in the tables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Contractual Obligations </w:t>
            </w:r>
            <w:r>
              <w:rPr>
                <w:rFonts w:ascii="Arial" w:cs="Arial" w:eastAsia="Arial" w:hAnsi="Arial"/>
                <w:sz w:val="30"/>
                <w:szCs w:val="30"/>
                <w:color w:val="auto"/>
                <w:vertAlign w:val="superscript"/>
              </w:rPr>
              <w:t>(a)</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410"/>
              <w:spacing w:after="0"/>
              <w:rPr>
                <w:sz w:val="20"/>
                <w:szCs w:val="20"/>
                <w:color w:val="auto"/>
              </w:rPr>
            </w:pPr>
            <w:r>
              <w:rPr>
                <w:rFonts w:ascii="Arial" w:cs="Arial" w:eastAsia="Arial" w:hAnsi="Arial"/>
                <w:sz w:val="18"/>
                <w:szCs w:val="18"/>
                <w:color w:val="auto"/>
                <w:w w:val="99"/>
              </w:rPr>
              <w:t>Payments due by Years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gridSpan w:val="2"/>
            <w:vMerge w:val="continue"/>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5"/>
              </w:rPr>
              <w:t>2021-2022</w:t>
            </w:r>
          </w:p>
        </w:tc>
        <w:tc>
          <w:tcPr>
            <w:tcW w:w="2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7"/>
              </w:rPr>
              <w:t>2023-2024</w:t>
            </w:r>
          </w:p>
        </w:tc>
        <w:tc>
          <w:tcPr>
            <w:tcW w:w="24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After 2024</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2019 Revolving Credit Facility</w:t>
            </w:r>
            <w:r>
              <w:rPr>
                <w:rFonts w:ascii="Arial" w:cs="Arial" w:eastAsia="Arial" w:hAnsi="Arial"/>
                <w:sz w:val="25"/>
                <w:szCs w:val="25"/>
                <w:color w:val="auto"/>
                <w:vertAlign w:val="superscript"/>
              </w:rPr>
              <w:t>(b)</w:t>
            </w: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5"/>
                <w:szCs w:val="25"/>
                <w:color w:val="auto"/>
                <w:vertAlign w:val="superscript"/>
              </w:rPr>
              <w:t>(c)</w:t>
            </w:r>
          </w:p>
        </w:tc>
        <w:tc>
          <w:tcPr>
            <w:tcW w:w="1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729,319</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69,249</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77,242</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67,659</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515,169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5"/>
                <w:szCs w:val="25"/>
                <w:color w:val="auto"/>
                <w:vertAlign w:val="superscript"/>
              </w:rPr>
              <w:t>(d)</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65,365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59,121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 xml:space="preserve">Other long-term obligations </w:t>
            </w:r>
            <w:r>
              <w:rPr>
                <w:rFonts w:ascii="Arial" w:cs="Arial" w:eastAsia="Arial" w:hAnsi="Arial"/>
                <w:sz w:val="25"/>
                <w:szCs w:val="25"/>
                <w:color w:val="auto"/>
                <w:vertAlign w:val="superscript"/>
              </w:rPr>
              <w:t>(e)</w:t>
            </w: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37,731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1,232,415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468,544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548,173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5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780" w:type="dxa"/>
            <w:vAlign w:val="bottom"/>
            <w:tcBorders>
              <w:top w:val="single" w:sz="8" w:color="auto"/>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4"/>
              </w:rPr>
              <w:t>Amount of Commitment Expirations by Years</w:t>
            </w: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2021-2022</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2023-2024</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After 2024</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2019 Revolving Credit Facility</w:t>
            </w:r>
            <w:r>
              <w:rPr>
                <w:rFonts w:ascii="Arial" w:cs="Arial" w:eastAsia="Arial" w:hAnsi="Arial"/>
                <w:sz w:val="25"/>
                <w:szCs w:val="25"/>
                <w:color w:val="auto"/>
                <w:vertAlign w:val="superscript"/>
              </w:rPr>
              <w:t>(b)</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Arial" w:cs="Arial" w:eastAsia="Arial" w:hAnsi="Arial"/>
                <w:sz w:val="16"/>
                <w:szCs w:val="16"/>
                <w:color w:val="auto"/>
              </w:rPr>
              <w:t>Standby letters of credit</w:t>
            </w:r>
            <w:r>
              <w:rPr>
                <w:rFonts w:ascii="Arial" w:cs="Arial" w:eastAsia="Arial" w:hAnsi="Arial"/>
                <w:sz w:val="25"/>
                <w:szCs w:val="25"/>
                <w:color w:val="auto"/>
                <w:vertAlign w:val="superscript"/>
              </w:rPr>
              <w:t>(f)</w:t>
            </w:r>
          </w:p>
        </w:tc>
        <w:tc>
          <w:tcPr>
            <w:tcW w:w="1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8,955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Guarantees </w:t>
            </w:r>
            <w:r>
              <w:rPr>
                <w:rFonts w:ascii="Arial" w:cs="Arial" w:eastAsia="Arial" w:hAnsi="Arial"/>
                <w:sz w:val="25"/>
                <w:szCs w:val="25"/>
                <w:color w:val="auto"/>
                <w:vertAlign w:val="superscript"/>
              </w:rPr>
              <w:t>(g)</w:t>
            </w: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commitments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959,436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August 2, 2019,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$24,303 is not included in the contractual cash obligations and commitments table above.</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2019 Revolving Credit Facility expires on September 5, 2023. Using projected interest rates, we anticipate having interest payments of $13,731, $25,418 and $23,467 in 2020, 2021-2022 and 2023-2024, respectively. The projected interest rates for our swapped portion of our outstanding borrowings are our fixed rates under our interest rate swaps (see Note 7 to the Consolidated Financial Statements) plus our current credit spread of 1.00%. The projected interest rate for our unswapped portion of our outstanding borrowings is the average of the three-year and five-year swap rates at August 2, 2019 of 1.64% plus our current credit spread of 1.00%. Based on our outstanding borrowings and our standby letters of credit at August 2, 2019 and our current unused commitment fee as defined in the 2019 Revolving Credit Facility, our unused commitment fees in 2020, 2021-2022 and 2023-2024 would be $821, $1,641 and $908, respectively; however, the actual amount will differ based on actual usage of the 2019 Revolving Credit Facility.</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assured that we will exercise.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hanging="332"/>
        <w:spacing w:after="0" w:line="284"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long-term obligations include our Non-Qualified Savings Plan ($30,593, with a corresponding long-term asset to fund the liability; see Note 13 to the Consolidated Financial Statements), Deferred Compensation Plan ($1,897) and our long-term incentive plans ($5,241).</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2019 Revolving Credit Facility.</w:t>
      </w:r>
    </w:p>
    <w:p>
      <w:pPr>
        <w:ind w:left="34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solely of guarantees associated with lease payments for two properties. We are not aware of any non-performance under these arrangements that would result in us having to perform in accordance with the terms of these guarantees.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Recent Accounting Pronouncements Adopted and Not Yet Adopted</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See Note 2 to the accompanying Consolidated Financial Statements for a discussion of recent accounting guidance adopted and not yet adopted. The adopted accounting guidance discussed in Note 2 did not have a significant impact on our consolidated financial position or results of operations. Regarding the accounting guidance not yet adopted, with the exception of the accounting guidance for leases, we do not expect the accounting guidance will have a significant impact on the Company’s financial position or results of operations. Regarding the accounting guidance for leases, we expect that the adoption of the accounting guidance will have a material impact on our consolidated balance sheet. We do not expect that the adoption of the accounting guidance for leases will have material impact on our consolidated statement of income or statement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CRITICAL ACCOUNTING ESTIMATES</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2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We consider the following accounting estimates to be most critical in understanding the judgments that are involved in preparing our Consolidated Financial Statements:</w:t>
      </w:r>
    </w:p>
    <w:p>
      <w:pPr>
        <w:spacing w:after="0" w:line="20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Management has reviewed these critical accounting estimates and related disclosures with the Audit Committee of our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Impairment of Long-Lived Assets</w:t>
      </w:r>
    </w:p>
    <w:p>
      <w:pPr>
        <w:spacing w:after="0" w:line="23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2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Insurance Reserves</w:t>
      </w:r>
    </w:p>
    <w:p>
      <w:pPr>
        <w:spacing w:after="0" w:line="23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We self-insure a significant portion of our expected workers’ compensation and general liability programs. We purchase insurance for individual workers’ compensation claims that exceed $250, $750 or $1,000 depending on the state in which the claim originated.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half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21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We also record a liability for unpaid prescription drug claims based on historical experience.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ectPr>
          <w:pgSz w:w="11900" w:h="16838" w:orient="portrait"/>
          <w:cols w:equalWidth="0" w:num="1">
            <w:col w:w="11420"/>
          </w:cols>
          <w:pgMar w:left="240" w:top="122"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Retail Inventory Valuation</w:t>
      </w:r>
    </w:p>
    <w:p>
      <w:pPr>
        <w:spacing w:after="0" w:line="23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Cost of goods sold includes the cost of retail merchandise sold at our stores utilizing the retail inventory method (“RIM”). Under RIM, the valuation of our retail inventories is determined by applying a cost-to-retail ratio to the retail value of our inventories. Inherent in the RIM calculation are certain inputs, including initial markons, markups, markdowns and shrinkage, which may significantly impact the gross margin calculation as well as the ending inventory valuation.</w:t>
      </w:r>
    </w:p>
    <w:p>
      <w:pPr>
        <w:spacing w:after="0" w:line="20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Retail inventory also includes an estimate of shrinkage that is adjusted upon physical inventory counts. Annual physical inventory counts are conducted based upon a cyclical inventory schedule. An estimate of shrinkage is recorded for the time period between physical inventory counts by using a two-year average of the physical inventories’ results on a store-by-store basis.</w:t>
      </w:r>
    </w:p>
    <w:p>
      <w:pPr>
        <w:spacing w:after="0" w:line="2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4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We are exposed to market risk, such as changes in interest rates and commodity prices. We do not hold or use derivative financial instruments for trading purposes.</w:t>
      </w:r>
    </w:p>
    <w:p>
      <w:pPr>
        <w:spacing w:after="0" w:line="20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Interest Rate Risk. We have interest rate risk relative to our outstanding borrowings under our revolving credit facility. At both August 2, 2019 and August 3, 2018, our outstanding borrowings totaled $400,000 (see Note 6 to our Consolidated Financial Statements). Loans under our credit facility bear interest, at our election, either at the prime rate or LIBOR plus a percentage point spread based on certain specified financial ratios. Our policy has been to manage interest cost using a mix of fixed and variable rate debt (see Notes 6, 7 and 10 to our Consolidated Financial Statements). To manage this risk in a cost efficient manner, we have entered into interest rate swaps.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summary of our interest rate swaps at August 2, 2019 is as follows: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60" w:type="dxa"/>
            <w:vAlign w:val="bottom"/>
          </w:tcPr>
          <w:p>
            <w:pPr>
              <w:jc w:val="center"/>
              <w:ind w:left="490"/>
              <w:spacing w:after="0"/>
              <w:rPr>
                <w:sz w:val="20"/>
                <w:szCs w:val="20"/>
                <w:color w:val="auto"/>
              </w:rPr>
            </w:pPr>
            <w:r>
              <w:rPr>
                <w:rFonts w:ascii="Arial" w:cs="Arial" w:eastAsia="Arial" w:hAnsi="Arial"/>
                <w:sz w:val="18"/>
                <w:szCs w:val="18"/>
                <w:color w:val="auto"/>
                <w:w w:val="90"/>
              </w:rPr>
              <w:t>Term</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Fixed</w:t>
            </w:r>
          </w:p>
        </w:tc>
      </w:tr>
      <w:tr>
        <w:trPr>
          <w:trHeight w:val="237"/>
        </w:trPr>
        <w:tc>
          <w:tcPr>
            <w:tcW w:w="20" w:type="dxa"/>
            <w:vAlign w:val="bottom"/>
          </w:tcPr>
          <w:p>
            <w:pPr>
              <w:spacing w:after="0"/>
              <w:rPr>
                <w:sz w:val="20"/>
                <w:szCs w:val="20"/>
                <w:color w:val="auto"/>
              </w:rPr>
            </w:pPr>
          </w:p>
        </w:tc>
        <w:tc>
          <w:tcPr>
            <w:tcW w:w="23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Trade Date</w:t>
            </w:r>
          </w:p>
        </w:tc>
        <w:tc>
          <w:tcPr>
            <w:tcW w:w="32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Effective Date</w:t>
            </w:r>
          </w:p>
        </w:tc>
        <w:tc>
          <w:tcPr>
            <w:tcW w:w="13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(in Years)</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Notional Amount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60,000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January 30, 2015</w:t>
            </w:r>
          </w:p>
        </w:tc>
        <w:tc>
          <w:tcPr>
            <w:tcW w:w="3200" w:type="dxa"/>
            <w:vAlign w:val="bottom"/>
          </w:tcPr>
          <w:p>
            <w:pPr>
              <w:ind w:left="540"/>
              <w:spacing w:after="0"/>
              <w:rPr>
                <w:sz w:val="20"/>
                <w:szCs w:val="20"/>
                <w:color w:val="auto"/>
              </w:rPr>
            </w:pPr>
            <w:r>
              <w:rPr>
                <w:rFonts w:ascii="Arial" w:cs="Arial" w:eastAsia="Arial" w:hAnsi="Arial"/>
                <w:sz w:val="18"/>
                <w:szCs w:val="18"/>
                <w:color w:val="auto"/>
              </w:rPr>
              <w:t>May 4, 2021</w:t>
            </w:r>
          </w:p>
        </w:tc>
        <w:tc>
          <w:tcPr>
            <w:tcW w:w="1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5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120,000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60,000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January 30, 2015</w:t>
            </w:r>
          </w:p>
        </w:tc>
        <w:tc>
          <w:tcPr>
            <w:tcW w:w="3200" w:type="dxa"/>
            <w:vAlign w:val="bottom"/>
          </w:tcPr>
          <w:p>
            <w:pPr>
              <w:ind w:left="540"/>
              <w:spacing w:after="0"/>
              <w:rPr>
                <w:sz w:val="20"/>
                <w:szCs w:val="20"/>
                <w:color w:val="auto"/>
              </w:rPr>
            </w:pPr>
            <w:r>
              <w:rPr>
                <w:rFonts w:ascii="Arial" w:cs="Arial" w:eastAsia="Arial" w:hAnsi="Arial"/>
                <w:sz w:val="18"/>
                <w:szCs w:val="18"/>
                <w:color w:val="auto"/>
              </w:rPr>
              <w:t>May 4, 2021</w:t>
            </w:r>
          </w:p>
        </w:tc>
        <w:tc>
          <w:tcPr>
            <w:tcW w:w="1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5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80,000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2019</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115,000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January 16, 2019</w:t>
            </w:r>
          </w:p>
        </w:tc>
        <w:tc>
          <w:tcPr>
            <w:tcW w:w="3200" w:type="dxa"/>
            <w:vAlign w:val="bottom"/>
          </w:tcPr>
          <w:p>
            <w:pPr>
              <w:ind w:left="540"/>
              <w:spacing w:after="0"/>
              <w:rPr>
                <w:sz w:val="20"/>
                <w:szCs w:val="20"/>
                <w:color w:val="auto"/>
              </w:rPr>
            </w:pPr>
            <w:r>
              <w:rPr>
                <w:rFonts w:ascii="Arial" w:cs="Arial" w:eastAsia="Arial" w:hAnsi="Arial"/>
                <w:sz w:val="18"/>
                <w:szCs w:val="18"/>
                <w:color w:val="auto"/>
              </w:rPr>
              <w:t>May 3, 2019</w:t>
            </w:r>
          </w:p>
        </w:tc>
        <w:tc>
          <w:tcPr>
            <w:tcW w:w="13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5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115,000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bl>
    <w:p>
      <w:pPr>
        <w:spacing w:after="0" w:line="20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At August 2, 2019, $350,000 of our outstanding borrowings were swapped at a weighted average interest rate of 3.49%; the weighted average interest rate on the remaining $50,000 of our outstanding borrowings was 3.58%. The impact of a one-percentage point increase in the remaining $50,000 of our outstanding borrowings is approximately $500. At August 3, 2018, our outstanding borrowings of $400,000 were swapped at a weighted average interest rate of 3.73%. See Note 7 to our Consolidated Financial Statements for further discussion of our interest rate swaps.</w:t>
      </w:r>
    </w:p>
    <w:p>
      <w:pPr>
        <w:spacing w:after="0" w:line="215"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table highlights the five food categories which accounted for the largest shares of our food purchases in 2019 and 2018:</w:t>
      </w:r>
    </w:p>
    <w:p>
      <w:pPr>
        <w:spacing w:after="0" w:line="20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Percentage of Food Purchases</w:t>
      </w:r>
    </w:p>
    <w:p>
      <w:pPr>
        <w:spacing w:after="0" w:line="23"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6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Dairy (including eggs)</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Poultry</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89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Other categories affected by the commodities markets, such as grains and seafood, may each account for as much as 8%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the Board of Directors of Cracker Barrel Old Country Store, Inc.</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have audited the accompanying consolidated balance sheets of Cracker Barrel Old Country Store, Inc. and subsidiaries (the “Company”) as of August 2, 2019 and August 3, 2018, the related consolidated statements of income, comprehensive income, changes in shareholders’ equity, and cash flows, for each of the three years in the period ended August 2, 2019, and the related notes (collectively referred to as the “financial statements”). In our opinion, the financial statements present fairly, in all material respects, the financial position of the Company as of August 2, 2019 and August 3, 2018, and the results of its operations and its cash flows for each of the three years in the period ended August 2, 2019, in conformity with accounting principles generally accepted in the United States of America.</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We have also audited, in accordance with the standards of the Public Company Accounting Oversight Board (United States) (PCAOB), the Company’s internal control over financial reporting as of August 2, 2019, based on criteria established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 — Integrated Framework (2013) </w:t>
      </w:r>
      <w:r>
        <w:rPr>
          <w:rFonts w:ascii="Arial" w:cs="Arial" w:eastAsia="Arial" w:hAnsi="Arial"/>
          <w:sz w:val="19"/>
          <w:szCs w:val="19"/>
          <w:color w:val="auto"/>
        </w:rPr>
        <w:t>issued by the Committee of Sponsoring Organizations of the Treadway Commission and</w:t>
      </w:r>
      <w:r>
        <w:rPr>
          <w:rFonts w:ascii="Arial" w:cs="Arial" w:eastAsia="Arial" w:hAnsi="Arial"/>
          <w:sz w:val="19"/>
          <w:szCs w:val="19"/>
          <w:i w:val="1"/>
          <w:iCs w:val="1"/>
          <w:color w:val="auto"/>
        </w:rPr>
        <w:t xml:space="preserve"> </w:t>
      </w:r>
      <w:r>
        <w:rPr>
          <w:rFonts w:ascii="Arial" w:cs="Arial" w:eastAsia="Arial" w:hAnsi="Arial"/>
          <w:sz w:val="19"/>
          <w:szCs w:val="19"/>
          <w:color w:val="auto"/>
        </w:rPr>
        <w:t>our report dated September 27, 2019, expressed an unqualified opinion on the Company’s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Audit Matter</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and Contingencies — Insurance Reserves — Refer to Notes 2 and 16 to the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Critical Audit Matter Description</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self-insures a significant portion of its workers’ compensation and general liability program and records a reserve for all unresolved claims and an estimate of incurred but not reported (IBNR) claims. These reserves and estimates of IBNR claims are based upon a full-scope actuarial study performed annually by management’s specialist at the end of the third quarter and are adjusted by the actuarially determined losses and actual claims payments for the fourth quarter. The reserves and losses in the actuarial study represent a range of possible outcomes within which no given estimate is more likely than any other estimate. Using this information, the Company records the expected losses in the lower half of the range, which is discounted to present value using a risk-free interest rate. The Company also monitors actual claims development as another means of estimating the adequacy of the historical reserves.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identified insurance reserves as a critical audit matter because estimating the reserve for all unresolved claims and IBNR claims involves significant estimation by management. This required a high degree of auditor judgment and an increased extent of effort, including the need to involve our actuarial specialists, when performing audit procedures to evaluate whether insurance reserves were appropriately recorded as of August 2,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the Critical Audit Matter Was Addressed in the Audit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Our audit procedures related to the insurance reserves included the following, among others:</w:t>
      </w:r>
    </w:p>
    <w:p>
      <w:pPr>
        <w:spacing w:after="0" w:line="240"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insurance reserves, including management’s controls over the claims data provided to the actuary and those over the estimation of unresolved claims and IBNR claims.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insurance reserves by:</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Testing the underlying data that served as the basis for the actuarial analysis, including reconciling the claims data to the actuarial analysis, testing current year claims and payment data, verifying the self-insured retention limits, testing the annual exposure data, and recalculating the discount using the published risk-free rates.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Comparing management’s selected insurance reserve estimates within the range provided by their third-party actuary to historical trends.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Performing a retrospective review by comparing the prior year recorded amounts to the subsequent claim emergence.</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developed an independent range of estimates of the insurance reserves, utilizing paid and reported loss development factors from the Company’s historical data and industry loss development factors as deemed necessary. We then compared our estimated range to management’s estimates.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Nashville, Tennessee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September 27,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1974.</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6"/>
                <w:szCs w:val="16"/>
                <w:color w:val="auto"/>
              </w:rPr>
            </w:pPr>
          </w:p>
        </w:tc>
        <w:tc>
          <w:tcPr>
            <w:tcW w:w="238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89"/>
              </w:rPr>
              <w:t>(In thousands except share data)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740" w:type="dxa"/>
            <w:vAlign w:val="bottom"/>
            <w:tcBorders>
              <w:bottom w:val="single" w:sz="8" w:color="auto"/>
            </w:tcBorders>
            <w:gridSpan w:val="2"/>
            <w:vMerge w:val="continue"/>
          </w:tcPr>
          <w:p>
            <w:pPr>
              <w:spacing w:after="0"/>
              <w:rPr>
                <w:sz w:val="20"/>
                <w:szCs w:val="20"/>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August 2, 2019</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0"/>
              </w:rPr>
              <w:t>August 3,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36,884</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22,757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9,449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154,958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18,332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242,380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307,238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881,705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3,289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723,851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385,340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11,392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2,312,815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2,212,601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1,143,850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1,168,965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subsidiary</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89,100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80,780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1,581,225</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1,527,355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132,221</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Taxes withheld and accrued</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38,196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67,879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24,927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81,734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Dividend payable</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32,144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15,373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392,474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interest rate swap liability</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10,483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129,439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44,119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and 16)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Preferred stock – 100,000,000 shares of $0.01 par value authorized; 300,000 shares designated as Series A Junior</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Participating Preferred Stock; no shares issued</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w w:val="89"/>
              </w:rPr>
              <w:t>Common stock – 400,000,000 shares of $0.01 par value authorized; 2019 – 24,049,240 shares issued and outstanding;</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2018 – 24,011,550 shares issued and outstanding</w:t>
            </w:r>
          </w:p>
        </w:tc>
        <w:tc>
          <w:tcPr>
            <w:tcW w:w="2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49,732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561,650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604,710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1,581,225</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1,527,355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gridSpan w:val="5"/>
          </w:tcPr>
          <w:p>
            <w:pPr>
              <w:jc w:val="right"/>
              <w:ind w:right="690"/>
              <w:spacing w:after="0"/>
              <w:rPr>
                <w:sz w:val="20"/>
                <w:szCs w:val="20"/>
                <w:color w:val="auto"/>
              </w:rPr>
            </w:pPr>
            <w:r>
              <w:rPr>
                <w:rFonts w:ascii="Arial" w:cs="Arial" w:eastAsia="Arial" w:hAnsi="Arial"/>
                <w:sz w:val="18"/>
                <w:szCs w:val="18"/>
                <w:color w:val="auto"/>
              </w:rPr>
              <w:t>(In thousands except share data)</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August 2, 2019</w:t>
            </w:r>
          </w:p>
        </w:tc>
        <w:tc>
          <w:tcPr>
            <w:tcW w:w="1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August 3, 2018</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July 28, 2017</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3,071,951</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3,030,445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2,926,289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9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931,077</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935,397</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891,293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1,078,751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1,055,811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store operating expenses</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626,453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601,889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563,300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435,670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437,348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152,826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143,756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141,414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293,592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15,169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266,356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278,423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30,803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223,401</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247,620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1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10.29</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24,037,272</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24,011,161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24,031,810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9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24,096,396</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24,075,614</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24,118,288</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thousands)</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Fiscal years ended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340" w:type="dxa"/>
            <w:vAlign w:val="bottom"/>
            <w:gridSpan w:val="2"/>
          </w:tcPr>
          <w:p>
            <w:pPr>
              <w:jc w:val="right"/>
              <w:ind w:right="30"/>
              <w:spacing w:after="0"/>
              <w:rPr>
                <w:sz w:val="20"/>
                <w:szCs w:val="20"/>
                <w:color w:val="auto"/>
              </w:rPr>
            </w:pPr>
            <w:r>
              <w:rPr>
                <w:rFonts w:ascii="Arial" w:cs="Arial" w:eastAsia="Arial" w:hAnsi="Arial"/>
                <w:sz w:val="18"/>
                <w:szCs w:val="18"/>
                <w:color w:val="auto"/>
              </w:rPr>
              <w:t>August 2, 2019</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August 3, 2018</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July 28,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223,401</w:t>
            </w: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247,620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income tax expense (benefit):</w:t>
            </w: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(15,466)</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13,103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4,189</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1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8,914</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211,803</w:t>
            </w: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256,534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CRACKER BARREL OLD COUNTRY STORE, INC.</w:t>
      </w:r>
    </w:p>
    <w:p>
      <w:pPr>
        <w:spacing w:after="0" w:line="238" w:lineRule="auto"/>
        <w:rPr>
          <w:sz w:val="20"/>
          <w:szCs w:val="20"/>
          <w:color w:val="auto"/>
        </w:rPr>
      </w:pPr>
      <w:r>
        <w:rPr>
          <w:rFonts w:ascii="Arial" w:cs="Arial" w:eastAsia="Arial" w:hAnsi="Arial"/>
          <w:sz w:val="22"/>
          <w:szCs w:val="22"/>
          <w:b w:val="1"/>
          <w:bCs w:val="1"/>
          <w:color w:val="auto"/>
        </w:rPr>
        <w:t>CONSOLIDATED STATEMENTS OF CHANGES IN SHAREHOLDERS’ EQUITY</w:t>
      </w:r>
    </w:p>
    <w:p>
      <w:pPr>
        <w:spacing w:after="0" w:line="235" w:lineRule="auto"/>
        <w:rPr>
          <w:sz w:val="20"/>
          <w:szCs w:val="20"/>
          <w:color w:val="auto"/>
        </w:rPr>
      </w:pPr>
      <w:r>
        <w:rPr>
          <w:rFonts w:ascii="Arial" w:cs="Arial" w:eastAsia="Arial" w:hAnsi="Arial"/>
          <w:sz w:val="22"/>
          <w:szCs w:val="22"/>
          <w:color w:val="auto"/>
        </w:rPr>
        <w:t>(In thousands except share data)</w:t>
      </w: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0" w:type="dxa"/>
            <w:vAlign w:val="bottom"/>
            <w:gridSpan w:val="2"/>
          </w:tcPr>
          <w:p>
            <w:pPr>
              <w:jc w:val="right"/>
              <w:ind w:right="35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8"/>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Shareholders’</w:t>
            </w: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Capital</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29, 2016</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23,956,134</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51,462</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488,481</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9,511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$8.15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(197,544)</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(197,544)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99,548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(6,897)</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(6,896)</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28, 2017</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24,055,682</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241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55,659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492,836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247,620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247,620</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8,914</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8,914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247,620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$8.60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(207,649)</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(207,649)</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55,868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(3,816)</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(3,816)</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(14,771)</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(14,772)</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3, 2018</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24,011,550</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44,049</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532,807</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223,401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223,401</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480"/>
              <w:spacing w:after="0"/>
              <w:rPr>
                <w:sz w:val="20"/>
                <w:szCs w:val="20"/>
                <w:color w:val="auto"/>
              </w:rPr>
            </w:pPr>
            <w:r>
              <w:rPr>
                <w:rFonts w:ascii="Arial" w:cs="Arial" w:eastAsia="Arial" w:hAnsi="Arial"/>
                <w:sz w:val="18"/>
                <w:szCs w:val="18"/>
                <w:color w:val="auto"/>
              </w:rPr>
              <w:t>tax</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(11,598)</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(11,598)</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223,401</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$8.05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(194,558)</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(194,558)</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8,181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37,690</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(2,498)</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(2,497)</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2, 2019</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24,049,240</w:t>
            </w:r>
          </w:p>
        </w:tc>
        <w:tc>
          <w:tcPr>
            <w:tcW w:w="98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49,732</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561,650</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Fiscal years ended</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August 2, 2019</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August 3, 2018</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28,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223,401</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247,620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93,692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Loss on disposition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10,265</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7,119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Excess tax benefit from share-based compensation</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(3,261)</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receivable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4,265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1,295</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3,937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Taxes withheld and accrued</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employee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Accrued employee benefits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(1,343)</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long-term obligations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Deferred income taxes</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362,796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330,620</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insurance recoveries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753</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Purchase of investment in unconsolidated subsidiary</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(89,100)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Notes receivable from unconsolidated subsidiary</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(241,574)</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(151,222)</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(Taxes withheld) and proceeds from issuance of share-based compensation awards, net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Principal payments under long-term debt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(3,022)</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on common stock</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(207,155)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(198,994)</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(225,743)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(77,772)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(46,345)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161,001</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36,884</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114,656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Interest, net of amounts capitalized</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12,100</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17,272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43,471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9,508</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8,183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13,103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3,868</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(4,189)</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31,784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Description of the Business</w:t>
      </w:r>
    </w:p>
    <w:p>
      <w:pPr>
        <w:spacing w:after="0" w:line="245"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3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4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GAAP – The accompanying Consolidated Financial Statements have been prepared in accordance with generally accepted accounting principles in the U.S. (“GAAP”).</w:t>
      </w:r>
    </w:p>
    <w:p>
      <w:pPr>
        <w:spacing w:after="0" w:line="20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Fiscal year – The Company’s fiscal year ends on the Friday nearest July 31st and each quarter consists of thirteen weeks unless noted otherwise. The Company’s fiscal year ended August 3, 2018 consisted of 53 weeks and the fourth quarter of 2018 consisted of fourteen weeks. References in these Notes to a year or quarter are to the Company’s fiscal year or quarter unless noted otherwise.</w:t>
      </w:r>
    </w:p>
    <w:p>
      <w:pPr>
        <w:spacing w:after="0" w:line="212"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21"/>
          <w:szCs w:val="21"/>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7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Investment in unconsolidated subsidiary – Effective July 18, 2019, the Company purchased approximately 58.6% of the economic ownership interest, and approximately 49.7% of the voting interest, in PBS HoldCo, LLC (“PBS HC”). PBS HC and its subsidiaries develop, own, and operate food, beverage and entertainment establishments under the name of Punch Bowl Social. Since the Company has the ability to exercise significant influence, but not control, over PBS HC, the Company accounts for its investment in PBS HC under the equity method. Accordingly, beginning in the first quarter of 2020, the Company will recognize its proportionate share of the reported earnings or losses of PBS HC adjusted for basis differences on its consolidated statement of income and as an adjustment to the Company’s investment in unconsolidated subsidiary on the consolidated balance sheet. The Company will assess the impairment of its equity investment whenever events or changes in circumstances indicate that a decrease in value of the investment has occurred that is other than temporary.</w:t>
      </w:r>
    </w:p>
    <w:p>
      <w:pPr>
        <w:spacing w:after="0" w:line="1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Cash and cash equivalents – The Company’s policy is to consider all highly liquid investments purchased with an original maturity of three months or less to be cash equivalents.</w:t>
      </w:r>
    </w:p>
    <w:p>
      <w:pPr>
        <w:spacing w:after="0" w:line="2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Accounts receivable – Accounts receivable represent their estimated net realizable value. Accounts receivable are written off when they are deemed uncollectible.</w:t>
      </w:r>
    </w:p>
    <w:p>
      <w:pPr>
        <w:spacing w:after="0" w:line="200" w:lineRule="exact"/>
        <w:rPr>
          <w:sz w:val="20"/>
          <w:szCs w:val="20"/>
          <w:color w:val="auto"/>
        </w:rPr>
      </w:pPr>
    </w:p>
    <w:p>
      <w:pPr>
        <w:jc w:val="both"/>
        <w:ind w:firstLine="324"/>
        <w:spacing w:after="0" w:line="249" w:lineRule="exact"/>
        <w:rPr>
          <w:sz w:val="20"/>
          <w:szCs w:val="20"/>
          <w:color w:val="auto"/>
        </w:rPr>
      </w:pPr>
      <w:r>
        <w:rPr>
          <w:rFonts w:ascii="Arial" w:cs="Arial" w:eastAsia="Arial" w:hAnsi="Arial"/>
          <w:sz w:val="19"/>
          <w:szCs w:val="19"/>
          <w:color w:val="auto"/>
        </w:rPr>
        <w:t>Inventories – Cost of restaurant inventory is determined by the first</w:t>
      </w:r>
      <w:r>
        <w:rPr>
          <w:rFonts w:ascii="MS PGothic" w:cs="MS PGothic" w:eastAsia="MS PGothic" w:hAnsi="MS PGothic"/>
          <w:sz w:val="19"/>
          <w:szCs w:val="19"/>
          <w:color w:val="auto"/>
        </w:rPr>
        <w:t>‑</w:t>
      </w:r>
      <w:r>
        <w:rPr>
          <w:rFonts w:ascii="Arial" w:cs="Arial" w:eastAsia="Arial" w:hAnsi="Arial"/>
          <w:sz w:val="19"/>
          <w:szCs w:val="19"/>
          <w:color w:val="auto"/>
        </w:rPr>
        <w:t>in, first</w:t>
      </w:r>
      <w:r>
        <w:rPr>
          <w:rFonts w:ascii="MS PGothic" w:cs="MS PGothic" w:eastAsia="MS PGothic" w:hAnsi="MS PGothic"/>
          <w:sz w:val="19"/>
          <w:szCs w:val="19"/>
          <w:color w:val="auto"/>
        </w:rPr>
        <w:t>‑</w:t>
      </w:r>
      <w:r>
        <w:rPr>
          <w:rFonts w:ascii="Arial" w:cs="Arial" w:eastAsia="Arial" w:hAnsi="Arial"/>
          <w:sz w:val="19"/>
          <w:szCs w:val="19"/>
          <w:color w:val="auto"/>
        </w:rPr>
        <w:t>out (“FIFO”) method. Retail inventories are valued using the retail inventory method (“RIM”) except at the retail distribution center which are valued using moving average cost. Approximately 80% of retail inventories are valued using RIM. Retail inventories valued using RIM are stated at the lower of cost or market. Cost of restaurant inventory and retail inventory valued using moving average cost are stated at the lower of cost and net realizable value. See Note 5 for additional information regarding the components of inventory.</w:t>
      </w:r>
    </w:p>
    <w:p>
      <w:pPr>
        <w:spacing w:after="0" w:line="2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Valuation provisions are included for retail inventory obsolescence, retail inventory shrinkage, returns and amortization of certain items. The estimate of retail inventory shrinkage is adjusted upon physical inventory counts. Annual physical inventory counts are conducted based upon a cyclical inventory schedule. An estimate of shrinkage is recorded for the time period between physical inventory counts by using a two-year average of the physical inventories’ results on a store-by-store basis.</w:t>
      </w:r>
    </w:p>
    <w:p>
      <w:pPr>
        <w:spacing w:after="0" w:line="170" w:lineRule="exact"/>
        <w:rPr>
          <w:sz w:val="20"/>
          <w:szCs w:val="20"/>
          <w:color w:val="auto"/>
        </w:rPr>
      </w:pPr>
    </w:p>
    <w:p>
      <w:pPr>
        <w:jc w:val="both"/>
        <w:ind w:firstLine="324"/>
        <w:spacing w:after="0" w:line="253" w:lineRule="exact"/>
        <w:rPr>
          <w:sz w:val="20"/>
          <w:szCs w:val="20"/>
          <w:color w:val="auto"/>
        </w:rPr>
      </w:pPr>
      <w:r>
        <w:rPr>
          <w:rFonts w:ascii="Arial" w:cs="Arial" w:eastAsia="Arial" w:hAnsi="Arial"/>
          <w:sz w:val="22"/>
          <w:szCs w:val="22"/>
          <w:color w:val="auto"/>
        </w:rPr>
        <w:t>Property and equipment – Property and equipment are stated at cost. For financial reporting purposes, depreciation and amortization on these assets are computed by use of the straight</w:t>
      </w:r>
      <w:r>
        <w:rPr>
          <w:rFonts w:ascii="MS PGothic" w:cs="MS PGothic" w:eastAsia="MS PGothic" w:hAnsi="MS PGothic"/>
          <w:sz w:val="22"/>
          <w:szCs w:val="22"/>
          <w:color w:val="auto"/>
        </w:rPr>
        <w:t>‑</w:t>
      </w:r>
      <w:r>
        <w:rPr>
          <w:rFonts w:ascii="Arial" w:cs="Arial" w:eastAsia="Arial" w:hAnsi="Arial"/>
          <w:sz w:val="22"/>
          <w:szCs w:val="22"/>
          <w:color w:val="auto"/>
        </w:rPr>
        <w:t>line and double</w:t>
      </w:r>
      <w:r>
        <w:rPr>
          <w:rFonts w:ascii="MS PGothic" w:cs="MS PGothic" w:eastAsia="MS PGothic" w:hAnsi="MS PGothic"/>
          <w:sz w:val="22"/>
          <w:szCs w:val="22"/>
          <w:color w:val="auto"/>
        </w:rPr>
        <w:t>‑</w:t>
      </w:r>
      <w:r>
        <w:rPr>
          <w:rFonts w:ascii="Arial" w:cs="Arial" w:eastAsia="Arial" w:hAnsi="Arial"/>
          <w:sz w:val="22"/>
          <w:szCs w:val="22"/>
          <w:color w:val="auto"/>
        </w:rPr>
        <w:t>declining balance methods over the estimated useful lives of the respective assets,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ind w:left="4120"/>
              <w:spacing w:after="0"/>
              <w:rPr>
                <w:sz w:val="20"/>
                <w:szCs w:val="20"/>
                <w:color w:val="auto"/>
              </w:rPr>
            </w:pPr>
            <w:r>
              <w:rPr>
                <w:rFonts w:ascii="Arial" w:cs="Arial" w:eastAsia="Arial" w:hAnsi="Arial"/>
                <w:sz w:val="18"/>
                <w:szCs w:val="18"/>
                <w:color w:val="auto"/>
              </w:rPr>
              <w:t>Years</w:t>
            </w: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49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4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Accelerated depreciation methods are generally used for income tax purposes.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Total depreciation expense and depreciation expense related to store operations for each of the three years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2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107,294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93,266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Depreciation expense related to store operations*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100,366</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86,913</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jc w:val="both"/>
        <w:ind w:right="20"/>
        <w:spacing w:after="0" w:line="242" w:lineRule="auto"/>
        <w:rPr>
          <w:sz w:val="20"/>
          <w:szCs w:val="20"/>
          <w:color w:val="auto"/>
        </w:rPr>
      </w:pPr>
      <w:r>
        <w:rPr>
          <w:rFonts w:ascii="Arial" w:cs="Arial" w:eastAsia="Arial" w:hAnsi="Arial"/>
          <w:sz w:val="22"/>
          <w:szCs w:val="22"/>
          <w:color w:val="auto"/>
        </w:rPr>
        <w:t>*Depreciation expense related to store operations is included in other store operating expenses in the Consolidated Statements of Income.</w:t>
      </w:r>
    </w:p>
    <w:p>
      <w:pPr>
        <w:spacing w:after="0" w:line="21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Gain or loss is recognized upon disposal of property and equipment. The asset and related accumulated depreciation and amortization amounts are removed from the accounts.</w:t>
      </w:r>
    </w:p>
    <w:p>
      <w:pPr>
        <w:spacing w:after="0" w:line="2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Maintenance and repairs, including the replacement of minor items, are charged to expense and major additions to property and equipment are capitalized.</w:t>
      </w:r>
    </w:p>
    <w:p>
      <w:pPr>
        <w:spacing w:after="0" w:line="20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w:t>
      </w:r>
    </w:p>
    <w:p>
      <w:pPr>
        <w:spacing w:after="0" w:line="20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revolving credit facility (see Note 6). The Company’s policy has been to manage interest cost using a mix of fixed and variable rate debt. To manage this risk in a cost efficient manner, the Company uses derivative instruments, specifically interest rate swaps.</w:t>
      </w:r>
    </w:p>
    <w:p>
      <w:pPr>
        <w:spacing w:after="0" w:line="175" w:lineRule="exact"/>
        <w:rPr>
          <w:sz w:val="20"/>
          <w:szCs w:val="20"/>
          <w:color w:val="auto"/>
        </w:rPr>
      </w:pPr>
    </w:p>
    <w:p>
      <w:pPr>
        <w:jc w:val="both"/>
        <w:ind w:right="20" w:firstLine="324"/>
        <w:spacing w:after="0" w:line="247" w:lineRule="auto"/>
        <w:rPr>
          <w:sz w:val="20"/>
          <w:szCs w:val="20"/>
          <w:color w:val="auto"/>
        </w:rPr>
      </w:pPr>
      <w:r>
        <w:rPr>
          <w:rFonts w:ascii="Arial" w:cs="Arial" w:eastAsia="Arial" w:hAnsi="Arial"/>
          <w:sz w:val="21"/>
          <w:szCs w:val="21"/>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0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does not hold or use derivative instruments for trading purposes. The Company also does not have any derivatives not designated as hedging instruments and has not designated any non-derivatives as hedging instruments. See Note 7 for additional information on the Company’s derivative and hedging activities.</w:t>
      </w:r>
    </w:p>
    <w:p>
      <w:pPr>
        <w:spacing w:after="0" w:line="21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Using these criteria, the Company manages its business on the basis of one reportable operating segment (see Note 9 for additional information regarding segment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 See “Revenue recognition” section in this Note for further information regarding breakage.</w:t>
      </w:r>
    </w:p>
    <w:p>
      <w:pPr>
        <w:spacing w:after="0" w:line="18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Revenue recognition – Revenue consists primarily of sales from restaurant and retail operations. The Company recognizes revenue when it satisfies a performance obligation by transferring control over a product or service to a restaurant guest, retail customer or other customer. The Company recognizes revenues from restaurant sales when payment is tendered at the point of sale, as the Company’s performance obligation to provide food and beverages is satisfied. The Company recognizes revenues from retail sales when payment is tendered at the point of sale, as the Company’s performance obligation to provide merchandise is satisfied. Ecommerce sales, including shipping revenue, are recorded upon delivery to the customer. Additionally, the Company provides for estimated returns based on return history and sales levels. The Company’s policy is to present sales in the Consolidated Statements of Income on a net presentation basis after deducting sales tax.</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Included in restaurant and retail revenue is gift card breakage. Customer purchases of gift cards, to be utilized at the Company’s stores, are not recognized as sales until the card is redeemed and the customer purchases food and/or merchandise. Gift cards do not carry an expiration date; therefore, customers can redeem their gift cards indefinitely. A certain number of gift cards will not be fully redeemed. Management estimates unredeemed balances and recognizes gift card breakage revenue for these amounts in the Company’s Consolidated Statements of Income over the expected redemption period. Gift card breakage is recognized when the likelihood of a gift card being redeemed by the customer is remote and the Company determines that there is not a legal obligation to remit the unredeemed gift card balance to the relevant jurisdiction. The determination of the gift card breakage rate is based upon the Company’s specific historical redemption patterns. The Company recognizes gift card breakage by applying its estimate of the rate of gift card breakage over the period of estimated redemption. For 2019, 2018 and 2017, gift card breakage was $6,814, $6,535, and $7,063, respectively. Revenue recognized in the Consolidated Statements of Income for 2019, 2018 and 2017, respectively, for the redemption of gift cards which were included in the deferred revenue balance at the beginning of the fiscal year was $42,292, $40,221, and $38,483, respectively. Deferred revenue related to the Company’s gift cards was $80,073 and $76,199, respectively, at August 2, 2019 and August 3, 2018.</w:t>
      </w:r>
    </w:p>
    <w:p>
      <w:pPr>
        <w:spacing w:after="0" w:line="18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Insurance – The Company self-insures a significant portion of its workers’ compensation and general liability programs. The Company purchases insurance for individual workers’ compensation claims that exceed $250, $750 or $1,000 depending on the state in which the claim originates. The Company purchases insurance for individual general liability claims that exceed $500.</w:t>
      </w:r>
    </w:p>
    <w:p>
      <w:pPr>
        <w:spacing w:after="0" w:line="16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Additionally, the Company performs limited scope actuarial studies on a quarterly basis to verify and/or modify the Company’s reserves. The reserves and losses in the actuarial study represent a range of possible outcomes within which no given estimate is more likely than any other estimate. As such, the Company records the losses at the lower half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Company’s group health plans combine the use of self-insured and fully-insured programs. Benefits for any individual (employee or dependents) in the self-insured program are limited. The Company records a liability for the self-insured portion of its group health program for all unpaid claims based upon a loss development analysis derived from actual group health claims payment experience. The Company also records a liability for unpaid prescription drug claims based on historical experience.</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2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18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Advertising – The Company expenses the costs of producing advertising the first time the advertising takes place. Other advertising costs are expensed as incurred.</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Advertising expense for each of the three years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3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81,855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83,448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Share-based compensation – The Company’s share-based compensation consists of nonvested stock awards and units and performance-based market stock units (“MSU Grants”).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2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Certain nonvested stock awards and units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21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206"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Additionally, the Company’s policy is to issue shares of common stock to satisfy exercises of share-based compensation awards.</w:t>
      </w:r>
    </w:p>
    <w:p>
      <w:pPr>
        <w:sectPr>
          <w:pgSz w:w="11900" w:h="16838" w:orient="portrait"/>
          <w:cols w:equalWidth="0" w:num="1">
            <w:col w:w="11420"/>
          </w:cols>
          <w:pgMar w:left="240" w:top="122"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14 for additional information regarding income taxes.</w:t>
      </w:r>
    </w:p>
    <w:p>
      <w:pPr>
        <w:spacing w:after="0" w:line="1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Comprehensive income – Comprehensive income includes net income and the effective unrealized portion of the changes in the fair value of the Company’s interest rate swaps.</w:t>
      </w:r>
    </w:p>
    <w:p>
      <w:pPr>
        <w:spacing w:after="0" w:line="20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nonvested stock awards and units, MSU Grants and stock options issued by the Company are calculated using the treasury stock method. The outstanding nonvested stock awards and units, MSU Grants and stock options issued by the Company represent the only dilutive effects on diluted consolidated net income per share. See Note 15 for additional information regarding net income per share.</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Recent Accounting Pronouncements Adopted</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Revenue Recognition</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In May 2014, the Financial Accounting Standards Board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The Company adopted this accounting guidance using the modified retrospective transition method. The adoption of this accounting guidance in the first quarter of 2019 did not have a material effect on the Company’s consolidated financial position or results of operations, and the Company did not record a cumulative catch-up adjustment to the opening balance of retained earnings.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Recognition of Breakage for Certain Prepaid Stored-Value Products</w:t>
      </w:r>
    </w:p>
    <w:p>
      <w:pPr>
        <w:spacing w:after="0" w:line="2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The Company adopted this accounting guidance using the modified retrospective transition method. The adoption of this accounting guidance in the first quarter of 2019 did not have a significant impact on the Company’s consolidated financial position or results of operations, and the Company did not record a cumulative catch-up adjustment to the opening balance of retained earnings.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Modification of Share-Based Payment Awards</w:t>
      </w:r>
    </w:p>
    <w:p>
      <w:pPr>
        <w:spacing w:after="0" w:line="23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The adoption of this accounting guidance in the first quarter of 2019 did not have a significant impact on the Company’s consolidated financial position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Recent Accounting Pronouncements Not Yet Adopted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Leases</w:t>
      </w:r>
    </w:p>
    <w:p>
      <w:pPr>
        <w:spacing w:after="0" w:line="2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The Company will apply the transition requirements at the effective date rather than at the beginning of the earliest comparative period presented. This election allows for a cumulative effective adjustment to the opening balance of retained earnings in the period of adoption, and prior periods will not be restated. The Company has elected the transition package of practical expedients permitted under this guidance, which among other things, allows the carryforward of historical lease classifications. The Company has elected to not separate lease and non-lease components. Additionally, the Company has elected to apply the short-term lease exemption to all asset classes. The Company has implemented software to assist in the quantification of the impact on the Company’s consolidated financial position and results of operations related to the adoption of this accounting guidance in the first quarter of 2020. The Company is also evaluating additional changes to its processes and internal controls to ensure compliance with the reporting and disclosure requirements of the accounting guidance. The adoption of this accounting guidance will result in a material increase in lease-related assets and liabilities on the Company’s consolidated balance sheet. Currently, the Company estimates that the impact to its consolidated balance sheet will be in the range of $490,000 to $540,000. The adoption of this accounting guidance is not expected to have a material impact on the Company’s consolidated statements of income and cash flows.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Accounting for Hedging Activities</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In August 2017, the FASB issued accounting guidance which amends the recognition, presentation and disclosure requirements of hedge accounting in order to better portray the economics of entities’ risk management activities, increase transparency and understandability of hedging relationships and simplify the application of hedge accounting. This accounting guidance is effective for fiscal years beginning after December 15, 2018, and interim periods within those fiscal years. The recognition requirements for cash flow and net investment hedges existing at the date of adoption will be applied using a cumulative-effect adjustment to retained earnings. The amended presentation and disclosure requirements will be applied on a prospective basis. The Company currently does not expect that the adoption of this accounting guidance in the first quarter of 2020 will have a significant impact on the Company’s consolidated financial position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Reclassification of Certain Tax Effects from Accumulated Other Comprehensive Income</w:t>
      </w:r>
    </w:p>
    <w:p>
      <w:pPr>
        <w:spacing w:after="0" w:line="23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On December 22, 2017, the U.S. government enacted P.L. 115-97, the Tax Cuts and Jobs Act (the “Tax Act”). In February 2018, the FASB issued accounting guidance which allows a reclassification from accumulated other comprehensive income to retained earnings for stranded tax effects resulted from the Tax Act. This accounting guidance is effective for fiscal years beginning after December 15, 2018, and interim periods within those fiscal years. If elected, this accounting guidance should be applied either in the period of adoption or retrospectively to each period in which the change in the U.S. federal corporate rate in the Tax Act is recognized. The Company currently does not expect to elect this reclassification option upon adoption of the accounting guidance in the first quarter of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Share-Based Payment Arrangements With Nonemployees</w:t>
      </w:r>
    </w:p>
    <w:p>
      <w:pPr>
        <w:spacing w:after="0" w:line="2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In June 2018, the FASB issued accounting guidance in order to simplify accounting for share-based payments granted to nonemployees for goods and services. This new guidance aligns most of the accounting requirements for share-based payments granted to nonemployees with the existing guidance for share-based payments granted to employees. This accounting guidance is effective for fiscal years beginning after December 15, 2018, and interim periods within those fiscal years, using a modified retrospective transition approach. The Company does not expect that the adoption of this accounting guidance in the first quarter of 2020 will have a significant impact on the Company’s consolidated financial position or results of operations.</w:t>
      </w:r>
    </w:p>
    <w:p>
      <w:pPr>
        <w:spacing w:after="0" w:line="18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Method Investment</w:t>
      </w:r>
    </w:p>
    <w:p>
      <w:pPr>
        <w:spacing w:after="0" w:line="24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Effective July 18, 2019, the Company purchased approximately 58.6% of the economic ownership interest, and approximately 49.7% of the voting ownership interest, in PBS HC for $89,100, which is included on the Company’s consolidated balance sheet as investment in unconsolidated subsidiary at August 2, 2019. The Company does not have the power to unilaterally direct any activities of PBS HC, a variable interest entity, that most significantly impact PBS HC’s economic performance. As a result, the Company’s investment in PBS HC, for which it has the ability to exercise significant influence, but not control and is not the primary beneficiary, is accounted for using the equity method.</w:t>
      </w:r>
    </w:p>
    <w:p>
      <w:pPr>
        <w:spacing w:after="0" w:line="20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Additionally, as part of the transaction, the Company purchased promissory notes of $6,900 along with the related interest on the notes and provided additional funding of $8,000 to PBS HC in exchange for a promissory note. These promissory notes and related interest are included in other assets on the consolidated balance sheet. As part of the purchase agreement with PBS HC, the Company agreed to fund PBS HC up to $51,000 through calendar 2020, of which the Company has funded $12,500 as of August 2, 2019. The Company’s exposure to risk of loss in PBS HC is generally limited to its investment in the ownership interest and its receivable related to the promissory notes.</w:t>
      </w:r>
    </w:p>
    <w:p>
      <w:pPr>
        <w:spacing w:after="0" w:line="22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4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22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Unobservable Inputs (“Level 3”) – unobservable and significant to the fair value measurement of the asset or liability.</w:t>
      </w: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Company’s assets and liabilities measured at fair value on a recurring basis at August 2, 2019 were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asset (see Note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49" w:lineRule="exact"/>
        <w:rPr>
          <w:sz w:val="20"/>
          <w:szCs w:val="20"/>
          <w:color w:val="auto"/>
        </w:rPr>
      </w:pPr>
    </w:p>
    <w:p>
      <w:pPr>
        <w:ind w:right="660"/>
        <w:spacing w:after="0" w:line="309" w:lineRule="auto"/>
        <w:rPr>
          <w:sz w:val="20"/>
          <w:szCs w:val="20"/>
          <w:color w:val="auto"/>
        </w:rPr>
      </w:pPr>
      <w:r>
        <w:rPr>
          <w:rFonts w:ascii="Arial" w:cs="Arial" w:eastAsia="Arial" w:hAnsi="Arial"/>
          <w:sz w:val="18"/>
          <w:szCs w:val="18"/>
          <w:color w:val="auto"/>
        </w:rPr>
        <w:t>Deferred compensation plan assets** measured at net asset value Total assets at fair value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46</w:t>
            </w:r>
          </w:p>
        </w:tc>
        <w:tc>
          <w:tcPr>
            <w:tcW w:w="3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ind w:left="780"/>
              <w:spacing w:after="0" w:line="201"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30,593</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30,639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-770890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-496570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-170815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5360" w:space="720"/>
            <w:col w:w="5340"/>
          </w:cols>
          <w:pgMar w:left="240" w:top="122"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 (see Note 7)</w:t>
            </w:r>
          </w:p>
        </w:tc>
        <w:tc>
          <w:tcPr>
            <w:tcW w:w="2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10,483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2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10,483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60" w:type="dxa"/>
            <w:vAlign w:val="bottom"/>
            <w:vMerge w:val="restart"/>
          </w:tcPr>
          <w:p>
            <w:pPr>
              <w:jc w:val="right"/>
              <w:ind w:right="216"/>
              <w:spacing w:after="0"/>
              <w:rPr>
                <w:sz w:val="20"/>
                <w:szCs w:val="20"/>
                <w:color w:val="auto"/>
              </w:rPr>
            </w:pPr>
            <w:r>
              <w:rPr>
                <w:rFonts w:ascii="Arial" w:cs="Arial" w:eastAsia="Arial" w:hAnsi="Arial"/>
                <w:sz w:val="14"/>
                <w:szCs w:val="14"/>
                <w:color w:val="auto"/>
              </w:rPr>
              <w:t>55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Company’s assets and liabilities measured at fair value on a recurring basis at August 3, 2018 were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asset (see Note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49" w:lineRule="exact"/>
        <w:rPr>
          <w:sz w:val="20"/>
          <w:szCs w:val="20"/>
          <w:color w:val="auto"/>
        </w:rPr>
      </w:pPr>
    </w:p>
    <w:p>
      <w:pPr>
        <w:ind w:right="660"/>
        <w:spacing w:after="0" w:line="309" w:lineRule="auto"/>
        <w:rPr>
          <w:sz w:val="20"/>
          <w:szCs w:val="20"/>
          <w:color w:val="auto"/>
        </w:rPr>
      </w:pPr>
      <w:r>
        <w:rPr>
          <w:rFonts w:ascii="Arial" w:cs="Arial" w:eastAsia="Arial" w:hAnsi="Arial"/>
          <w:sz w:val="18"/>
          <w:szCs w:val="18"/>
          <w:color w:val="auto"/>
        </w:rPr>
        <w:t>Deferred compensation plan assets** measured at net asset value Total assets at fair value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38,446</w:t>
            </w:r>
          </w:p>
        </w:tc>
        <w:tc>
          <w:tcPr>
            <w:tcW w:w="3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6,255</w:t>
            </w:r>
          </w:p>
        </w:tc>
        <w:tc>
          <w:tcPr>
            <w:tcW w:w="300" w:type="dxa"/>
            <w:vAlign w:val="bottom"/>
          </w:tcPr>
          <w:p>
            <w:pPr>
              <w:spacing w:after="0"/>
              <w:rPr>
                <w:sz w:val="18"/>
                <w:szCs w:val="18"/>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30"/>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38,446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6,255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-770890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-496570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-170815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5360" w:space="720"/>
            <w:col w:w="5340"/>
          </w:cols>
          <w:pgMar w:left="240" w:top="122"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liability (see Note 7)</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*Consists of money market fund investments.</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**Represents plan assets invested in mutual funds established under a Rabbi Trust for the Company’s non-qualified savings plan and is included in the Consolidated Balance Sheets as other assets (see Note 13).</w:t>
      </w:r>
    </w:p>
    <w:p>
      <w:pPr>
        <w:spacing w:after="0" w:line="21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The Company’s money market fund investments are measured at fair value using quoted market prices. The fair values of the Company’s interest rate swap assets and liabilities are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 The Company’s deferred compensation plan assets are measured based on net asset value per share as a practical expedient to estimate fair value.</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 fair values of accounts receivable and accounts payable at August 2, 2019 and August 3, 2018, approximate their carrying amounts because of their short duration. The fair value of the Company’s variable rate debt, based on quoted market prices, which are considered Level 1 inputs, approximates its carrying amounts at August 2, 2019 and August 3,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gridSpan w:val="2"/>
          </w:tcPr>
          <w:p>
            <w:pPr>
              <w:spacing w:after="0"/>
              <w:rPr>
                <w:sz w:val="20"/>
                <w:szCs w:val="20"/>
                <w:color w:val="auto"/>
              </w:rPr>
            </w:pPr>
            <w:r>
              <w:rPr>
                <w:rFonts w:ascii="Arial" w:cs="Arial" w:eastAsia="Arial" w:hAnsi="Arial"/>
                <w:sz w:val="18"/>
                <w:szCs w:val="18"/>
                <w:color w:val="auto"/>
              </w:rPr>
              <w:t>5.</w:t>
            </w:r>
          </w:p>
        </w:tc>
        <w:tc>
          <w:tcPr>
            <w:tcW w:w="640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tcPr>
          <w:p>
            <w:pPr>
              <w:ind w:left="100"/>
              <w:spacing w:after="0"/>
              <w:rPr>
                <w:sz w:val="20"/>
                <w:szCs w:val="20"/>
                <w:color w:val="auto"/>
              </w:rPr>
            </w:pPr>
            <w:r>
              <w:rPr>
                <w:rFonts w:ascii="Arial" w:cs="Arial" w:eastAsia="Arial" w:hAnsi="Arial"/>
                <w:sz w:val="22"/>
                <w:szCs w:val="22"/>
                <w:color w:val="auto"/>
              </w:rPr>
              <w:t>Inventories were comprised of the following at:</w:t>
            </w: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420" w:type="dxa"/>
            <w:vAlign w:val="bottom"/>
            <w:gridSpan w:val="2"/>
          </w:tcPr>
          <w:p>
            <w:pPr>
              <w:ind w:left="2200"/>
              <w:spacing w:after="0"/>
              <w:rPr>
                <w:sz w:val="20"/>
                <w:szCs w:val="20"/>
                <w:color w:val="auto"/>
              </w:rPr>
            </w:pPr>
            <w:r>
              <w:rPr>
                <w:rFonts w:ascii="Arial" w:cs="Arial" w:eastAsia="Arial" w:hAnsi="Arial"/>
                <w:sz w:val="18"/>
                <w:szCs w:val="18"/>
                <w:color w:val="auto"/>
                <w:w w:val="99"/>
              </w:rPr>
              <w:t>August 2, 2019</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3, 2018</w:t>
            </w:r>
          </w:p>
        </w:tc>
      </w:tr>
      <w:tr>
        <w:trPr>
          <w:trHeight w:val="216"/>
        </w:trPr>
        <w:tc>
          <w:tcPr>
            <w:tcW w:w="20" w:type="dxa"/>
            <w:vAlign w:val="bottom"/>
          </w:tcPr>
          <w:p>
            <w:pPr>
              <w:spacing w:after="0"/>
              <w:rPr>
                <w:sz w:val="18"/>
                <w:szCs w:val="18"/>
                <w:color w:val="auto"/>
              </w:rPr>
            </w:pPr>
          </w:p>
        </w:tc>
        <w:tc>
          <w:tcPr>
            <w:tcW w:w="6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500" w:type="dxa"/>
            <w:vAlign w:val="bottom"/>
            <w:tcBorders>
              <w:top w:val="single" w:sz="8" w:color="auto"/>
            </w:tcBorders>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116,990</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Restaurant</w:t>
            </w:r>
          </w:p>
        </w:tc>
        <w:tc>
          <w:tcPr>
            <w:tcW w:w="2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20,648</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20,659</w:t>
            </w: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Supplies</w:t>
            </w:r>
          </w:p>
        </w:tc>
        <w:tc>
          <w:tcPr>
            <w:tcW w:w="2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17,320</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500" w:type="dxa"/>
            <w:vAlign w:val="bottom"/>
          </w:tcPr>
          <w:p>
            <w:pPr>
              <w:ind w:left="2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154,958</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156,253</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40" w:type="dxa"/>
            <w:vAlign w:val="bottom"/>
            <w:gridSpan w:val="2"/>
          </w:tcPr>
          <w:p>
            <w:pPr>
              <w:spacing w:after="0"/>
              <w:rPr>
                <w:sz w:val="20"/>
                <w:szCs w:val="20"/>
                <w:color w:val="auto"/>
              </w:rPr>
            </w:pPr>
            <w:r>
              <w:rPr>
                <w:rFonts w:ascii="Arial" w:cs="Arial" w:eastAsia="Arial" w:hAnsi="Arial"/>
                <w:sz w:val="18"/>
                <w:szCs w:val="18"/>
                <w:color w:val="auto"/>
              </w:rPr>
              <w:t>6.</w:t>
            </w:r>
          </w:p>
        </w:tc>
        <w:tc>
          <w:tcPr>
            <w:tcW w:w="6400" w:type="dxa"/>
            <w:vAlign w:val="bottom"/>
          </w:tcPr>
          <w:p>
            <w:pPr>
              <w:ind w:left="100"/>
              <w:spacing w:after="0"/>
              <w:rPr>
                <w:sz w:val="20"/>
                <w:szCs w:val="20"/>
                <w:color w:val="auto"/>
              </w:rPr>
            </w:pPr>
            <w:r>
              <w:rPr>
                <w:rFonts w:ascii="Arial" w:cs="Arial" w:eastAsia="Arial" w:hAnsi="Arial"/>
                <w:sz w:val="18"/>
                <w:szCs w:val="18"/>
                <w:color w:val="auto"/>
              </w:rPr>
              <w:t>Debt</w:t>
            </w: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On September 5, 2018, the Company entered into a five-year $950,000 revolving credit facility (“2019 Revolving Credit Facility”) with substantially the same terms and financial covenants as the Company’s $750,000 revolving credit facility (“Prior Credit Facility”), which it replaced. The 2019 Revolving Credit Facility also contains an option to increase the revolving credit facility by $300,000. Loan acquisition costs associated with the 2019 Revolving Credit Facility were capitalized in the amount of $3,022 and will be amortized over the five-year term of the 2019 Revolving Credit Facility. Loan acquisition costs of $166 associated with the Prior Credit Facility were written off in the first quarter of 2019 and are recorded in interest expense in the Consolidated Statement of Income. At August 2, 2019 and August 3, 2018, the Company had $400,000 in outstanding borrowings under the 2019 Revolving Credit Facility and the Prior Credit Facility, respectively.</w:t>
      </w:r>
    </w:p>
    <w:p>
      <w:pPr>
        <w:spacing w:after="0" w:line="18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At August 2, 2019, the Company had $8,955 of standby letters of credit, which reduce the Company’s borrowing availability under the 2019 Revolving Credit Facility (see Note 16). At August 2, 2019, the Company had $541,045 in borrowing availability under the 2019 Revolving Credit Facility.</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In accordance with the 2019 Revolving Credit Facility, outstanding borrowings bear interest, at the Company’s election, either at LIBOR or prime plus a percentage point spread based on certain specified financial ratios. At August 2, 2019, $350,000 of our outstanding borrowings under the 2019 Revolving Credit Facility were swapped at a weighted average interest rate of 3.49%; the weighted average interest rate on the remaining $50,000 of our outstanding borrowings was 3.58%. At August 3, 2018, our outstanding borrowings of $400,000 under the Prior Credit Facility were swapped at a weighted average interest rate of 3.73%. See Note 7 for information on the Company’s interest rate swaps.</w:t>
      </w:r>
    </w:p>
    <w:p>
      <w:pPr>
        <w:spacing w:after="0" w:line="2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2019 Revolving Credit Facility contains, and Prior Credit Facility contained, customary financial covenants, which include maintenance of a maximum consolidated total leverage ratio and a minimum consolidated interest coverage ratio. At August 2, 2019 and August 3, 2018, the Company was in compliance with all debt covenants under the 2019 Revolving Credit Facility and the Prior Credit Facility, respectively.</w:t>
      </w:r>
    </w:p>
    <w:p>
      <w:pPr>
        <w:spacing w:after="0" w:line="2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The 2019 Revolving Credit Facility also imposes restrictions on the amount of dividends the Company is permitted to pay and the amount of shares the Company is permitted to repurchase. Under the 2019 Revolving Credit Facility, provided there is no default existing and the total of the Company’s availability under the 2019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9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4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was 1.00% and 1.25%, respectively, at August 2, 2019 and August 3, 2018. All of the Company’s interest rate swaps are accounted for as cash flow hedges.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summary of the Company’s interest rate swaps at August 2, 2019 is as follows: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80" w:type="dxa"/>
            <w:vAlign w:val="bottom"/>
          </w:tcPr>
          <w:p>
            <w:pPr>
              <w:jc w:val="center"/>
              <w:ind w:left="510"/>
              <w:spacing w:after="0"/>
              <w:rPr>
                <w:sz w:val="20"/>
                <w:szCs w:val="20"/>
                <w:color w:val="auto"/>
              </w:rPr>
            </w:pPr>
            <w:r>
              <w:rPr>
                <w:rFonts w:ascii="Arial" w:cs="Arial" w:eastAsia="Arial" w:hAnsi="Arial"/>
                <w:sz w:val="18"/>
                <w:szCs w:val="18"/>
                <w:color w:val="auto"/>
                <w:w w:val="90"/>
              </w:rPr>
              <w:t>Term</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Fixed</w:t>
            </w:r>
          </w:p>
        </w:tc>
      </w:tr>
      <w:tr>
        <w:trPr>
          <w:trHeight w:val="237"/>
        </w:trPr>
        <w:tc>
          <w:tcPr>
            <w:tcW w:w="20" w:type="dxa"/>
            <w:vAlign w:val="bottom"/>
          </w:tcPr>
          <w:p>
            <w:pPr>
              <w:spacing w:after="0"/>
              <w:rPr>
                <w:sz w:val="20"/>
                <w:szCs w:val="20"/>
                <w:color w:val="auto"/>
              </w:rPr>
            </w:pPr>
          </w:p>
        </w:tc>
        <w:tc>
          <w:tcPr>
            <w:tcW w:w="23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Trade Date</w:t>
            </w:r>
          </w:p>
        </w:tc>
        <w:tc>
          <w:tcPr>
            <w:tcW w:w="31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Effective Date</w:t>
            </w:r>
          </w:p>
        </w:tc>
        <w:tc>
          <w:tcPr>
            <w:tcW w:w="13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(in Years)</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Notional Amount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60,000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January 30, 2015</w:t>
            </w:r>
          </w:p>
        </w:tc>
        <w:tc>
          <w:tcPr>
            <w:tcW w:w="3180" w:type="dxa"/>
            <w:vAlign w:val="bottom"/>
          </w:tcPr>
          <w:p>
            <w:pPr>
              <w:ind w:left="540"/>
              <w:spacing w:after="0"/>
              <w:rPr>
                <w:sz w:val="20"/>
                <w:szCs w:val="20"/>
                <w:color w:val="auto"/>
              </w:rPr>
            </w:pPr>
            <w:r>
              <w:rPr>
                <w:rFonts w:ascii="Arial" w:cs="Arial" w:eastAsia="Arial" w:hAnsi="Arial"/>
                <w:sz w:val="18"/>
                <w:szCs w:val="18"/>
                <w:color w:val="auto"/>
              </w:rPr>
              <w:t>May 4, 2021</w:t>
            </w:r>
          </w:p>
        </w:tc>
        <w:tc>
          <w:tcPr>
            <w:tcW w:w="13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5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120,000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60,000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January 30, 2015</w:t>
            </w:r>
          </w:p>
        </w:tc>
        <w:tc>
          <w:tcPr>
            <w:tcW w:w="3180" w:type="dxa"/>
            <w:vAlign w:val="bottom"/>
          </w:tcPr>
          <w:p>
            <w:pPr>
              <w:ind w:left="540"/>
              <w:spacing w:after="0"/>
              <w:rPr>
                <w:sz w:val="20"/>
                <w:szCs w:val="20"/>
                <w:color w:val="auto"/>
              </w:rPr>
            </w:pPr>
            <w:r>
              <w:rPr>
                <w:rFonts w:ascii="Arial" w:cs="Arial" w:eastAsia="Arial" w:hAnsi="Arial"/>
                <w:sz w:val="18"/>
                <w:szCs w:val="18"/>
                <w:color w:val="auto"/>
              </w:rPr>
              <w:t>May 4, 2021</w:t>
            </w:r>
          </w:p>
        </w:tc>
        <w:tc>
          <w:tcPr>
            <w:tcW w:w="13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5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80,000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2019</w:t>
            </w:r>
          </w:p>
        </w:tc>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115,000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January 16, 2019</w:t>
            </w:r>
          </w:p>
        </w:tc>
        <w:tc>
          <w:tcPr>
            <w:tcW w:w="3180" w:type="dxa"/>
            <w:vAlign w:val="bottom"/>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5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115,000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estimated fair values of the Company’s derivative instruments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gridSpan w:val="2"/>
          </w:tcPr>
          <w:p>
            <w:pPr>
              <w:spacing w:after="0"/>
              <w:rPr>
                <w:sz w:val="20"/>
                <w:szCs w:val="20"/>
                <w:color w:val="auto"/>
              </w:rPr>
            </w:pPr>
            <w:r>
              <w:rPr>
                <w:rFonts w:ascii="Arial" w:cs="Arial" w:eastAsia="Arial" w:hAnsi="Arial"/>
                <w:sz w:val="18"/>
                <w:szCs w:val="18"/>
                <w:color w:val="auto"/>
              </w:rPr>
              <w:t>(See Note 4)</w:t>
            </w:r>
          </w:p>
        </w:tc>
        <w:tc>
          <w:tcPr>
            <w:tcW w:w="5240" w:type="dxa"/>
            <w:vAlign w:val="bottom"/>
          </w:tcPr>
          <w:p>
            <w:pPr>
              <w:ind w:left="2800"/>
              <w:spacing w:after="0"/>
              <w:rPr>
                <w:sz w:val="20"/>
                <w:szCs w:val="20"/>
                <w:color w:val="auto"/>
              </w:rPr>
            </w:pPr>
            <w:r>
              <w:rPr>
                <w:rFonts w:ascii="Arial" w:cs="Arial" w:eastAsia="Arial" w:hAnsi="Arial"/>
                <w:sz w:val="18"/>
                <w:szCs w:val="18"/>
                <w:color w:val="auto"/>
              </w:rPr>
              <w:t>Balance Sheet Location</w:t>
            </w:r>
          </w:p>
        </w:tc>
        <w:tc>
          <w:tcPr>
            <w:tcW w:w="1960" w:type="dxa"/>
            <w:vAlign w:val="bottom"/>
            <w:gridSpan w:val="2"/>
          </w:tcPr>
          <w:p>
            <w:pPr>
              <w:ind w:left="740"/>
              <w:spacing w:after="0"/>
              <w:rPr>
                <w:sz w:val="20"/>
                <w:szCs w:val="20"/>
                <w:color w:val="auto"/>
              </w:rPr>
            </w:pPr>
            <w:r>
              <w:rPr>
                <w:rFonts w:ascii="Arial" w:cs="Arial" w:eastAsia="Arial" w:hAnsi="Arial"/>
                <w:sz w:val="18"/>
                <w:szCs w:val="18"/>
                <w:color w:val="auto"/>
                <w:w w:val="99"/>
              </w:rPr>
              <w:t>August 2, 2019</w:t>
            </w:r>
          </w:p>
        </w:tc>
        <w:tc>
          <w:tcPr>
            <w:tcW w:w="1360" w:type="dxa"/>
            <w:vAlign w:val="bottom"/>
            <w:gridSpan w:val="4"/>
          </w:tcPr>
          <w:p>
            <w:pPr>
              <w:ind w:left="140"/>
              <w:spacing w:after="0"/>
              <w:rPr>
                <w:sz w:val="20"/>
                <w:szCs w:val="20"/>
                <w:color w:val="auto"/>
              </w:rPr>
            </w:pPr>
            <w:r>
              <w:rPr>
                <w:rFonts w:ascii="Arial" w:cs="Arial" w:eastAsia="Arial" w:hAnsi="Arial"/>
                <w:sz w:val="18"/>
                <w:szCs w:val="18"/>
                <w:color w:val="auto"/>
                <w:w w:val="99"/>
              </w:rPr>
              <w:t>August 3, 2018</w:t>
            </w:r>
          </w:p>
        </w:tc>
      </w:tr>
      <w:tr>
        <w:trPr>
          <w:trHeight w:val="216"/>
        </w:trPr>
        <w:tc>
          <w:tcPr>
            <w:tcW w:w="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6,086</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17"/>
        </w:trPr>
        <w:tc>
          <w:tcPr>
            <w:tcW w:w="2860" w:type="dxa"/>
            <w:vAlign w:val="bottom"/>
            <w:gridSpan w:val="2"/>
          </w:tcPr>
          <w:p>
            <w:pPr>
              <w:spacing w:after="0"/>
              <w:rPr>
                <w:sz w:val="18"/>
                <w:szCs w:val="18"/>
                <w:color w:val="auto"/>
              </w:rPr>
            </w:pPr>
          </w:p>
        </w:tc>
        <w:tc>
          <w:tcPr>
            <w:tcW w:w="5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Long-term interest rate swap liability</w:t>
            </w:r>
          </w:p>
        </w:tc>
        <w:tc>
          <w:tcPr>
            <w:tcW w:w="11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10,483</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liabilities</w:t>
            </w:r>
          </w:p>
        </w:tc>
        <w:tc>
          <w:tcPr>
            <w:tcW w:w="5240" w:type="dxa"/>
            <w:vAlign w:val="bottom"/>
          </w:tcPr>
          <w:p>
            <w:pPr>
              <w:spacing w:after="0"/>
              <w:rPr>
                <w:sz w:val="20"/>
                <w:szCs w:val="20"/>
                <w:color w:val="auto"/>
              </w:rPr>
            </w:pPr>
          </w:p>
        </w:tc>
        <w:tc>
          <w:tcPr>
            <w:tcW w:w="110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10,483</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jc w:val="both"/>
        <w:ind w:firstLine="324"/>
        <w:spacing w:after="0" w:line="251" w:lineRule="auto"/>
        <w:rPr>
          <w:sz w:val="20"/>
          <w:szCs w:val="20"/>
          <w:color w:val="auto"/>
        </w:rPr>
      </w:pPr>
      <w:r>
        <w:rPr>
          <w:rFonts w:ascii="Arial" w:cs="Arial" w:eastAsia="Arial" w:hAnsi="Arial"/>
          <w:sz w:val="22"/>
          <w:szCs w:val="22"/>
          <w:color w:val="auto"/>
        </w:rPr>
        <w:t>**These interest rate swap assets and liabilities are recorded at gross at both August 2, 2019 and August 3, 2018 since there were no offsetting assets and liabilities under the Company’s master netting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78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The estimated fair values of the Company’s interest rate swap assets and liabilities incorporate the Company’s non-performance risk. The adjustment related to the Company’s non-performance risk at August 2, 2019 and August 3, 2018 resulted in reductions of $399 and $213, respectively, in the total fair value of the interest rate swap assets and liabilities. The offset to the interest rate swap assets and liabilities is recorded in accumulated other comprehensive income (loss) (“AOCIL”), net of the deferred tax assets, and will be reclassified into earnings over the term of the underlying debt. As of August 2, 2019, the estimated pre-tax portion of AOCIL that is expected to be reclassified into earnings over the next twelve months is $685. Cash flows related to the interest rate swaps are included in interest expense and in operating activities.</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table summarizes the pre-tax effects of the Company’s derivative instruments on AOCIL for each of the three years:</w:t>
      </w:r>
    </w:p>
    <w:p>
      <w:pPr>
        <w:spacing w:after="0" w:line="207"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Amount of Income (Loss) Recognized in AOCIL</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on Derivatives (Effective 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3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hedges:</w:t>
            </w: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13,103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table summarizes the changes in AOCIL, net of tax, related to the Company’s interest rate swaps for the years ended August 2, 2019, August 3, 2018 and July 28,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w w:val="97"/>
              </w:rPr>
              <w:t>August 2,</w:t>
            </w:r>
          </w:p>
        </w:tc>
        <w:tc>
          <w:tcPr>
            <w:tcW w:w="24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w w:val="97"/>
              </w:rPr>
              <w:t>August 3,</w:t>
            </w:r>
          </w:p>
        </w:tc>
        <w:tc>
          <w:tcPr>
            <w:tcW w:w="2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July 28,</w:t>
            </w:r>
          </w:p>
        </w:tc>
      </w:tr>
      <w:tr>
        <w:trPr>
          <w:trHeight w:val="237"/>
        </w:trPr>
        <w:tc>
          <w:tcPr>
            <w:tcW w:w="2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Beginning AOCIL balance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11,274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Amounts reclassified from AOCIL into earnings</w:t>
            </w:r>
          </w:p>
        </w:tc>
        <w:tc>
          <w:tcPr>
            <w:tcW w:w="16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(2,360)</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(2,571)</w:t>
            </w: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8,914</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Ending AOCIL balance</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4,685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(4,229)</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The following table summarizes the pre-tax effects of the Company’s derivative instruments on income for each of the three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5500" w:type="dxa"/>
            <w:vAlign w:val="bottom"/>
          </w:tcPr>
          <w:p>
            <w:pPr>
              <w:jc w:val="center"/>
              <w:ind w:right="1710"/>
              <w:spacing w:after="0"/>
              <w:rPr>
                <w:sz w:val="20"/>
                <w:szCs w:val="20"/>
                <w:color w:val="auto"/>
              </w:rPr>
            </w:pPr>
            <w:r>
              <w:rPr>
                <w:rFonts w:ascii="Arial" w:cs="Arial" w:eastAsia="Arial" w:hAnsi="Arial"/>
                <w:sz w:val="18"/>
                <w:szCs w:val="18"/>
                <w:color w:val="auto"/>
                <w:w w:val="93"/>
              </w:rPr>
              <w:t>Location of (Income) Loss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5500" w:type="dxa"/>
            <w:vAlign w:val="bottom"/>
          </w:tcPr>
          <w:p>
            <w:pPr>
              <w:jc w:val="center"/>
              <w:ind w:right="1710"/>
              <w:spacing w:after="0"/>
              <w:rPr>
                <w:sz w:val="20"/>
                <w:szCs w:val="20"/>
                <w:color w:val="auto"/>
              </w:rPr>
            </w:pPr>
            <w:r>
              <w:rPr>
                <w:rFonts w:ascii="Arial" w:cs="Arial" w:eastAsia="Arial" w:hAnsi="Arial"/>
                <w:sz w:val="18"/>
                <w:szCs w:val="18"/>
                <w:color w:val="auto"/>
                <w:w w:val="94"/>
              </w:rPr>
              <w:t>Reclassified from AOCIL into Income</w:t>
            </w:r>
          </w:p>
        </w:tc>
        <w:tc>
          <w:tcPr>
            <w:tcW w:w="4100" w:type="dxa"/>
            <w:vAlign w:val="bottom"/>
            <w:gridSpan w:val="7"/>
          </w:tcPr>
          <w:p>
            <w:pPr>
              <w:jc w:val="center"/>
              <w:spacing w:after="0"/>
              <w:rPr>
                <w:sz w:val="20"/>
                <w:szCs w:val="20"/>
                <w:color w:val="auto"/>
              </w:rPr>
            </w:pPr>
            <w:r>
              <w:rPr>
                <w:rFonts w:ascii="Arial" w:cs="Arial" w:eastAsia="Arial" w:hAnsi="Arial"/>
                <w:sz w:val="18"/>
                <w:szCs w:val="18"/>
                <w:color w:val="auto"/>
                <w:w w:val="92"/>
              </w:rPr>
              <w:t>Amount of (Income) Loss Reclassified from</w:t>
            </w:r>
          </w:p>
        </w:tc>
      </w:tr>
      <w:tr>
        <w:trPr>
          <w:trHeight w:val="237"/>
        </w:trPr>
        <w:tc>
          <w:tcPr>
            <w:tcW w:w="1820" w:type="dxa"/>
            <w:vAlign w:val="bottom"/>
          </w:tcPr>
          <w:p>
            <w:pPr>
              <w:spacing w:after="0"/>
              <w:rPr>
                <w:sz w:val="20"/>
                <w:szCs w:val="20"/>
                <w:color w:val="auto"/>
              </w:rPr>
            </w:pPr>
          </w:p>
        </w:tc>
        <w:tc>
          <w:tcPr>
            <w:tcW w:w="5500" w:type="dxa"/>
            <w:vAlign w:val="bottom"/>
          </w:tcPr>
          <w:p>
            <w:pPr>
              <w:jc w:val="center"/>
              <w:ind w:right="1710"/>
              <w:spacing w:after="0"/>
              <w:rPr>
                <w:sz w:val="20"/>
                <w:szCs w:val="20"/>
                <w:color w:val="auto"/>
              </w:rPr>
            </w:pPr>
            <w:r>
              <w:rPr>
                <w:rFonts w:ascii="Arial" w:cs="Arial" w:eastAsia="Arial" w:hAnsi="Arial"/>
                <w:sz w:val="18"/>
                <w:szCs w:val="18"/>
                <w:color w:val="auto"/>
                <w:w w:val="93"/>
              </w:rPr>
              <w:t>(Effective Portion)</w:t>
            </w:r>
          </w:p>
        </w:tc>
        <w:tc>
          <w:tcPr>
            <w:tcW w:w="4100" w:type="dxa"/>
            <w:vAlign w:val="bottom"/>
            <w:gridSpan w:val="7"/>
          </w:tcPr>
          <w:p>
            <w:pPr>
              <w:jc w:val="center"/>
              <w:spacing w:after="0"/>
              <w:rPr>
                <w:sz w:val="20"/>
                <w:szCs w:val="20"/>
                <w:color w:val="auto"/>
              </w:rPr>
            </w:pPr>
            <w:r>
              <w:rPr>
                <w:rFonts w:ascii="Arial" w:cs="Arial" w:eastAsia="Arial" w:hAnsi="Arial"/>
                <w:sz w:val="18"/>
                <w:szCs w:val="18"/>
                <w:color w:val="auto"/>
                <w:w w:val="94"/>
              </w:rPr>
              <w:t>AOCIL into Income (Effective Portion)</w:t>
            </w:r>
          </w:p>
        </w:tc>
      </w:tr>
      <w:tr>
        <w:trPr>
          <w:trHeight w:val="223"/>
        </w:trPr>
        <w:tc>
          <w:tcPr>
            <w:tcW w:w="1820" w:type="dxa"/>
            <w:vAlign w:val="bottom"/>
            <w:tcBorders>
              <w:top w:val="single" w:sz="8" w:color="auto"/>
            </w:tcBorders>
          </w:tcPr>
          <w:p>
            <w:pPr>
              <w:spacing w:after="0"/>
              <w:rPr>
                <w:sz w:val="19"/>
                <w:szCs w:val="19"/>
                <w:color w:val="auto"/>
              </w:rPr>
            </w:pPr>
          </w:p>
        </w:tc>
        <w:tc>
          <w:tcPr>
            <w:tcW w:w="55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2018</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Cash flow hedges:</w:t>
            </w:r>
          </w:p>
        </w:tc>
        <w:tc>
          <w:tcPr>
            <w:tcW w:w="5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500" w:type="dxa"/>
            <w:vAlign w:val="bottom"/>
            <w:tcBorders>
              <w:bottom w:val="single" w:sz="8" w:color="auto"/>
            </w:tcBorders>
            <w:shd w:val="clear" w:color="auto" w:fill="CCEEFF"/>
          </w:tcPr>
          <w:p>
            <w:pPr>
              <w:ind w:left="310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table summarizes the amounts reclassified out of AOCIL related to the Company’s interest rate swaps for the years ended August 2, 2019, August 3, 2018 and July 28, 2017:</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5"/>
              </w:rPr>
              <w:t>Affected Line Item in</w:t>
            </w:r>
          </w:p>
        </w:tc>
      </w:tr>
      <w:tr>
        <w:trPr>
          <w:trHeight w:val="216"/>
        </w:trPr>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0"/>
              </w:rPr>
              <w:t>the Consolidated</w:t>
            </w:r>
          </w:p>
        </w:tc>
      </w:tr>
      <w:tr>
        <w:trPr>
          <w:trHeight w:val="23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Details about AOCIL</w:t>
            </w:r>
          </w:p>
        </w:tc>
        <w:tc>
          <w:tcPr>
            <w:tcW w:w="2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August 2, 2019</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August 3, 2018</w:t>
            </w: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28, 2017</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3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r>
      <w:tr>
        <w:trPr>
          <w:trHeight w:val="223"/>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1,592</w:t>
            </w: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Provision for income taxes</w:t>
            </w:r>
          </w:p>
        </w:tc>
      </w:tr>
      <w:tr>
        <w:trPr>
          <w:trHeight w:val="257"/>
        </w:trPr>
        <w:tc>
          <w:tcPr>
            <w:tcW w:w="27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3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Net of tax</w:t>
            </w:r>
          </w:p>
        </w:tc>
      </w:tr>
    </w:tbl>
    <w:p>
      <w:pPr>
        <w:spacing w:after="0" w:line="22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Any portion of the fair value of the interest rate swaps determined to be ineffective will be recognized currently in earnings. No ineffectiveness has been recorded in 2019, 2018 and 2017.</w:t>
      </w:r>
    </w:p>
    <w:p>
      <w:pPr>
        <w:sectPr>
          <w:pgSz w:w="11900" w:h="16838" w:orient="portrait"/>
          <w:cols w:equalWidth="0" w:num="1">
            <w:col w:w="11420"/>
          </w:cols>
          <w:pgMar w:left="240" w:top="122"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Repurchases</w:t>
      </w:r>
    </w:p>
    <w:p>
      <w:pPr>
        <w:spacing w:after="0" w:line="24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In each of 2019, 2018 and 2017, subject to a maximum amount of $25,000 and the limits imposed by its credit facility, the Company was authorized to repurchase shares at management’s discretion. Additionally, in the fourth quarter of 2019, the Company’s Board of Directors increased the share repurchase authorization to $50,000. The Company did not repurchase any shares of its common stock in 2019 and 2017. In 2018, the Company repurchased 100,000 shares of its common stock in the open market at an aggregate cost of $14,772.</w:t>
      </w:r>
    </w:p>
    <w:p>
      <w:pPr>
        <w:spacing w:after="0" w:line="22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4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Disaggregation of revenue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Total revenue was comprised of the following at: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3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2,482,377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2,439,389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Retail</w:t>
            </w:r>
          </w:p>
        </w:tc>
        <w:tc>
          <w:tcPr>
            <w:tcW w:w="3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589,574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591,056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575,077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3,071,951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3,030,445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2,926,289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 Leases</w:t>
      </w:r>
    </w:p>
    <w:p>
      <w:pPr>
        <w:spacing w:after="0" w:line="24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As of August 2, 2019, the Company operated 247 stores in leased facilities and also leased certain land, a retail distribution center and advertising billboards.</w:t>
      </w:r>
    </w:p>
    <w:p>
      <w:pPr>
        <w:spacing w:after="0" w:line="2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Rent expense under operating leases, including the sale-leaseback transactions discussed below, for each of the last three years was: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Year</w:t>
            </w:r>
          </w:p>
        </w:tc>
        <w:tc>
          <w:tcPr>
            <w:tcW w:w="37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Minimum</w:t>
            </w:r>
          </w:p>
        </w:tc>
        <w:tc>
          <w:tcPr>
            <w:tcW w:w="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4"/>
              </w:rPr>
              <w:t>Contingent</w:t>
            </w: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3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78,044</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78,324</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2018</w:t>
            </w:r>
          </w:p>
        </w:tc>
        <w:tc>
          <w:tcPr>
            <w:tcW w:w="37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76,445</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76,700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3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is a schedule by year of the future minimum rental payments required under the Company’s operating leases as of August 2,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Year</w:t>
            </w:r>
          </w:p>
        </w:tc>
        <w:tc>
          <w:tcPr>
            <w:tcW w:w="49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69,249</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40,962</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33,639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Later years</w:t>
            </w:r>
          </w:p>
        </w:tc>
        <w:tc>
          <w:tcPr>
            <w:tcW w:w="4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515,169</w:t>
            </w:r>
          </w:p>
        </w:tc>
        <w:tc>
          <w:tcPr>
            <w:tcW w:w="100" w:type="dxa"/>
            <w:vAlign w:val="bottom"/>
          </w:tcPr>
          <w:p>
            <w:pPr>
              <w:spacing w:after="0"/>
              <w:rPr>
                <w:sz w:val="19"/>
                <w:szCs w:val="19"/>
                <w:color w:val="auto"/>
              </w:rPr>
            </w:pPr>
          </w:p>
        </w:tc>
      </w:tr>
      <w:tr>
        <w:trPr>
          <w:trHeight w:val="257"/>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Sale-Leaseback Transactions</w:t>
      </w:r>
    </w:p>
    <w:p>
      <w:pPr>
        <w:spacing w:after="0" w:line="2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ectPr>
          <w:pgSz w:w="11900" w:h="16838" w:orient="portrait"/>
          <w:cols w:equalWidth="0" w:num="1">
            <w:col w:w="11420"/>
          </w:cols>
          <w:pgMar w:left="240" w:top="12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August 2, 2019 and August 3, 2018, the Company was in compliance with these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11. Share-Based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Stock Compensation Plans</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has one active compensation plan, the 2010 Omnibus Incentive Compensation Plan (the “2010 Omnibus Plan”), for employees and non-employee directors which authorizes the granting of nonvested stock awards and units, performance-based MSU Grants, stock options and other types of share-based awards.</w:t>
      </w:r>
    </w:p>
    <w:p>
      <w:pPr>
        <w:spacing w:after="0" w:line="2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August 2, 2019, the number of shares authorized for future issuance under the Company’s active plan is 986,504. At August 2, 2019, the number of outstanding awards under the 2010 Omnibus Plan was 99,822.</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Types of Share-Based Awards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Nonvested Stock Awards</w:t>
      </w:r>
    </w:p>
    <w:p>
      <w:pPr>
        <w:spacing w:after="0" w:line="2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Nonvested stock awards consist of the Company’s common stock, generally accrue dividend equivalents and vest over 1–5 years. The fair value of the Company’s nonvested stock awards which accrue dividends is equal to the market price of the Company’s stock at the date of the grant. Dividends are forfeited for any nonvested stock awards that do not vest.</w:t>
      </w:r>
    </w:p>
    <w:p>
      <w:pPr>
        <w:spacing w:after="0" w:line="16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following table summarizes the performance periods and vesting periods for the Company’s nonvested stock awards under its long-term performance plans at August 2,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0"/>
              </w:rPr>
              <w:t>Vesting Period</w:t>
            </w:r>
          </w:p>
        </w:tc>
      </w:tr>
      <w:tr>
        <w:trPr>
          <w:trHeight w:val="23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Performance Plan (“LTPP”)</w:t>
            </w:r>
          </w:p>
        </w:tc>
        <w:tc>
          <w:tcPr>
            <w:tcW w:w="314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88"/>
              </w:rPr>
              <w:t>Performance Period</w:t>
            </w:r>
          </w:p>
        </w:tc>
        <w:tc>
          <w:tcPr>
            <w:tcW w:w="1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(in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2019 LTPP</w:t>
            </w:r>
          </w:p>
        </w:tc>
        <w:tc>
          <w:tcPr>
            <w:tcW w:w="314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89"/>
              </w:rPr>
              <w:t>2019 – 2020</w:t>
            </w:r>
          </w:p>
        </w:tc>
        <w:tc>
          <w:tcPr>
            <w:tcW w:w="1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 or 3</w:t>
            </w:r>
          </w:p>
        </w:tc>
      </w:tr>
      <w:tr>
        <w:trPr>
          <w:trHeight w:val="2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2018 LTPP</w:t>
            </w:r>
          </w:p>
        </w:tc>
        <w:tc>
          <w:tcPr>
            <w:tcW w:w="314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89"/>
              </w:rPr>
              <w:t>2018 – 2019</w:t>
            </w:r>
          </w:p>
        </w:tc>
        <w:tc>
          <w:tcPr>
            <w:tcW w:w="16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 or 3</w:t>
            </w: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summarizes the shares that have been accrued under the 2019 LTPP and 2018 LTPP at August 2, 2019:</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LTPP</w:t>
            </w:r>
          </w:p>
        </w:tc>
        <w:tc>
          <w:tcPr>
            <w:tcW w:w="8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shd w:val="clear" w:color="auto" w:fill="CCEEFF"/>
          </w:tcPr>
          <w:p>
            <w:pPr>
              <w:spacing w:after="0"/>
              <w:rPr>
                <w:sz w:val="21"/>
                <w:szCs w:val="21"/>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2018 LTPP</w:t>
            </w:r>
          </w:p>
        </w:tc>
        <w:tc>
          <w:tcPr>
            <w:tcW w:w="8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100" w:type="dxa"/>
            <w:vAlign w:val="bottom"/>
          </w:tcPr>
          <w:p>
            <w:pPr>
              <w:spacing w:after="0"/>
              <w:rPr>
                <w:sz w:val="19"/>
                <w:szCs w:val="19"/>
                <w:color w:val="auto"/>
              </w:rPr>
            </w:pPr>
          </w:p>
        </w:tc>
      </w:tr>
      <w:tr>
        <w:trPr>
          <w:trHeight w:val="596"/>
        </w:trPr>
        <w:tc>
          <w:tcPr>
            <w:tcW w:w="3220" w:type="dxa"/>
            <w:vAlign w:val="bottom"/>
          </w:tcPr>
          <w:p>
            <w:pPr>
              <w:spacing w:after="0"/>
              <w:rPr>
                <w:sz w:val="24"/>
                <w:szCs w:val="24"/>
                <w:color w:val="auto"/>
              </w:rPr>
            </w:pPr>
          </w:p>
        </w:tc>
        <w:tc>
          <w:tcPr>
            <w:tcW w:w="8100" w:type="dxa"/>
            <w:vAlign w:val="bottom"/>
          </w:tcPr>
          <w:p>
            <w:pPr>
              <w:jc w:val="right"/>
              <w:ind w:right="5456"/>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r>
      <w:tr>
        <w:trPr>
          <w:trHeight w:val="46"/>
        </w:trPr>
        <w:tc>
          <w:tcPr>
            <w:tcW w:w="3220" w:type="dxa"/>
            <w:vAlign w:val="bottom"/>
            <w:tcBorders>
              <w:bottom w:val="single" w:sz="8" w:color="auto"/>
            </w:tcBorders>
          </w:tcPr>
          <w:p>
            <w:pPr>
              <w:spacing w:after="0"/>
              <w:rPr>
                <w:sz w:val="4"/>
                <w:szCs w:val="4"/>
                <w:color w:val="auto"/>
              </w:rPr>
            </w:pPr>
          </w:p>
        </w:tc>
        <w:tc>
          <w:tcPr>
            <w:tcW w:w="8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A summary of the Company’s nonvested stock activity as of August 2, 2019, and changes during 2019 are presented in the following table: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Weighted-Average Grant</w:t>
            </w:r>
          </w:p>
        </w:tc>
        <w:tc>
          <w:tcPr>
            <w:tcW w:w="100" w:type="dxa"/>
            <w:vAlign w:val="bottom"/>
          </w:tcPr>
          <w:p>
            <w:pPr>
              <w:spacing w:after="0"/>
              <w:rPr>
                <w:sz w:val="19"/>
                <w:szCs w:val="19"/>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Nonvested Stock</w:t>
            </w:r>
          </w:p>
        </w:tc>
        <w:tc>
          <w:tcPr>
            <w:tcW w:w="2940" w:type="dxa"/>
            <w:vAlign w:val="bottom"/>
          </w:tcPr>
          <w:p>
            <w:pPr>
              <w:jc w:val="right"/>
              <w:ind w:right="31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Date Fair Value</w:t>
            </w:r>
          </w:p>
        </w:tc>
      </w:tr>
      <w:tr>
        <w:trPr>
          <w:trHeight w:val="216"/>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3, 2018</w:t>
            </w:r>
          </w:p>
        </w:tc>
        <w:tc>
          <w:tcPr>
            <w:tcW w:w="2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41,758</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49,724</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150.13</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(34,692)</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144.93</w:t>
            </w:r>
          </w:p>
        </w:tc>
        <w:tc>
          <w:tcPr>
            <w:tcW w:w="100" w:type="dxa"/>
            <w:vAlign w:val="bottom"/>
          </w:tcPr>
          <w:p>
            <w:pPr>
              <w:spacing w:after="0"/>
              <w:rPr>
                <w:sz w:val="19"/>
                <w:szCs w:val="19"/>
                <w:color w:val="auto"/>
              </w:rPr>
            </w:pPr>
          </w:p>
        </w:tc>
      </w:tr>
      <w:tr>
        <w:trPr>
          <w:trHeight w:val="257"/>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2, 2019</w:t>
            </w:r>
          </w:p>
        </w:tc>
        <w:tc>
          <w:tcPr>
            <w:tcW w:w="2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52,583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the total fair value of nonvested stock that vested for each of the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23"/>
        </w:trPr>
        <w:tc>
          <w:tcPr>
            <w:tcW w:w="5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Total fair value of nonvested stock</w:t>
            </w:r>
          </w:p>
        </w:tc>
        <w:tc>
          <w:tcPr>
            <w:tcW w:w="32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5,119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Nonvested Stock Units</w:t>
      </w:r>
    </w:p>
    <w:p>
      <w:pPr>
        <w:spacing w:after="0" w:line="233"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9"/>
          <w:szCs w:val="19"/>
          <w:color w:val="auto"/>
        </w:rPr>
        <w:t>Beginning in 2017, the Company adopted long-term incentive plans that award nonvested stock units based upon relative total shareholder return (“rTSR RSUs”). The number of nonvested stock units that will ultimately be awarded and will vest at the end of the applicable three-year performance period is based on relative total shareholder return, which is defined as increases in the Company’s stock price plus dividends paid during the performance period as compared to the total shareholder return of a group of peer companies determined by the Committee. The number of shares awarded at the end of the performance period for each nonvested stock unit may range from 75% to 125% of the target award. The probability of the actual shares expected to be earned is considered in the grant date valuation; therefore, the expense will not be adjusted to reflect the actual units earned. In addition to a service requirement, the vesting of the 2017 and 2018 rTSR RSUs are also subject to the achievement of a specified level of operating income during the performance period. If this performance goal is not met, no nonvested stock units will be awarded and no compensation expense will be recorded.</w:t>
      </w:r>
    </w:p>
    <w:p>
      <w:pPr>
        <w:spacing w:after="0" w:line="200" w:lineRule="exact"/>
        <w:rPr>
          <w:sz w:val="20"/>
          <w:szCs w:val="20"/>
          <w:color w:val="auto"/>
        </w:rPr>
      </w:pPr>
    </w:p>
    <w:p>
      <w:pPr>
        <w:spacing w:after="0" w:line="229" w:lineRule="exact"/>
        <w:rPr>
          <w:sz w:val="20"/>
          <w:szCs w:val="20"/>
          <w:color w:val="auto"/>
        </w:rPr>
      </w:pPr>
    </w:p>
    <w:p>
      <w:pPr>
        <w:jc w:val="both"/>
        <w:ind w:right="20" w:firstLine="324"/>
        <w:spacing w:after="0" w:line="238" w:lineRule="auto"/>
        <w:rPr>
          <w:sz w:val="20"/>
          <w:szCs w:val="20"/>
          <w:color w:val="auto"/>
        </w:rPr>
      </w:pPr>
      <w:r>
        <w:rPr>
          <w:rFonts w:ascii="Arial" w:cs="Arial" w:eastAsia="Arial" w:hAnsi="Arial"/>
          <w:sz w:val="22"/>
          <w:szCs w:val="22"/>
          <w:color w:val="auto"/>
        </w:rPr>
        <w:t>The fair value of the nonvested stock units is determined using the Monte-Carlo simulation model, which simulates a range of possible future stock prices and estimates the probabilities of the potential payouts. This model uses the average prices for the 60 consecutive calendar days beginning 30 days prior to and ending 30 days after the first business day of the performance period. This model also incorporates the following ranges of assumptions:</w:t>
      </w:r>
    </w:p>
    <w:p>
      <w:pPr>
        <w:spacing w:after="0" w:line="219" w:lineRule="exact"/>
        <w:rPr>
          <w:sz w:val="20"/>
          <w:szCs w:val="20"/>
          <w:color w:val="auto"/>
        </w:rPr>
      </w:pPr>
    </w:p>
    <w:p>
      <w:pPr>
        <w:ind w:left="340" w:right="2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volatilities are the historical volatilities of the Company’s stock and the members of the peer group over the period commensurate with the three-year performance period.</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 The risk-free rates for the nonvested stock units granted in 2017 ranged from 1.0% to 1.4%. The risk-free interest rates for the nonvested stock units granted in 2018 and 2019 were 1.6% and 2.9%,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dividend yield is assumed to be zero since the award holders are entitled to any dividends paid over the performance period.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21"/>
          <w:szCs w:val="21"/>
          <w:color w:val="auto"/>
        </w:rPr>
        <w:t>Dividends accrue on the nonvested stock units. Dividends will be forfeited for nonvested stock units that do not vest.</w:t>
      </w:r>
    </w:p>
    <w:p>
      <w:pPr>
        <w:spacing w:after="0" w:line="245" w:lineRule="exact"/>
        <w:rPr>
          <w:sz w:val="20"/>
          <w:szCs w:val="20"/>
          <w:color w:val="auto"/>
        </w:rPr>
      </w:pPr>
    </w:p>
    <w:p>
      <w:pPr>
        <w:ind w:right="20" w:firstLine="324"/>
        <w:spacing w:after="0" w:line="251" w:lineRule="auto"/>
        <w:rPr>
          <w:sz w:val="20"/>
          <w:szCs w:val="20"/>
          <w:color w:val="auto"/>
        </w:rPr>
      </w:pPr>
      <w:r>
        <w:rPr>
          <w:rFonts w:ascii="Arial" w:cs="Arial" w:eastAsia="Arial" w:hAnsi="Arial"/>
          <w:sz w:val="22"/>
          <w:szCs w:val="22"/>
          <w:color w:val="auto"/>
        </w:rPr>
        <w:t>The following table summarizes the shares that have been accrued for rTSR RSUs awards under the 2019, 2018 and 2017 long-term incentive plans at August 2,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960" w:type="dxa"/>
            <w:vAlign w:val="bottom"/>
            <w:gridSpan w:val="2"/>
          </w:tcPr>
          <w:p>
            <w:pPr>
              <w:ind w:left="704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rTSR RSUs</w:t>
            </w:r>
          </w:p>
        </w:tc>
        <w:tc>
          <w:tcPr>
            <w:tcW w:w="7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2018 rTSR RSUs</w:t>
            </w:r>
          </w:p>
        </w:tc>
        <w:tc>
          <w:tcPr>
            <w:tcW w:w="7960" w:type="dxa"/>
            <w:vAlign w:val="bottom"/>
            <w:gridSpan w:val="2"/>
          </w:tcPr>
          <w:p>
            <w:pPr>
              <w:jc w:val="right"/>
              <w:ind w:right="100"/>
              <w:spacing w:after="0"/>
              <w:rPr>
                <w:sz w:val="20"/>
                <w:szCs w:val="20"/>
                <w:color w:val="auto"/>
              </w:rPr>
            </w:pPr>
            <w:r>
              <w:rPr>
                <w:rFonts w:ascii="Arial" w:cs="Arial" w:eastAsia="Arial" w:hAnsi="Arial"/>
                <w:sz w:val="18"/>
                <w:szCs w:val="18"/>
                <w:color w:val="auto"/>
              </w:rPr>
              <w:t>5,722</w:t>
            </w:r>
          </w:p>
        </w:tc>
      </w:tr>
      <w:tr>
        <w:trPr>
          <w:trHeight w:val="223"/>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2017 rTSR RSUs</w:t>
            </w:r>
          </w:p>
        </w:tc>
        <w:tc>
          <w:tcPr>
            <w:tcW w:w="7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7,548</w:t>
            </w:r>
          </w:p>
        </w:tc>
      </w:tr>
      <w:tr>
        <w:trPr>
          <w:trHeight w:val="596"/>
        </w:trPr>
        <w:tc>
          <w:tcPr>
            <w:tcW w:w="20" w:type="dxa"/>
            <w:vAlign w:val="bottom"/>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7860" w:type="dxa"/>
            <w:vAlign w:val="bottom"/>
            <w:tcBorders>
              <w:top w:val="single" w:sz="8" w:color="auto"/>
            </w:tcBorders>
          </w:tcPr>
          <w:p>
            <w:pPr>
              <w:jc w:val="right"/>
              <w:ind w:right="5454"/>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Performance-Based Market Stock Units</w:t>
      </w:r>
    </w:p>
    <w:p>
      <w:pPr>
        <w:spacing w:after="0" w:line="233" w:lineRule="exact"/>
        <w:rPr>
          <w:sz w:val="20"/>
          <w:szCs w:val="20"/>
          <w:color w:val="auto"/>
        </w:rPr>
      </w:pPr>
    </w:p>
    <w:p>
      <w:pPr>
        <w:jc w:val="both"/>
        <w:ind w:right="40" w:firstLine="324"/>
        <w:spacing w:after="0"/>
        <w:rPr>
          <w:sz w:val="20"/>
          <w:szCs w:val="20"/>
          <w:color w:val="auto"/>
        </w:rPr>
      </w:pPr>
      <w:r>
        <w:rPr>
          <w:rFonts w:ascii="Arial" w:cs="Arial" w:eastAsia="Arial" w:hAnsi="Arial"/>
          <w:sz w:val="22"/>
          <w:szCs w:val="22"/>
          <w:color w:val="auto"/>
        </w:rPr>
        <w:t>The number of MSU Grants (last granted in 2016) that were awarded and vested at the end of the applicable three-year performance period for each annual plan was based on total shareholder return, which was defined as the change in the Company’s stock price plus dividends paid during the performance period.</w:t>
      </w:r>
    </w:p>
    <w:p>
      <w:pPr>
        <w:spacing w:after="0" w:line="213" w:lineRule="exact"/>
        <w:rPr>
          <w:sz w:val="20"/>
          <w:szCs w:val="20"/>
          <w:color w:val="auto"/>
        </w:rPr>
      </w:pPr>
    </w:p>
    <w:p>
      <w:pPr>
        <w:jc w:val="both"/>
        <w:ind w:right="40" w:firstLine="324"/>
        <w:spacing w:after="0" w:line="251" w:lineRule="auto"/>
        <w:rPr>
          <w:sz w:val="20"/>
          <w:szCs w:val="20"/>
          <w:color w:val="auto"/>
        </w:rPr>
      </w:pPr>
      <w:r>
        <w:rPr>
          <w:rFonts w:ascii="Arial" w:cs="Arial" w:eastAsia="Arial" w:hAnsi="Arial"/>
          <w:sz w:val="22"/>
          <w:szCs w:val="22"/>
          <w:color w:val="auto"/>
        </w:rPr>
        <w:t>Similar to the rTSR RSUs, the fair value of the MSU Grants was determined using the Monte-Carlo simulation model. This model incorporated the following ranges of assumptions:</w:t>
      </w:r>
    </w:p>
    <w:p>
      <w:pPr>
        <w:spacing w:after="0" w:line="207" w:lineRule="exact"/>
        <w:rPr>
          <w:sz w:val="20"/>
          <w:szCs w:val="20"/>
          <w:color w:val="auto"/>
        </w:rPr>
      </w:pPr>
    </w:p>
    <w:p>
      <w:pPr>
        <w:ind w:left="340" w:hanging="332"/>
        <w:spacing w:after="0" w:line="274"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expected volatility was a blend of implied volatility based on market-traded options on the Company’s stock and historical volatility of our stock over the period commensurate with the three-year performance period. The expected volatility for the 2016 MSU Grants ranged from 23% to 24%.</w:t>
      </w: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risk-free interest rate was based on the U.S. Treasury rate assumption commensurate with the three-year performance period. The risk-free rates for the 2016 MSU Grants ranged from 0.9% to 1.0%.</w:t>
      </w: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expected dividend yield was assumed to be zero since the award holders are entitled to any dividends paid over the performance period.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Dividends accrued on the 2016 MSU Grants. Dividends were forfeited for any MSU Grants that did not vest.</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Stock Options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Prior to 2012, stock options were granted with an exercise price equal to the market price of the Company’s stock on the grant date; those option awards generally vested at a cumulative rate of 33% per year beginning on the first anniversary of the grant date and expired ten years from the date of grant. No stock options were granted in 2017, 2018 or 2019. All of the Company’s outstanding stock options were exercised in 2018.</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the total intrinsic values of options exercised during each of the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intrinsic values of options exercised*</w:t>
            </w:r>
          </w:p>
        </w:tc>
        <w:tc>
          <w:tcPr>
            <w:tcW w:w="3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30"/>
              <w:spacing w:after="0"/>
              <w:rPr>
                <w:sz w:val="20"/>
                <w:szCs w:val="20"/>
                <w:color w:val="auto"/>
              </w:rPr>
            </w:pPr>
            <w:r>
              <w:rPr>
                <w:rFonts w:ascii="Arial" w:cs="Arial" w:eastAsia="Arial" w:hAnsi="Arial"/>
                <w:sz w:val="18"/>
                <w:szCs w:val="18"/>
                <w:color w:val="auto"/>
              </w:rPr>
              <w:t>—   $</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466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*The intrinsic value for stock options is defined as the difference between the current market value and the grant price.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Compensation Expense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highlights the components of share-based compensation expense for each of the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and units</w:t>
            </w:r>
          </w:p>
        </w:tc>
        <w:tc>
          <w:tcPr>
            <w:tcW w:w="2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8,181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6,052</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MSU Grants</w:t>
            </w:r>
          </w:p>
        </w:tc>
        <w:tc>
          <w:tcPr>
            <w:tcW w:w="2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925</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 compensation expense</w:t>
            </w:r>
          </w:p>
        </w:tc>
        <w:tc>
          <w:tcPr>
            <w:tcW w:w="2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8,181</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6,977</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following table highlights the total unrecognized compensation expense related to the outstanding nonvested stock awards and nonvested stock units and the weighted-average periods over which the expense is expected to be recognized as of August 2,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w w:val="92"/>
              </w:rPr>
              <w:t>Nonvested</w:t>
            </w:r>
          </w:p>
        </w:tc>
        <w:tc>
          <w:tcPr>
            <w:tcW w:w="2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Nonvested</w:t>
            </w: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840" w:type="dxa"/>
            <w:vAlign w:val="bottom"/>
            <w:gridSpan w:val="2"/>
          </w:tcPr>
          <w:p>
            <w:pPr>
              <w:jc w:val="right"/>
              <w:ind w:right="70"/>
              <w:spacing w:after="0"/>
              <w:rPr>
                <w:sz w:val="20"/>
                <w:szCs w:val="20"/>
                <w:color w:val="auto"/>
              </w:rPr>
            </w:pPr>
            <w:r>
              <w:rPr>
                <w:rFonts w:ascii="Arial" w:cs="Arial" w:eastAsia="Arial" w:hAnsi="Arial"/>
                <w:sz w:val="18"/>
                <w:szCs w:val="18"/>
                <w:color w:val="auto"/>
              </w:rPr>
              <w:t>Stock Awards</w:t>
            </w:r>
          </w:p>
        </w:tc>
        <w:tc>
          <w:tcPr>
            <w:tcW w:w="2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Stock Units</w:t>
            </w:r>
          </w:p>
        </w:tc>
      </w:tr>
      <w:tr>
        <w:trPr>
          <w:trHeight w:val="216"/>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period in years</w:t>
            </w:r>
          </w:p>
        </w:tc>
        <w:tc>
          <w:tcPr>
            <w:tcW w:w="2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r>
    </w:tbl>
    <w:p>
      <w:pPr>
        <w:spacing w:after="0" w:line="222" w:lineRule="exact"/>
        <w:rPr>
          <w:sz w:val="20"/>
          <w:szCs w:val="20"/>
          <w:color w:val="auto"/>
        </w:rPr>
      </w:pPr>
    </w:p>
    <w:p>
      <w:pPr>
        <w:ind w:right="20" w:firstLine="324"/>
        <w:spacing w:after="0" w:line="251" w:lineRule="auto"/>
        <w:rPr>
          <w:sz w:val="20"/>
          <w:szCs w:val="20"/>
          <w:color w:val="auto"/>
        </w:rPr>
      </w:pPr>
      <w:r>
        <w:rPr>
          <w:rFonts w:ascii="Arial" w:cs="Arial" w:eastAsia="Arial" w:hAnsi="Arial"/>
          <w:sz w:val="22"/>
          <w:szCs w:val="22"/>
          <w:color w:val="auto"/>
        </w:rPr>
        <w:t>The following table highlights the total income tax benefit recognized in the Consolidated Statements of Income for each of the three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3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During 2019, the Company issued 37,690 shares of its common stock resulting from the vesting of share-based compensation awards. Related tax withholding payments on these share-based compensation awards resulted in a net reduction to shareholders’ equity of $2,497.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12. Shareholder Rights Plan</w:t>
      </w:r>
    </w:p>
    <w:p>
      <w:pPr>
        <w:spacing w:after="0" w:line="24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On April 9, 2018, the Company’s Board of Directors declared a dividend of one preferred share purchase right (a “Right”) for each outstanding share of common stock, par value $0.01 per share, and adopted a shareholder rights plan, as set forth in the Rights Agreement dated as of April 9, 2018 (the “Rights Agreement”), by and between the Company and American Stock Transfer &amp; Trust Company, LLC, as rights agent. The dividend was payable on April 19, 2018 to the shareholders of record on April 19, 2018. The Rights Agreement replaced the Company’s previous shareholder rights plan adopted in 2015 (the “2015 Plan”), and it became effective immediately following the expiration of the 2015 Plan at the close of business on April 9, 2018. The 2015 Plan and the preferred share purchase rights issued thereunder expired by their own terms and shareholders of the Company were not entitled to any payment as a result of the expiration of the 2015 Plan.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Rights</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by certificates that represent shares of the Company’s common stock. New Rights will accompany any new shares of common stock the Company issues after April 19, 2018 until the earlier to occur of the Distribution Date, redemption of the Rights by the Company’s Board of Directors or the final expiration of the Rights Agreement, each as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Exercise Price</w:t>
      </w:r>
    </w:p>
    <w:p>
      <w:pPr>
        <w:spacing w:after="0" w:line="23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Each Right will allow its holder to purchase from the Company one one-hundredth of a share of Series A Junior Participating Preferred Stock (“Preferred Share”) for $600.00 (the “Exercise Price”),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Exercisability</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The Rights will not be exercisable until 10 days after the public announcement that a person or group has become an “Acquiring Person” by obtaining beneficial ownership of 20% or more of the Company’s outstanding common stock.</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 Certain synthetic interests in securities created by derivative positions – whether or not such interests are considered to be ownership of the underlying common stock or are reportable for purposes of Regulation 13D of the Securities Exchange Act – are treated as beneficial ownership of the number of shares of the Company’s common stock equivalent to the economic exposure created by the derivative.</w:t>
      </w:r>
    </w:p>
    <w:p>
      <w:pPr>
        <w:spacing w:after="0" w:line="20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date when the Rights become exercisable is the “Distribution Date.” Until the Distribution Date, the common stock certificates will also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 August 2, 2019, none of the Rights were exercisable.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Consequences of a Person or Group Becoming an Acquiring Person</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If a person or group becomes an Acquiring Person, after the Distribution Date, each Right will generally entitle the holder, except the Acquiring Person or any associate or affiliate thereof, to acquire, for the exercise price of $600.00 per Right (subject to adjustment as provided in the Rights Agreement), shares of the Company’s common stock (or, in certain circumstances, Preferred Shares) having a market value equal to twice the Right’s then-current exercise price (initially $1,200.00 per Right).</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In addition, if the Company is later acquired in a merger or similar transaction after the Distribution Date, each Right will generally entitle the holder, except the Acquiring Person or any associate or affiliate thereof, to acquire, for the exercise price of $600.00 per Right (subject to adjustment as provided in the Rights Agreement), shares of the acquiring corporation having a market value equal to twice the Right’s then-current exercise price (initially $1,200.00 per Right).</w:t>
      </w:r>
    </w:p>
    <w:p>
      <w:pPr>
        <w:spacing w:after="0" w:line="20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Preferred Share Provisions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Each one one-hundredth of a Preferred Share, if issued:</w:t>
      </w:r>
    </w:p>
    <w:p>
      <w:pPr>
        <w:spacing w:after="0" w:line="24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value of one one-hundredth of a Preferred Share will generally approximate the value of one share of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Redemption</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Qualifying Offer Provision</w:t>
      </w:r>
    </w:p>
    <w:p>
      <w:pPr>
        <w:spacing w:after="0" w:line="23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The Rights would also not interfere with all-cash, fully financed tender offers for all shares of common stock that remain open for a minimum of 60 business days, are subject to a minimum condition of a majority of the outstanding shares and provide for a 20-business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will not cause the offeror or its affiliates to become an Acquiring Person, and the Rights will immediately expire upon consummation of the qualifying offer.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Anti-Dilution Provisions</w:t>
      </w:r>
    </w:p>
    <w:p>
      <w:pPr>
        <w:spacing w:after="0" w:line="233" w:lineRule="exact"/>
        <w:rPr>
          <w:sz w:val="20"/>
          <w:szCs w:val="20"/>
          <w:color w:val="auto"/>
        </w:rPr>
      </w:pPr>
    </w:p>
    <w:p>
      <w:pPr>
        <w:jc w:val="both"/>
        <w:ind w:right="20" w:firstLine="324"/>
        <w:spacing w:after="0" w:line="297" w:lineRule="auto"/>
        <w:rPr>
          <w:sz w:val="20"/>
          <w:szCs w:val="20"/>
          <w:color w:val="auto"/>
        </w:rPr>
      </w:pPr>
      <w:r>
        <w:rPr>
          <w:rFonts w:ascii="Arial" w:cs="Arial" w:eastAsia="Arial" w:hAnsi="Arial"/>
          <w:sz w:val="19"/>
          <w:szCs w:val="19"/>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Expiration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Rights Agreement expires on April 9,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13. Employee Savings Plans</w:t>
      </w:r>
    </w:p>
    <w:p>
      <w:pPr>
        <w:spacing w:after="0" w:line="24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21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Contributions under both plans may be invested in various investment funds at the employee’s discretion. Such contributions, including the Company’s matching contributions described below, may not be invested in the Company’s common stock. In 2019 and 2018, the Company matched 50% of employee contributions for each participant in the 401(k) Savings Plan up to a total of 5% of the employee’s compensation and matched 25% of employee contributions in the Non-Qualified Savings Plan up to a total of 6% of the employee’s compensation. In 2017, the Company matched 25% of employee contributions for each participant in either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20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At the inception of the Non-Qualified Savings Plan, the Company established a Rabbi Trust to fund the plan’s obligations. The market value of the trust assets for the Non-Qualified Savings Plan of $30,593 is included in other assets and the related liability to the participants of $30,593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the Company’s contributions for each plan for each of the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3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Non-Qualified Savings Plan</w:t>
            </w:r>
          </w:p>
        </w:tc>
        <w:tc>
          <w:tcPr>
            <w:tcW w:w="38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596"/>
        </w:trPr>
        <w:tc>
          <w:tcPr>
            <w:tcW w:w="2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jc w:val="right"/>
              <w:ind w:right="1819"/>
              <w:spacing w:after="0"/>
              <w:rPr>
                <w:sz w:val="20"/>
                <w:szCs w:val="20"/>
                <w:color w:val="auto"/>
              </w:rPr>
            </w:pPr>
            <w:r>
              <w:rPr>
                <w:rFonts w:ascii="Arial" w:cs="Arial" w:eastAsia="Arial" w:hAnsi="Arial"/>
                <w:sz w:val="14"/>
                <w:szCs w:val="14"/>
                <w:color w:val="auto"/>
              </w:rPr>
              <w:t>65</w:t>
            </w: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14. Income Taxes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components of the provision for income taxes for each of the three years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38,831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40,761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8,310</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6,099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(16,779)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7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42,955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30,803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A reconciliation of the Company’s provision for income taxes and income taxes based on the statutory U.S. federal rate of 21.0%, 26.9% and 35.0% in 2019, 2018 and 2017, respectively,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55,935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74,859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4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4,248</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5,066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Revaluation of deferred taxes due to a reduction in the federal tax rate at the enactment date of the</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Act</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6"/>
              </w:rPr>
              <w:t>Revaluation of deferred taxes due to the impact of the change in rate on 2018 temporary items</w:t>
            </w:r>
          </w:p>
        </w:tc>
        <w:tc>
          <w:tcPr>
            <w:tcW w:w="4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Employer tax credits for FICA taxes paid on employee tip income</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(11,543)</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employer tax credits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(2,814)</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Other-net</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42,955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30,803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increase in the Company’s provision for income taxes from 2018 to 2019 reflected the significant impact of the Tax Act. The Tax Act made broad and complex changes to the U.S. tax code, including, but not limited to, reducing the U.S. federal corporate tax rate from 35% to 21%. This rate reduction lowered deferred tax liabilities, the tax benefit of which was recognized in 2018.</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Similarly, the decrease in the Company’s provision for income taxes from 2017 to 2018 reflected the significant impact of the Tax Act. In accordance with Section 15 of the Internal Revenue Code, the Company used a blended rate of 26.9% for its fiscal 2018 tax year, by applying a prorated percentage of the number of days prior to and subsequent to the January 1, 2018 effective date of the Tax Act.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Significant components of the Company’s net deferred tax liability consisted of the following at: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220" w:type="dxa"/>
            <w:vAlign w:val="bottom"/>
            <w:gridSpan w:val="2"/>
          </w:tcPr>
          <w:p>
            <w:pPr>
              <w:ind w:left="3000"/>
              <w:spacing w:after="0"/>
              <w:rPr>
                <w:sz w:val="20"/>
                <w:szCs w:val="20"/>
                <w:color w:val="auto"/>
              </w:rPr>
            </w:pPr>
            <w:r>
              <w:rPr>
                <w:rFonts w:ascii="Arial" w:cs="Arial" w:eastAsia="Arial" w:hAnsi="Arial"/>
                <w:sz w:val="18"/>
                <w:szCs w:val="18"/>
                <w:color w:val="auto"/>
                <w:w w:val="99"/>
              </w:rPr>
              <w:t>August 2, 2019</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3,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3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33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6,496</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3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13,424</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21,379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Insurance reserves</w:t>
            </w:r>
          </w:p>
        </w:tc>
        <w:tc>
          <w:tcPr>
            <w:tcW w:w="3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7,571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Other</w:t>
            </w:r>
          </w:p>
        </w:tc>
        <w:tc>
          <w:tcPr>
            <w:tcW w:w="33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3340" w:type="dxa"/>
            <w:vAlign w:val="bottom"/>
            <w:tcBorders>
              <w:top w:val="single" w:sz="8" w:color="auto"/>
              <w:bottom w:val="single" w:sz="8" w:color="auto"/>
            </w:tcBorders>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52,279</w:t>
            </w:r>
          </w:p>
        </w:tc>
        <w:tc>
          <w:tcPr>
            <w:tcW w:w="4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85,379</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3,656</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3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96,398</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w:t>
            </w:r>
          </w:p>
        </w:tc>
        <w:tc>
          <w:tcPr>
            <w:tcW w:w="3340" w:type="dxa"/>
            <w:vAlign w:val="bottom"/>
            <w:tcBorders>
              <w:bottom w:val="single" w:sz="8" w:color="auto"/>
            </w:tcBorders>
          </w:tcPr>
          <w:p>
            <w:pPr>
              <w:ind w:left="29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44,119</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Company believes that adequate amounts of tax, interest and penalties have been provided for potential tax uncertainties; these amounts are included in other long-term liabilities in the Consolidated Balance Sheets. As of August 2, 2019 and August 3, 2018, the Company’s gross liability for uncertain tax positions, exclusive of interest and penalties, was $18,006 and $18,634, respectively.</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Summarized below is a tabular reconciliation of the beginning and ending balance of the Company’s total gross liability for uncertain tax positions exclusive of interest and penalties: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560" w:type="dxa"/>
            <w:vAlign w:val="bottom"/>
            <w:gridSpan w:val="2"/>
          </w:tcPr>
          <w:p>
            <w:pPr>
              <w:jc w:val="right"/>
              <w:ind w:right="90"/>
              <w:spacing w:after="0"/>
              <w:rPr>
                <w:sz w:val="20"/>
                <w:szCs w:val="20"/>
                <w:color w:val="auto"/>
              </w:rPr>
            </w:pPr>
            <w:r>
              <w:rPr>
                <w:rFonts w:ascii="Arial" w:cs="Arial" w:eastAsia="Arial" w:hAnsi="Arial"/>
                <w:sz w:val="18"/>
                <w:szCs w:val="18"/>
                <w:color w:val="auto"/>
              </w:rPr>
              <w:t>August 2, 2019</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August 3, 2018</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18,634</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20,731</w:t>
            </w:r>
          </w:p>
        </w:tc>
        <w:tc>
          <w:tcPr>
            <w:tcW w:w="4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 positions related to the current year:</w:t>
            </w:r>
          </w:p>
        </w:tc>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2,742</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3,029</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Reductions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related to the prior year:</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Settlements</w:t>
            </w:r>
          </w:p>
        </w:tc>
        <w:tc>
          <w:tcPr>
            <w:tcW w:w="2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(3,878)</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(1,027)</w:t>
            </w: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6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18,006</w:t>
            </w: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18,634</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3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14,225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14,721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Company had $6,297, $5,681, and $6,128 in interest and penalties accrued as of August 2, 2019, August 3, 2018, and July 28, 2017, respectively.</w:t>
      </w:r>
    </w:p>
    <w:p>
      <w:pPr>
        <w:spacing w:after="0" w:line="20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Company recognized accrued interest and penalties related to unrecognized tax benefits of $616, $(447) and $631 in its provision for income taxes on August 2, 2019, August 3, 2018 and July 28, 2017, respectively. The increase from 2018 to 2019 was primarily attributable to additional accruals in excess of settlements and expirations. The decrease from 2017 to 2018 was primarily attributable to audit settlements in 2018.</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August 2, 2019 by approximately $3,000 to $4,000 within the next twelve months. At August 2, 2019, the Company was subject to income tax examinations for its U.S. federal income taxes after 2015 and for state and local income taxes generally after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15. Net Income Per Share and Weighted Average Shares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reconciles the components of diluted earnings per share computations: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223,401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247,620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24,037,272</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24,011,161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24,031,810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Nonvested stock awards and units, MSU Grants and stock options</w:t>
            </w:r>
          </w:p>
        </w:tc>
        <w:tc>
          <w:tcPr>
            <w:tcW w:w="1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59,124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64,453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1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24,096,396</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24,075,614</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24,118,288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16. Commitments and Contingencies</w:t>
      </w:r>
    </w:p>
    <w:p>
      <w:pPr>
        <w:spacing w:after="0" w:line="24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1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21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Related to its insurance coverage, the Company is contingently liable pursuant to standby letters of credit as credit guarantees to certain insurers. As of August 2, 2019, the Company had $8,955 of standby letters of credit related to securing reserved claims under workers’ compensation insurance. All standby letters of credit are renewable annually and reduce the Company’s borrowing availability under its Revolving Credit facility (see Note 6).</w:t>
      </w:r>
    </w:p>
    <w:p>
      <w:pPr>
        <w:spacing w:after="0" w:line="2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As of August 2, 2019, the Company is secondarily liable for lease payments associated with two properties. The Company is not aware of any non-performance under these lease arrangements that would result in the Company having to perform in accordance with the terms of these guarantees, and therefore, no provision has been recorded in the Consolidated Balance Sheets for amounts to be paid in case of non-performance by the third party by the primary obligor under such lease agreements.</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enters into certain indemnification agreements in favor of third parties in the ordinary course of business. The Company believes that the probability of incurring an actual liability under other indemnification agreements is sufficiently remote so that no liability has been recorded in the Consolidated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17. Quarterly Financial Data (Unaudited)</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Quarterly financial data for 2019 and 2018 are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4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r>
              <w:rPr>
                <w:rFonts w:ascii="Arial" w:cs="Arial" w:eastAsia="Arial" w:hAnsi="Arial"/>
                <w:sz w:val="30"/>
                <w:szCs w:val="30"/>
                <w:color w:val="auto"/>
                <w:vertAlign w:val="superscript"/>
              </w:rPr>
              <w:t>(a)</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w:t>
            </w:r>
            <w:r>
              <w:rPr>
                <w:rFonts w:ascii="Arial" w:cs="Arial" w:eastAsia="Arial" w:hAnsi="Arial"/>
                <w:sz w:val="30"/>
                <w:szCs w:val="30"/>
                <w:color w:val="auto"/>
                <w:w w:val="87"/>
                <w:vertAlign w:val="superscript"/>
              </w:rPr>
              <w:t>rd</w:t>
            </w:r>
            <w:r>
              <w:rPr>
                <w:rFonts w:ascii="Arial" w:cs="Arial" w:eastAsia="Arial" w:hAnsi="Arial"/>
                <w:sz w:val="18"/>
                <w:szCs w:val="18"/>
                <w:color w:val="auto"/>
                <w:w w:val="87"/>
              </w:rPr>
              <w:t xml:space="preserve"> Quarter</w:t>
            </w:r>
          </w:p>
        </w:tc>
        <w:tc>
          <w:tcPr>
            <w:tcW w:w="1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w w:val="97"/>
              </w:rPr>
              <w:t>4</w:t>
            </w:r>
            <w:r>
              <w:rPr>
                <w:rFonts w:ascii="Arial" w:cs="Arial" w:eastAsia="Arial" w:hAnsi="Arial"/>
                <w:sz w:val="30"/>
                <w:szCs w:val="30"/>
                <w:color w:val="auto"/>
                <w:w w:val="97"/>
                <w:vertAlign w:val="superscript"/>
              </w:rPr>
              <w:t>th</w:t>
            </w:r>
            <w:r>
              <w:rPr>
                <w:rFonts w:ascii="Arial" w:cs="Arial" w:eastAsia="Arial" w:hAnsi="Arial"/>
                <w:sz w:val="18"/>
                <w:szCs w:val="18"/>
                <w:color w:val="auto"/>
                <w:w w:val="97"/>
              </w:rPr>
              <w:t xml:space="preserve"> Quarter</w:t>
            </w:r>
            <w:r>
              <w:rPr>
                <w:rFonts w:ascii="Arial" w:cs="Arial" w:eastAsia="Arial" w:hAnsi="Arial"/>
                <w:sz w:val="30"/>
                <w:szCs w:val="30"/>
                <w:color w:val="auto"/>
                <w:w w:val="97"/>
                <w:vertAlign w:val="superscript"/>
              </w:rPr>
              <w:t>(b)</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2019</w:t>
            </w:r>
          </w:p>
        </w:tc>
        <w:tc>
          <w:tcPr>
            <w:tcW w:w="1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733,543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811,707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739,603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787,098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100,613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112,935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102,210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119,912</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72,534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47,207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60,755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65,025</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revenue</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710,368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787,771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721,413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810,893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112,686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118,213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67,220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72,994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59,715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78,494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61,354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r>
      <w:tr>
        <w:trPr>
          <w:trHeight w:val="223"/>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660" w:right="28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recorded a provisional tax benefit for the re-measurement of deferred tax liabilities of $27,032 and $2,500 for long-term and short-term liabilities in the second quarter of fiscal 2018 as a result of the Tax Act.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fourth quarter of fiscal 2018 consisted of 14 weeks.</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4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August 2, 2019, our disclosure controls and procedures were effective.</w:t>
      </w:r>
    </w:p>
    <w:p>
      <w:pPr>
        <w:spacing w:after="0" w:line="21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There have been no changes (including corrective actions with regard to significant deficiencies and material weaknesses) during the quarter ended August 2, 2019 in our internal control over financial reporting (as defined in Exchange Act Rule 13a-15(f)) that have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Management’s Report on Internal Control over Financial Reporting</w:t>
      </w:r>
    </w:p>
    <w:p>
      <w:pPr>
        <w:spacing w:after="0" w:line="23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201"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20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 xml:space="preserve">We conducted an evaluation of the effectiveness of our internal control over financial reporting based on the framework in </w:t>
      </w:r>
      <w:r>
        <w:rPr>
          <w:rFonts w:ascii="Arial" w:cs="Arial" w:eastAsia="Arial" w:hAnsi="Arial"/>
          <w:sz w:val="21"/>
          <w:szCs w:val="21"/>
          <w:i w:val="1"/>
          <w:iCs w:val="1"/>
          <w:color w:val="auto"/>
        </w:rPr>
        <w:t xml:space="preserve">Internal Control—Integrated Framework </w:t>
      </w:r>
      <w:r>
        <w:rPr>
          <w:rFonts w:ascii="Arial" w:cs="Arial" w:eastAsia="Arial" w:hAnsi="Arial"/>
          <w:sz w:val="21"/>
          <w:szCs w:val="21"/>
          <w:color w:val="auto"/>
        </w:rPr>
        <w:t>(2013) issued by the Committee of Sponsoring Organizations of the Treadway</w:t>
      </w:r>
      <w:r>
        <w:rPr>
          <w:rFonts w:ascii="Arial" w:cs="Arial" w:eastAsia="Arial" w:hAnsi="Arial"/>
          <w:sz w:val="21"/>
          <w:szCs w:val="21"/>
          <w:i w:val="1"/>
          <w:iCs w:val="1"/>
          <w:color w:val="auto"/>
        </w:rPr>
        <w:t xml:space="preserve"> </w:t>
      </w:r>
      <w:r>
        <w:rPr>
          <w:rFonts w:ascii="Arial" w:cs="Arial" w:eastAsia="Arial" w:hAnsi="Arial"/>
          <w:sz w:val="21"/>
          <w:szCs w:val="21"/>
          <w:color w:val="auto"/>
        </w:rPr>
        <w:t>Commission. This evaluation included review of the documentation of controls, evaluation of the design effectiveness of controls, testing of the operating effectiveness of controls and a conclusion based on this evaluation. We have concluded that our internal control over financial reporting was effective as of August 2, 2019, based on these criteria.</w:t>
      </w:r>
    </w:p>
    <w:p>
      <w:pPr>
        <w:spacing w:after="0" w:line="206"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In addition, Deloitte &amp; Touche LLP, an independent registered public accounting firm, has issued an attestation report on our internal control over financial reporting, which is included herein.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Jill M. Golder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 of Cracker Barrel Old Country Store, Inc.</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Internal Control over Financial Reporting</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We have audited the internal control over financial reporting of Cracker Barrel Old Country Store, Inc. and subsidiaries (the “Company”) as of August 2, 2019, based on criteria established in </w:t>
      </w:r>
      <w:r>
        <w:rPr>
          <w:rFonts w:ascii="Arial" w:cs="Arial" w:eastAsia="Arial" w:hAnsi="Arial"/>
          <w:sz w:val="22"/>
          <w:szCs w:val="22"/>
          <w:i w:val="1"/>
          <w:iCs w:val="1"/>
          <w:color w:val="auto"/>
        </w:rPr>
        <w:t>Internal Control—Integrated Framework (2013</w:t>
      </w:r>
      <w:r>
        <w:rPr>
          <w:rFonts w:ascii="Arial" w:cs="Arial" w:eastAsia="Arial" w:hAnsi="Arial"/>
          <w:sz w:val="22"/>
          <w:szCs w:val="22"/>
          <w:color w:val="auto"/>
        </w:rPr>
        <w:t xml:space="preserve">) issued by the Committee of Sponsoring Organizations of the Treadway Commission (COSO). In our opinion, the Company maintained, in all material respects, effective internal control over financial reporting as of August 2, 2019, based on criteria established in </w:t>
      </w:r>
      <w:r>
        <w:rPr>
          <w:rFonts w:ascii="Arial" w:cs="Arial" w:eastAsia="Arial" w:hAnsi="Arial"/>
          <w:sz w:val="22"/>
          <w:szCs w:val="22"/>
          <w:i w:val="1"/>
          <w:iCs w:val="1"/>
          <w:color w:val="auto"/>
        </w:rPr>
        <w:t>Internal</w:t>
      </w:r>
      <w:r>
        <w:rPr>
          <w:rFonts w:ascii="Arial" w:cs="Arial" w:eastAsia="Arial" w:hAnsi="Arial"/>
          <w:sz w:val="22"/>
          <w:szCs w:val="22"/>
          <w:color w:val="auto"/>
        </w:rPr>
        <w:t xml:space="preserve"> </w:t>
      </w:r>
      <w:r>
        <w:rPr>
          <w:rFonts w:ascii="Arial" w:cs="Arial" w:eastAsia="Arial" w:hAnsi="Arial"/>
          <w:sz w:val="22"/>
          <w:szCs w:val="22"/>
          <w:i w:val="1"/>
          <w:iCs w:val="1"/>
          <w:color w:val="auto"/>
        </w:rPr>
        <w:t>Control — Integrated Framework (2013</w:t>
      </w:r>
      <w:r>
        <w:rPr>
          <w:rFonts w:ascii="Arial" w:cs="Arial" w:eastAsia="Arial" w:hAnsi="Arial"/>
          <w:sz w:val="22"/>
          <w:szCs w:val="22"/>
          <w:color w:val="auto"/>
        </w:rPr>
        <w:t>) issued by COSO.</w:t>
      </w:r>
    </w:p>
    <w:p>
      <w:pPr>
        <w:spacing w:after="0" w:line="21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have also audited, in accordance with the standards of the Public Company Accounting Oversight Board (United States) (PCAOB), the consolidated financial statements as of and for the year ended August 2, 2019, of the Company and our report dated September 27, 2019,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and Limitations of Internal Control over Financial Reporting</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Nashville, Tennessee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27, 2019</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III</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4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 information required by this Item with respect to directors of the Company is incorporated herein by this reference to the following sections of the 2019 Proxy Statement: “Board of Directors and Committees,” “Proposal 1: Election of Directors,” “Section 16(a) Beneficial Ownership Reporting Compliance” and “Certain Relationships and Related Transactions—Code of Ethics.” The information required by this Item with respect to executive officers of the Company is set forth in Part I of this Annual Report on Form 10-K under the heading “Executive Officers of the Registrant.”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information required by this Item is incorporated herein by this reference to the following sections of the 2019 Proxy</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Statement: “Executive Compensation” and “Board of Directors and Committees</w:t>
      </w:r>
      <w:r>
        <w:rPr>
          <w:rFonts w:ascii="Arial" w:cs="Arial" w:eastAsia="Arial" w:hAnsi="Arial"/>
          <w:sz w:val="19"/>
          <w:szCs w:val="19"/>
          <w:i w:val="1"/>
          <w:iCs w:val="1"/>
          <w:color w:val="auto"/>
        </w:rPr>
        <w:t>—</w:t>
      </w:r>
      <w:r>
        <w:rPr>
          <w:rFonts w:ascii="Arial" w:cs="Arial" w:eastAsia="Arial" w:hAnsi="Arial"/>
          <w:sz w:val="19"/>
          <w:szCs w:val="19"/>
          <w:color w:val="auto"/>
        </w:rPr>
        <w:t>Compensation of Directors.” The “Compensation Committee Report” set forth in the section of the 2019 Proxy Statement entitled “Executive Compensation” is deemed to be “furnished” and is not, and shall not be deemed to be, “filed” for purposes of Section 18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4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The information required by this Item is incorporated herein by this reference to the sections entitled “Stock Ownership of Certain Beneficial Owners and Management” and “Equity Compensation Plan Information” in the 2019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4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information required by this Item is incorporated herein by this reference to the sections entitled “Certain Relationships and Related Transactions” and “Director Independence” in the 2019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4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 information required by this Item is incorporated herein by this reference to the sections entitled “Fees Paid to Auditors” and “Audit Committee Report” in the 2019 Proxy Statement. No other portion of the section of the 2019 Proxy Statement entitled “Audit Committee Report” is, nor shall it be deemed to be, incorporated by reference into this Annual Report on Form 10-K.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52"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25" w:lineRule="exact"/>
        <w:rPr>
          <w:rFonts w:ascii="Arial" w:cs="Arial" w:eastAsia="Arial" w:hAnsi="Arial"/>
          <w:sz w:val="18"/>
          <w:szCs w:val="18"/>
          <w:color w:val="auto"/>
        </w:rPr>
      </w:pPr>
    </w:p>
    <w:p>
      <w:pPr>
        <w:ind w:left="1800" w:right="1020" w:hanging="495"/>
        <w:spacing w:after="0" w:line="277" w:lineRule="auto"/>
        <w:tabs>
          <w:tab w:leader="none" w:pos="1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schedules have been omitted since they are either not required or not applicable, or the required information is included.</w:t>
      </w:r>
    </w:p>
    <w:p>
      <w:pPr>
        <w:spacing w:after="0" w:line="170" w:lineRule="exact"/>
        <w:rPr>
          <w:rFonts w:ascii="Arial" w:cs="Arial" w:eastAsia="Arial" w:hAnsi="Arial"/>
          <w:sz w:val="18"/>
          <w:szCs w:val="18"/>
          <w:color w:val="auto"/>
        </w:rPr>
      </w:pPr>
    </w:p>
    <w:p>
      <w:pPr>
        <w:ind w:left="1800" w:right="1020" w:hanging="495"/>
        <w:spacing w:after="0" w:line="277" w:lineRule="auto"/>
        <w:tabs>
          <w:tab w:leader="none" w:pos="1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exhibits listed in the accompanying Index to Exhibits immediately prior to the signature page to this Annual Report on Form 10-K.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INDEX TO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11"/>
          </w:tcPr>
          <w:p>
            <w:pPr>
              <w:spacing w:after="0"/>
              <w:rPr>
                <w:sz w:val="20"/>
                <w:szCs w:val="20"/>
                <w:color w:val="auto"/>
              </w:rPr>
            </w:pPr>
            <w:r>
              <w:rPr>
                <w:rFonts w:ascii="Arial" w:cs="Arial" w:eastAsia="Arial" w:hAnsi="Arial"/>
                <w:sz w:val="18"/>
                <w:szCs w:val="18"/>
                <w:color w:val="auto"/>
              </w:rPr>
              <w:t>Exhibit</w:t>
            </w:r>
          </w:p>
        </w:tc>
        <w:tc>
          <w:tcPr>
            <w:tcW w:w="10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3(I)</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4(a)</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Amended and Restated Charter of Cracker Barrel Old Country Store, Inc.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3(II), 4(b)</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Amended and Restated Bylaws of Cracker Barrel Old Country Store, Inc.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4(c)</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10(b)</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Credit Agreement, dated as of September 5, 2018, among Cracker Barrel Old Country Store, Inc., the Subsidiary Guarantors named therein,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Lenders party thereto, and Bank of America, N.A., as Administrative Agent and Collateral Agent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4(d)</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10(c)</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First Amendment to Credit Agreement, dated as of July 18, 2019, among Cracker Barrel Old Country Store, Inc., the Subsidiary Guarantors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named therein, the Lenders party thereto, and Bank of America, N.A., as Administrative Agent and Collateral Agent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4(e)</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Rights Agreement, dated as of April 9, 2018, between Cracker Barrel Old Country Store, Inc. and American Stock Transfer &amp; Trust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Company, LLC, as rights agent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4(f)</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Description of Capital Stock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10(d)</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Form of Stock Option Award under the CBRL Group, Inc. 2002 Omnibus Incentive Compensation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10(e)</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89"/>
              </w:rPr>
              <w:t>Master Lease, dated July 31,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lease of 21 Cracker Barrel Old Country Store® sites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10(f)</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89"/>
              </w:rPr>
              <w:t>Master Lease, dated July 31,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lease of nine Cracker Barrel Old Country Store® sites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10(g)</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Master Lease, dated July 31, 2000, between Country Stores Property II,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Lessee, for lease of 23 Cracker Barrel Old Country Store® sites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10(h)</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Master Lease, dated July 31, 2000, between Country Stores Property III,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Lessee, for lease of 12 Cracker Barrel Old Country Store® sites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10(i)</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Cracker Barrel Old Country Store, Inc. Amended and Restated Stock Option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10(j)</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Cracker Barrel Old Country Store, Inc. Corporate Policy—Severance Benefits Policy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10(k)</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Cracker Barrel Old Country Store, Inc. 2002 Omnibus Incentive Compensation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10(l)</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Cracker Barrel Old Country Store, Inc. 2010 Omnibus Stock and Incentive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10(m)</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Cracker Barrel Old Country Store, Inc. Form of Performance-Based Stock Unit Award</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10(n)</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Cracker Barrel Old Country Store, Inc. Non-Qualified Savings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10(o)</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Cracker Barrel Old Country Store, Inc. Deferred Compensation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10"/>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10(p)</w:t>
              </w:r>
            </w:hyperlink>
          </w:p>
        </w:tc>
        <w:tc>
          <w:tcPr>
            <w:tcW w:w="10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Amendment to Deferred Compensation Plan</w:t>
            </w:r>
            <w:r>
              <w:rPr>
                <w:rFonts w:ascii="Arial" w:cs="Arial" w:eastAsia="Arial" w:hAnsi="Arial"/>
                <w:sz w:val="20"/>
                <w:szCs w:val="20"/>
                <w:color w:val="auto"/>
                <w:vertAlign w:val="superscript"/>
              </w:rPr>
              <w:t>†</w:t>
            </w: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460" w:type="dxa"/>
            <w:vAlign w:val="bottom"/>
            <w:tcBorders>
              <w:top w:val="single" w:sz="8" w:color="CCEEFF"/>
            </w:tcBorders>
          </w:tcPr>
          <w:p>
            <w:pPr>
              <w:ind w:left="468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7"/>
          </w:tcPr>
          <w:p>
            <w:pPr>
              <w:spacing w:after="0"/>
              <w:rPr>
                <w:rFonts w:ascii="Arial" w:cs="Arial" w:eastAsia="Arial" w:hAnsi="Arial"/>
                <w:sz w:val="14"/>
                <w:szCs w:val="14"/>
                <w:i w:val="1"/>
                <w:iCs w:val="1"/>
                <w:color w:val="0000EE"/>
                <w:w w:val="95"/>
              </w:rPr>
            </w:pPr>
            <w:hyperlink w:anchor="page3">
              <w:r>
                <w:rPr>
                  <w:rFonts w:ascii="Arial" w:cs="Arial" w:eastAsia="Arial" w:hAnsi="Arial"/>
                  <w:sz w:val="14"/>
                  <w:szCs w:val="14"/>
                  <w:i w:val="1"/>
                  <w:iCs w:val="1"/>
                  <w:color w:val="0000EE"/>
                  <w:w w:val="95"/>
                </w:rPr>
                <w:t>Table of Contents</w:t>
              </w:r>
            </w:hyperlink>
          </w:p>
        </w:tc>
        <w:tc>
          <w:tcPr>
            <w:tcW w:w="48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10(q)</w:t>
              </w:r>
            </w:hyperlink>
          </w:p>
        </w:tc>
        <w:tc>
          <w:tcPr>
            <w:tcW w:w="1034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3"/>
                <w:szCs w:val="13"/>
                <w:color w:val="auto"/>
              </w:rPr>
              <w:t>Cracker Barrel Old Country Store, Inc. Form of Restricted Stock Award Notice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10(r)</w:t>
              </w:r>
            </w:hyperlink>
          </w:p>
        </w:tc>
        <w:tc>
          <w:tcPr>
            <w:tcW w:w="48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Cracker Barrel Old Country Store, Inc. and Subsidiaries FY 2017</w:t>
            </w:r>
          </w:p>
        </w:tc>
        <w:tc>
          <w:tcPr>
            <w:tcW w:w="552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10(s)</w:t>
              </w:r>
            </w:hyperlink>
          </w:p>
        </w:tc>
        <w:tc>
          <w:tcPr>
            <w:tcW w:w="48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Cracker Barrel Old Country Store, Inc. and Subsidiaries FY 2018</w:t>
            </w:r>
          </w:p>
        </w:tc>
        <w:tc>
          <w:tcPr>
            <w:tcW w:w="552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10(t)</w:t>
              </w:r>
            </w:hyperlink>
          </w:p>
        </w:tc>
        <w:tc>
          <w:tcPr>
            <w:tcW w:w="1034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3"/>
                <w:szCs w:val="13"/>
                <w:color w:val="auto"/>
              </w:rPr>
              <w:t>Form of Severance Agreement between Cracker Barrel Old Country Store, Inc., and certain of its named executive officers</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10(u)</w:t>
              </w:r>
            </w:hyperlink>
          </w:p>
        </w:tc>
        <w:tc>
          <w:tcPr>
            <w:tcW w:w="1034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3"/>
                <w:szCs w:val="13"/>
                <w:color w:val="auto"/>
              </w:rPr>
              <w:t>Form of Change of Control Agreement between Cracker Barrel Old Country Store, Inc., and certain of its named executive officers</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10(v)</w:t>
              </w:r>
            </w:hyperlink>
          </w:p>
        </w:tc>
        <w:tc>
          <w:tcPr>
            <w:tcW w:w="1034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3"/>
                <w:szCs w:val="13"/>
                <w:color w:val="auto"/>
              </w:rPr>
              <w:t>Employment Agreement with Sandra B. Cochran, dated as of July 27, 2018</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10(w)</w:t>
              </w:r>
            </w:hyperlink>
          </w:p>
        </w:tc>
        <w:tc>
          <w:tcPr>
            <w:tcW w:w="48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Cracker Barrel Old Country Store, Inc. and Subsidiaries FY 2019</w:t>
            </w:r>
          </w:p>
        </w:tc>
        <w:tc>
          <w:tcPr>
            <w:tcW w:w="552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Annual Bonus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6"/>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10(x)</w:t>
              </w:r>
            </w:hyperlink>
          </w:p>
        </w:tc>
        <w:tc>
          <w:tcPr>
            <w:tcW w:w="48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Cracker Barrel Old Country Store, Inc. and Subsidiaries FY 2019</w:t>
            </w:r>
          </w:p>
        </w:tc>
        <w:tc>
          <w:tcPr>
            <w:tcW w:w="552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hanging="1152"/>
        <w:spacing w:after="0"/>
        <w:tabs>
          <w:tab w:leader="none" w:pos="1160" w:val="left"/>
        </w:tabs>
        <w:numPr>
          <w:ilvl w:val="0"/>
          <w:numId w:val="30"/>
        </w:numPr>
        <w:rPr>
          <w:rFonts w:ascii="Arial" w:cs="Arial" w:eastAsia="Arial" w:hAnsi="Arial"/>
          <w:sz w:val="18"/>
          <w:szCs w:val="18"/>
          <w:u w:val="single" w:color="auto"/>
          <w:color w:val="0000EE"/>
        </w:rPr>
      </w:pPr>
      <w:r>
        <w:rPr>
          <w:rFonts w:ascii="Arial" w:cs="Arial" w:eastAsia="Arial" w:hAnsi="Arial"/>
          <w:sz w:val="18"/>
          <w:szCs w:val="18"/>
          <w:color w:val="auto"/>
        </w:rPr>
        <w:t>Subsidiaries of the Registrant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160" w:hanging="1152"/>
        <w:spacing w:after="0"/>
        <w:tabs>
          <w:tab w:leader="none" w:pos="1160" w:val="left"/>
        </w:tabs>
        <w:numPr>
          <w:ilvl w:val="0"/>
          <w:numId w:val="31"/>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 Deloitte &amp; Touche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00" w:type="dxa"/>
            <w:vAlign w:val="bottom"/>
            <w:gridSpan w:val="2"/>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500" w:type="dxa"/>
            <w:vAlign w:val="bottom"/>
          </w:tcPr>
          <w:p>
            <w:pPr>
              <w:ind w:left="47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April 10, 2012 (Commission File No. 000-25225).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February 24, 2012 (Commission File No. 000-25225).</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September 10, 2018.</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Current Report on Form 8-K filed under the Exchange Act on April 9, 2018.</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10(l) to the Company’s Annual Report on Form 10-K filed under the Exchange Act for the fiscal year ended July 29, 2005 (Commission File No. 000-25225).</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10(r) to the Company’s Annual Report on Form 10-K filed under the Exchange Act for the fiscal year ended July 28, 2000 (Commission File No. 000-25225).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10(d) to the Company’s Annual Report on Form 10-K filed under the Exchange Act for the fiscal year ended July 28, 2017.</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10(e) to the Company’s Annual Report on Form 10-K filed under the Exchange Act for the fiscal year ended July 28, 2017.</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10(f) to the Company’s Annual Report on Form 10-K filed under the Exchange Act for the fiscal year ended July 28, 2017.</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January 30, 2009 (Commission File No. 000-25225).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1, 2009 (Commission File No. 000-25225).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January 29, 2010 (Commission File No. 000-25225).</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Current Report on Form 8-K filed under the Exchange Act on July 31, 2013 (Commission File No. 000-25225).</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28, 2016.</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3, 2017.</w:t>
      </w:r>
    </w:p>
    <w:p>
      <w:pPr>
        <w:spacing w:after="0" w:line="236" w:lineRule="exact"/>
        <w:rPr>
          <w:rFonts w:ascii="Arial" w:cs="Arial" w:eastAsia="Arial" w:hAnsi="Arial"/>
          <w:sz w:val="17"/>
          <w:szCs w:val="17"/>
          <w:color w:val="auto"/>
        </w:rPr>
      </w:pPr>
    </w:p>
    <w:p>
      <w:pPr>
        <w:ind w:left="580" w:right="3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April 27, 2018.</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April 27, 2018.</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July 30, 2018.</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10(x) to the Company’s Annual Report on Form 10-K filed under the Exchange Act on September 28, 2018.</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10(y) to the Company’s Annual Report on Form 10-K filed under the Exchange Act on September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-9170670</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-8758555</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-8347075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-8072755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-7798435</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-7386955</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-6974840</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-6563360</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-6151880</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-5328285</wp:posOffset>
            </wp:positionV>
            <wp:extent cx="72466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-4916805</wp:posOffset>
            </wp:positionV>
            <wp:extent cx="72466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-4505325</wp:posOffset>
            </wp:positionV>
            <wp:extent cx="72466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-4093845</wp:posOffset>
            </wp:positionV>
            <wp:extent cx="72466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-3681730</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-3270250</wp:posOffset>
            </wp:positionV>
            <wp:extent cx="72466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-2858770</wp:posOffset>
            </wp:positionV>
            <wp:extent cx="72466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-2447290</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-2035175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-1760855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-1486535</wp:posOffset>
            </wp:positionV>
            <wp:extent cx="72466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-1075055</wp:posOffset>
            </wp:positionV>
            <wp:extent cx="72466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ectPr>
          <w:pgSz w:w="11900" w:h="16838" w:orient="portrait"/>
          <w:cols w:equalWidth="0" w:num="1">
            <w:col w:w="11420"/>
          </w:cols>
          <w:pgMar w:left="240" w:top="122" w:right="239" w:bottom="349"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349"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Pursuant to the requirements of Section 13 or 15(d) of the Securities Exchange Act of 1934, the registrant has duly caused this report to be signed on its behalf by the undersigned, thereunto duly authorized on this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of September, 2019.</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/s/Sandra B. Cochran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President and Chief Executive Officer</w:t>
      </w:r>
    </w:p>
    <w:p>
      <w:pPr>
        <w:spacing w:after="0" w:line="2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in the capacities on this 27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September,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gridSpan w:val="13"/>
          </w:tcPr>
          <w:p>
            <w:pPr>
              <w:spacing w:after="0"/>
              <w:rPr>
                <w:sz w:val="20"/>
                <w:szCs w:val="20"/>
                <w:color w:val="auto"/>
              </w:rPr>
            </w:pPr>
            <w:r>
              <w:rPr>
                <w:rFonts w:ascii="Arial" w:cs="Arial" w:eastAsia="Arial" w:hAnsi="Arial"/>
                <w:sz w:val="18"/>
                <w:szCs w:val="18"/>
                <w:b w:val="1"/>
                <w:bCs w:val="1"/>
                <w:color w:val="auto"/>
              </w:rPr>
              <w:t>Name</w:t>
            </w:r>
          </w:p>
        </w:tc>
        <w:tc>
          <w:tcPr>
            <w:tcW w:w="8560" w:type="dxa"/>
            <w:vAlign w:val="bottom"/>
          </w:tcPr>
          <w:p>
            <w:pPr>
              <w:ind w:left="1100"/>
              <w:spacing w:after="0"/>
              <w:rPr>
                <w:sz w:val="20"/>
                <w:szCs w:val="20"/>
                <w:color w:val="auto"/>
              </w:rPr>
            </w:pPr>
            <w:r>
              <w:rPr>
                <w:rFonts w:ascii="Arial" w:cs="Arial" w:eastAsia="Arial" w:hAnsi="Arial"/>
                <w:sz w:val="18"/>
                <w:szCs w:val="18"/>
                <w:b w:val="1"/>
                <w:bCs w:val="1"/>
                <w:color w:val="auto"/>
              </w:rPr>
              <w:t>Title</w:t>
            </w:r>
          </w:p>
        </w:tc>
      </w:tr>
      <w:tr>
        <w:trPr>
          <w:trHeight w:val="392"/>
        </w:trPr>
        <w:tc>
          <w:tcPr>
            <w:tcW w:w="2860" w:type="dxa"/>
            <w:vAlign w:val="bottom"/>
            <w:gridSpan w:val="13"/>
          </w:tcPr>
          <w:p>
            <w:pPr>
              <w:spacing w:after="0"/>
              <w:rPr>
                <w:sz w:val="20"/>
                <w:szCs w:val="20"/>
                <w:color w:val="auto"/>
              </w:rPr>
            </w:pPr>
            <w:r>
              <w:rPr>
                <w:rFonts w:ascii="Arial" w:cs="Arial" w:eastAsia="Arial" w:hAnsi="Arial"/>
                <w:sz w:val="18"/>
                <w:szCs w:val="18"/>
                <w:color w:val="auto"/>
              </w:rPr>
              <w:t>/s/Sandra B. Cochran</w:t>
            </w:r>
          </w:p>
        </w:tc>
        <w:tc>
          <w:tcPr>
            <w:tcW w:w="8560" w:type="dxa"/>
            <w:vAlign w:val="bottom"/>
          </w:tcPr>
          <w:p>
            <w:pPr>
              <w:spacing w:after="0"/>
              <w:rPr>
                <w:sz w:val="24"/>
                <w:szCs w:val="24"/>
                <w:color w:val="auto"/>
              </w:rPr>
            </w:pPr>
          </w:p>
        </w:tc>
      </w:tr>
      <w:tr>
        <w:trPr>
          <w:trHeight w:val="237"/>
        </w:trPr>
        <w:tc>
          <w:tcPr>
            <w:tcW w:w="15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w w:val="99"/>
              </w:rPr>
              <w:t>Sandra B. Cochran</w:t>
            </w:r>
          </w:p>
        </w:tc>
        <w:tc>
          <w:tcPr>
            <w:tcW w:w="1320" w:type="dxa"/>
            <w:vAlign w:val="bottom"/>
            <w:gridSpan w:val="5"/>
          </w:tcPr>
          <w:p>
            <w:pPr>
              <w:spacing w:after="0"/>
              <w:rPr>
                <w:sz w:val="20"/>
                <w:szCs w:val="20"/>
                <w:color w:val="auto"/>
              </w:rPr>
            </w:pPr>
          </w:p>
        </w:tc>
        <w:tc>
          <w:tcPr>
            <w:tcW w:w="8560" w:type="dxa"/>
            <w:vAlign w:val="bottom"/>
          </w:tcPr>
          <w:p>
            <w:pPr>
              <w:ind w:left="110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/s/Jill M. Golder</w:t>
            </w:r>
          </w:p>
        </w:tc>
        <w:tc>
          <w:tcPr>
            <w:tcW w:w="1660" w:type="dxa"/>
            <w:vAlign w:val="bottom"/>
            <w:gridSpan w:val="12"/>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3"/>
          </w:tcPr>
          <w:p>
            <w:pPr>
              <w:spacing w:after="0"/>
              <w:rPr>
                <w:sz w:val="20"/>
                <w:szCs w:val="20"/>
                <w:color w:val="auto"/>
              </w:rPr>
            </w:pPr>
            <w:r>
              <w:rPr>
                <w:rFonts w:ascii="Arial" w:cs="Arial" w:eastAsia="Arial" w:hAnsi="Arial"/>
                <w:sz w:val="18"/>
                <w:szCs w:val="18"/>
                <w:color w:val="auto"/>
              </w:rPr>
              <w:t>Jill M. Golder</w:t>
            </w:r>
          </w:p>
        </w:tc>
        <w:tc>
          <w:tcPr>
            <w:tcW w:w="8560" w:type="dxa"/>
            <w:vAlign w:val="bottom"/>
          </w:tcPr>
          <w:p>
            <w:pPr>
              <w:ind w:left="1100"/>
              <w:spacing w:after="0"/>
              <w:rPr>
                <w:sz w:val="20"/>
                <w:szCs w:val="20"/>
                <w:color w:val="auto"/>
              </w:rPr>
            </w:pPr>
            <w:r>
              <w:rPr>
                <w:rFonts w:ascii="Arial" w:cs="Arial" w:eastAsia="Arial" w:hAnsi="Arial"/>
                <w:sz w:val="18"/>
                <w:szCs w:val="18"/>
                <w:color w:val="auto"/>
              </w:rPr>
              <w:t>Senior Vice President and Chief Financial Officer (Principal Financial Officer)</w:t>
            </w:r>
          </w:p>
        </w:tc>
      </w:tr>
      <w:tr>
        <w:trPr>
          <w:trHeight w:val="392"/>
        </w:trPr>
        <w:tc>
          <w:tcPr>
            <w:tcW w:w="2860" w:type="dxa"/>
            <w:vAlign w:val="bottom"/>
            <w:gridSpan w:val="13"/>
          </w:tcPr>
          <w:p>
            <w:pPr>
              <w:spacing w:after="0"/>
              <w:rPr>
                <w:sz w:val="20"/>
                <w:szCs w:val="20"/>
                <w:color w:val="auto"/>
              </w:rPr>
            </w:pPr>
            <w:r>
              <w:rPr>
                <w:rFonts w:ascii="Arial" w:cs="Arial" w:eastAsia="Arial" w:hAnsi="Arial"/>
                <w:sz w:val="18"/>
                <w:szCs w:val="18"/>
                <w:color w:val="auto"/>
              </w:rPr>
              <w:t>/s/Jeffrey M. Wilson</w:t>
            </w:r>
          </w:p>
        </w:tc>
        <w:tc>
          <w:tcPr>
            <w:tcW w:w="8560" w:type="dxa"/>
            <w:vAlign w:val="bottom"/>
          </w:tcPr>
          <w:p>
            <w:pPr>
              <w:spacing w:after="0"/>
              <w:rPr>
                <w:sz w:val="24"/>
                <w:szCs w:val="24"/>
                <w:color w:val="auto"/>
              </w:rPr>
            </w:pPr>
          </w:p>
        </w:tc>
      </w:tr>
      <w:tr>
        <w:trPr>
          <w:trHeight w:val="237"/>
        </w:trPr>
        <w:tc>
          <w:tcPr>
            <w:tcW w:w="14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Jeffrey M. Wilson</w:t>
            </w:r>
          </w:p>
        </w:tc>
        <w:tc>
          <w:tcPr>
            <w:tcW w:w="1380" w:type="dxa"/>
            <w:vAlign w:val="bottom"/>
            <w:gridSpan w:val="7"/>
          </w:tcPr>
          <w:p>
            <w:pPr>
              <w:spacing w:after="0"/>
              <w:rPr>
                <w:sz w:val="20"/>
                <w:szCs w:val="20"/>
                <w:color w:val="auto"/>
              </w:rPr>
            </w:pPr>
          </w:p>
        </w:tc>
        <w:tc>
          <w:tcPr>
            <w:tcW w:w="8560" w:type="dxa"/>
            <w:vAlign w:val="bottom"/>
          </w:tcPr>
          <w:p>
            <w:pPr>
              <w:ind w:left="1100"/>
              <w:spacing w:after="0"/>
              <w:rPr>
                <w:sz w:val="20"/>
                <w:szCs w:val="20"/>
                <w:color w:val="auto"/>
              </w:rPr>
            </w:pPr>
            <w:r>
              <w:rPr>
                <w:rFonts w:ascii="Arial" w:cs="Arial" w:eastAsia="Arial" w:hAnsi="Arial"/>
                <w:sz w:val="18"/>
                <w:szCs w:val="18"/>
                <w:color w:val="auto"/>
              </w:rPr>
              <w:t>Vice President, Corporate Controller (Principal Accounting Officer)</w:t>
            </w:r>
          </w:p>
        </w:tc>
      </w:tr>
      <w:tr>
        <w:trPr>
          <w:trHeight w:val="392"/>
        </w:trPr>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/s/Thomas H. Barr</w:t>
            </w:r>
          </w:p>
        </w:tc>
        <w:tc>
          <w:tcPr>
            <w:tcW w:w="1500" w:type="dxa"/>
            <w:vAlign w:val="bottom"/>
            <w:gridSpan w:val="9"/>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3"/>
          </w:tcPr>
          <w:p>
            <w:pPr>
              <w:spacing w:after="0"/>
              <w:rPr>
                <w:sz w:val="20"/>
                <w:szCs w:val="20"/>
                <w:color w:val="auto"/>
              </w:rPr>
            </w:pPr>
            <w:r>
              <w:rPr>
                <w:rFonts w:ascii="Arial" w:cs="Arial" w:eastAsia="Arial" w:hAnsi="Arial"/>
                <w:sz w:val="18"/>
                <w:szCs w:val="18"/>
                <w:color w:val="auto"/>
              </w:rPr>
              <w:t>Thomas H. Barr</w:t>
            </w: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392"/>
        </w:trPr>
        <w:tc>
          <w:tcPr>
            <w:tcW w:w="2860" w:type="dxa"/>
            <w:vAlign w:val="bottom"/>
            <w:gridSpan w:val="13"/>
          </w:tcPr>
          <w:p>
            <w:pPr>
              <w:spacing w:after="0"/>
              <w:rPr>
                <w:sz w:val="20"/>
                <w:szCs w:val="20"/>
                <w:color w:val="auto"/>
              </w:rPr>
            </w:pPr>
            <w:r>
              <w:rPr>
                <w:rFonts w:ascii="Arial" w:cs="Arial" w:eastAsia="Arial" w:hAnsi="Arial"/>
                <w:sz w:val="18"/>
                <w:szCs w:val="18"/>
                <w:color w:val="auto"/>
              </w:rPr>
              <w:t>/s/Carl T. Berquist</w:t>
            </w:r>
          </w:p>
        </w:tc>
        <w:tc>
          <w:tcPr>
            <w:tcW w:w="8560" w:type="dxa"/>
            <w:vAlign w:val="bottom"/>
          </w:tcPr>
          <w:p>
            <w:pPr>
              <w:spacing w:after="0"/>
              <w:rPr>
                <w:sz w:val="24"/>
                <w:szCs w:val="24"/>
                <w:color w:val="auto"/>
              </w:rPr>
            </w:pPr>
          </w:p>
        </w:tc>
      </w:tr>
      <w:tr>
        <w:trPr>
          <w:trHeight w:val="237"/>
        </w:trPr>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Carl T. Berquist</w:t>
            </w:r>
          </w:p>
        </w:tc>
        <w:tc>
          <w:tcPr>
            <w:tcW w:w="1540" w:type="dxa"/>
            <w:vAlign w:val="bottom"/>
            <w:gridSpan w:val="11"/>
          </w:tcPr>
          <w:p>
            <w:pPr>
              <w:spacing w:after="0"/>
              <w:rPr>
                <w:sz w:val="20"/>
                <w:szCs w:val="20"/>
                <w:color w:val="auto"/>
              </w:rPr>
            </w:pP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392"/>
        </w:trPr>
        <w:tc>
          <w:tcPr>
            <w:tcW w:w="15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8"/>
              </w:rPr>
              <w:t>/s/James W. Bradford</w:t>
            </w:r>
          </w:p>
        </w:tc>
        <w:tc>
          <w:tcPr>
            <w:tcW w:w="1300" w:type="dxa"/>
            <w:vAlign w:val="bottom"/>
            <w:gridSpan w:val="4"/>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3"/>
          </w:tcPr>
          <w:p>
            <w:pPr>
              <w:spacing w:after="0"/>
              <w:rPr>
                <w:sz w:val="20"/>
                <w:szCs w:val="20"/>
                <w:color w:val="auto"/>
              </w:rPr>
            </w:pPr>
            <w:r>
              <w:rPr>
                <w:rFonts w:ascii="Arial" w:cs="Arial" w:eastAsia="Arial" w:hAnsi="Arial"/>
                <w:sz w:val="18"/>
                <w:szCs w:val="18"/>
                <w:color w:val="auto"/>
              </w:rPr>
              <w:t>James W. Bradford</w:t>
            </w:r>
          </w:p>
        </w:tc>
        <w:tc>
          <w:tcPr>
            <w:tcW w:w="8560" w:type="dxa"/>
            <w:vAlign w:val="bottom"/>
          </w:tcPr>
          <w:p>
            <w:pPr>
              <w:ind w:left="1100"/>
              <w:spacing w:after="0"/>
              <w:rPr>
                <w:sz w:val="20"/>
                <w:szCs w:val="20"/>
                <w:color w:val="auto"/>
              </w:rPr>
            </w:pPr>
            <w:r>
              <w:rPr>
                <w:rFonts w:ascii="Arial" w:cs="Arial" w:eastAsia="Arial" w:hAnsi="Arial"/>
                <w:sz w:val="18"/>
                <w:szCs w:val="18"/>
                <w:color w:val="auto"/>
              </w:rPr>
              <w:t>Director and Chairman of the Board</w:t>
            </w:r>
          </w:p>
        </w:tc>
      </w:tr>
      <w:tr>
        <w:trPr>
          <w:trHeight w:val="392"/>
        </w:trPr>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/s/Meg G. Crofton</w:t>
            </w:r>
          </w:p>
        </w:tc>
        <w:tc>
          <w:tcPr>
            <w:tcW w:w="1520" w:type="dxa"/>
            <w:vAlign w:val="bottom"/>
            <w:gridSpan w:val="10"/>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3"/>
          </w:tcPr>
          <w:p>
            <w:pPr>
              <w:spacing w:after="0"/>
              <w:rPr>
                <w:sz w:val="20"/>
                <w:szCs w:val="20"/>
                <w:color w:val="auto"/>
              </w:rPr>
            </w:pPr>
            <w:r>
              <w:rPr>
                <w:rFonts w:ascii="Arial" w:cs="Arial" w:eastAsia="Arial" w:hAnsi="Arial"/>
                <w:sz w:val="18"/>
                <w:szCs w:val="18"/>
                <w:color w:val="auto"/>
              </w:rPr>
              <w:t>Meg G. Crofton</w:t>
            </w: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392"/>
        </w:trPr>
        <w:tc>
          <w:tcPr>
            <w:tcW w:w="15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/s/Richard J. Dobkin</w:t>
            </w:r>
          </w:p>
        </w:tc>
        <w:tc>
          <w:tcPr>
            <w:tcW w:w="1360" w:type="dxa"/>
            <w:vAlign w:val="bottom"/>
            <w:gridSpan w:val="6"/>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3"/>
          </w:tcPr>
          <w:p>
            <w:pPr>
              <w:spacing w:after="0"/>
              <w:rPr>
                <w:sz w:val="20"/>
                <w:szCs w:val="20"/>
                <w:color w:val="auto"/>
              </w:rPr>
            </w:pPr>
            <w:r>
              <w:rPr>
                <w:rFonts w:ascii="Arial" w:cs="Arial" w:eastAsia="Arial" w:hAnsi="Arial"/>
                <w:sz w:val="18"/>
                <w:szCs w:val="18"/>
                <w:color w:val="auto"/>
              </w:rPr>
              <w:t>Richard J. Dobkin</w:t>
            </w: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392"/>
        </w:trPr>
        <w:tc>
          <w:tcPr>
            <w:tcW w:w="2860" w:type="dxa"/>
            <w:vAlign w:val="bottom"/>
            <w:gridSpan w:val="13"/>
          </w:tcPr>
          <w:p>
            <w:pPr>
              <w:spacing w:after="0"/>
              <w:rPr>
                <w:sz w:val="20"/>
                <w:szCs w:val="20"/>
                <w:color w:val="auto"/>
              </w:rPr>
            </w:pPr>
            <w:r>
              <w:rPr>
                <w:rFonts w:ascii="Arial" w:cs="Arial" w:eastAsia="Arial" w:hAnsi="Arial"/>
                <w:sz w:val="18"/>
                <w:szCs w:val="18"/>
                <w:color w:val="auto"/>
              </w:rPr>
              <w:t>/s/Norman E. Johnson</w:t>
            </w:r>
          </w:p>
        </w:tc>
        <w:tc>
          <w:tcPr>
            <w:tcW w:w="8560" w:type="dxa"/>
            <w:vAlign w:val="bottom"/>
          </w:tcPr>
          <w:p>
            <w:pPr>
              <w:spacing w:after="0"/>
              <w:rPr>
                <w:sz w:val="24"/>
                <w:szCs w:val="24"/>
                <w:color w:val="auto"/>
              </w:rPr>
            </w:pPr>
          </w:p>
        </w:tc>
      </w:tr>
      <w:tr>
        <w:trPr>
          <w:trHeight w:val="237"/>
        </w:trPr>
        <w:tc>
          <w:tcPr>
            <w:tcW w:w="16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w w:val="99"/>
              </w:rPr>
              <w:t>Norman E. Johnson</w:t>
            </w:r>
          </w:p>
        </w:tc>
        <w:tc>
          <w:tcPr>
            <w:tcW w:w="1260" w:type="dxa"/>
            <w:vAlign w:val="bottom"/>
            <w:gridSpan w:val="3"/>
          </w:tcPr>
          <w:p>
            <w:pPr>
              <w:spacing w:after="0"/>
              <w:rPr>
                <w:sz w:val="20"/>
                <w:szCs w:val="20"/>
                <w:color w:val="auto"/>
              </w:rPr>
            </w:pP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392"/>
        </w:trPr>
        <w:tc>
          <w:tcPr>
            <w:tcW w:w="2860" w:type="dxa"/>
            <w:vAlign w:val="bottom"/>
            <w:gridSpan w:val="13"/>
          </w:tcPr>
          <w:p>
            <w:pPr>
              <w:spacing w:after="0"/>
              <w:rPr>
                <w:sz w:val="20"/>
                <w:szCs w:val="20"/>
                <w:color w:val="auto"/>
              </w:rPr>
            </w:pPr>
            <w:r>
              <w:rPr>
                <w:rFonts w:ascii="Arial" w:cs="Arial" w:eastAsia="Arial" w:hAnsi="Arial"/>
                <w:sz w:val="18"/>
                <w:szCs w:val="18"/>
                <w:color w:val="auto"/>
              </w:rPr>
              <w:t>/s/William W. McCarten</w:t>
            </w:r>
          </w:p>
        </w:tc>
        <w:tc>
          <w:tcPr>
            <w:tcW w:w="856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William W. McCarten</w:t>
            </w:r>
          </w:p>
        </w:tc>
        <w:tc>
          <w:tcPr>
            <w:tcW w:w="1100" w:type="dxa"/>
            <w:vAlign w:val="bottom"/>
          </w:tcPr>
          <w:p>
            <w:pPr>
              <w:spacing w:after="0"/>
              <w:rPr>
                <w:sz w:val="20"/>
                <w:szCs w:val="20"/>
                <w:color w:val="auto"/>
              </w:rPr>
            </w:pP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392"/>
        </w:trPr>
        <w:tc>
          <w:tcPr>
            <w:tcW w:w="17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8"/>
              </w:rPr>
              <w:t>/s/Coleman H. Peterson</w:t>
            </w:r>
          </w:p>
        </w:tc>
        <w:tc>
          <w:tcPr>
            <w:tcW w:w="1140" w:type="dxa"/>
            <w:vAlign w:val="bottom"/>
            <w:gridSpan w:val="2"/>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3"/>
          </w:tcPr>
          <w:p>
            <w:pPr>
              <w:spacing w:after="0"/>
              <w:rPr>
                <w:sz w:val="20"/>
                <w:szCs w:val="20"/>
                <w:color w:val="auto"/>
              </w:rPr>
            </w:pPr>
            <w:r>
              <w:rPr>
                <w:rFonts w:ascii="Arial" w:cs="Arial" w:eastAsia="Arial" w:hAnsi="Arial"/>
                <w:sz w:val="18"/>
                <w:szCs w:val="18"/>
                <w:color w:val="auto"/>
              </w:rPr>
              <w:t>Coleman H. Peterson</w:t>
            </w: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392"/>
        </w:trPr>
        <w:tc>
          <w:tcPr>
            <w:tcW w:w="2860" w:type="dxa"/>
            <w:vAlign w:val="bottom"/>
            <w:gridSpan w:val="13"/>
          </w:tcPr>
          <w:p>
            <w:pPr>
              <w:spacing w:after="0"/>
              <w:rPr>
                <w:sz w:val="20"/>
                <w:szCs w:val="20"/>
                <w:color w:val="auto"/>
              </w:rPr>
            </w:pPr>
            <w:r>
              <w:rPr>
                <w:rFonts w:ascii="Arial" w:cs="Arial" w:eastAsia="Arial" w:hAnsi="Arial"/>
                <w:sz w:val="18"/>
                <w:szCs w:val="18"/>
                <w:color w:val="auto"/>
              </w:rPr>
              <w:t>/s/Andrea M. Weiss</w:t>
            </w:r>
          </w:p>
        </w:tc>
        <w:tc>
          <w:tcPr>
            <w:tcW w:w="8560" w:type="dxa"/>
            <w:vAlign w:val="bottom"/>
          </w:tcPr>
          <w:p>
            <w:pPr>
              <w:spacing w:after="0"/>
              <w:rPr>
                <w:sz w:val="24"/>
                <w:szCs w:val="24"/>
                <w:color w:val="auto"/>
              </w:rPr>
            </w:pPr>
          </w:p>
        </w:tc>
      </w:tr>
      <w:tr>
        <w:trPr>
          <w:trHeight w:val="237"/>
        </w:trPr>
        <w:tc>
          <w:tcPr>
            <w:tcW w:w="14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Andrea M. Weiss</w:t>
            </w:r>
          </w:p>
        </w:tc>
        <w:tc>
          <w:tcPr>
            <w:tcW w:w="1440" w:type="dxa"/>
            <w:vAlign w:val="bottom"/>
            <w:gridSpan w:val="8"/>
          </w:tcPr>
          <w:p>
            <w:pPr>
              <w:spacing w:after="0"/>
              <w:rPr>
                <w:sz w:val="20"/>
                <w:szCs w:val="20"/>
                <w:color w:val="auto"/>
              </w:rPr>
            </w:pPr>
          </w:p>
        </w:tc>
        <w:tc>
          <w:tcPr>
            <w:tcW w:w="8560" w:type="dxa"/>
            <w:vAlign w:val="bottom"/>
          </w:tcPr>
          <w:p>
            <w:pPr>
              <w:ind w:left="1100"/>
              <w:spacing w:after="0"/>
              <w:rPr>
                <w:sz w:val="20"/>
                <w:szCs w:val="20"/>
                <w:color w:val="auto"/>
              </w:rPr>
            </w:pPr>
            <w:r>
              <w:rPr>
                <w:rFonts w:ascii="Arial" w:cs="Arial" w:eastAsia="Arial" w:hAnsi="Arial"/>
                <w:sz w:val="18"/>
                <w:szCs w:val="18"/>
                <w:color w:val="auto"/>
              </w:rPr>
              <w:t>Director</w:t>
            </w:r>
          </w:p>
        </w:tc>
      </w:tr>
      <w:tr>
        <w:trPr>
          <w:trHeight w:val="650"/>
        </w:trPr>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560" w:type="dxa"/>
            <w:vAlign w:val="bottom"/>
          </w:tcPr>
          <w:p>
            <w:pPr>
              <w:ind w:left="2780"/>
              <w:spacing w:after="0"/>
              <w:rPr>
                <w:sz w:val="20"/>
                <w:szCs w:val="20"/>
                <w:color w:val="auto"/>
              </w:rPr>
            </w:pPr>
            <w:r>
              <w:rPr>
                <w:rFonts w:ascii="Arial" w:cs="Arial" w:eastAsia="Arial" w:hAnsi="Arial"/>
                <w:sz w:val="14"/>
                <w:szCs w:val="14"/>
                <w:color w:val="auto"/>
              </w:rPr>
              <w:t>75</w:t>
            </w:r>
          </w:p>
        </w:tc>
      </w:tr>
      <w:tr>
        <w:trPr>
          <w:trHeight w:val="100"/>
        </w:trPr>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5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AMENDMENT TO CREDIT AGREEMENT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FIRST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July 18, 2019 among CRACKER BARREL OLD COUNTRY STORE, INC., a Tennessee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 the Guarantors party hereto, the Lenders party hereto and BANK OF AMERICA, N.A., as Administrative Agent and Collateral Agent. All capitalized terms used herein and not otherwise defined herein shall have the meanings given to such terms in the Credit Agreement (as defined below and amended hereby).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the Borrower, the Guarantors party thereto, the Lenders from time to time party thereto, and Bank of America, N.A., as Administrative Agent and Collateral Agent, have entered into that certain Credit Agreement dated as of September 5, 2018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Borrower has requested that the Lenders amend the Credit Agreement as set forth below.</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32" w:lineRule="exact"/>
        <w:rPr>
          <w:sz w:val="20"/>
          <w:szCs w:val="20"/>
          <w:color w:val="auto"/>
        </w:rPr>
      </w:pPr>
    </w:p>
    <w:p>
      <w:pPr>
        <w:ind w:left="1600" w:hanging="944"/>
        <w:spacing w:after="0"/>
        <w:tabs>
          <w:tab w:leader="none" w:pos="160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Subject to the terms and conditions set forth herein, the Credit Agreement is hereby amended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rFonts w:ascii="Arial" w:cs="Arial" w:eastAsia="Arial" w:hAnsi="Arial"/>
          <w:sz w:val="19"/>
          <w:szCs w:val="19"/>
          <w:color w:val="auto"/>
        </w:rPr>
      </w:pPr>
    </w:p>
    <w:p>
      <w:pPr>
        <w:ind w:left="660" w:firstLine="645"/>
        <w:spacing w:after="0" w:line="251" w:lineRule="auto"/>
        <w:tabs>
          <w:tab w:leader="none" w:pos="2547"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amended to add the following new defined terms in the appropriate alphabetical order:</w:t>
      </w:r>
    </w:p>
    <w:p>
      <w:pPr>
        <w:spacing w:after="0" w:line="200" w:lineRule="exact"/>
        <w:rPr>
          <w:sz w:val="20"/>
          <w:szCs w:val="20"/>
          <w:color w:val="auto"/>
        </w:rPr>
      </w:pPr>
    </w:p>
    <w:p>
      <w:pPr>
        <w:jc w:val="both"/>
        <w:ind w:left="13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0" w:lineRule="exact"/>
        <w:rPr>
          <w:sz w:val="20"/>
          <w:szCs w:val="20"/>
          <w:color w:val="auto"/>
        </w:rPr>
      </w:pPr>
    </w:p>
    <w:p>
      <w:pPr>
        <w:jc w:val="both"/>
        <w:ind w:left="13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Entity</w:t>
      </w:r>
      <w:r>
        <w:rPr>
          <w:rFonts w:ascii="Arial" w:cs="Arial" w:eastAsia="Arial" w:hAnsi="Arial"/>
          <w:sz w:val="22"/>
          <w:szCs w:val="22"/>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Party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9.25</w:t>
      </w:r>
      <w:r>
        <w:rPr>
          <w:rFonts w:ascii="Arial" w:cs="Arial" w:eastAsia="Arial" w:hAnsi="Arial"/>
          <w:sz w:val="22"/>
          <w:szCs w:val="22"/>
          <w:color w:val="auto"/>
        </w:rPr>
        <w:t>.</w:t>
      </w:r>
    </w:p>
    <w:p>
      <w:pPr>
        <w:spacing w:after="0" w:line="233" w:lineRule="exact"/>
        <w:rPr>
          <w:sz w:val="20"/>
          <w:szCs w:val="20"/>
          <w:color w:val="auto"/>
        </w:rPr>
      </w:pPr>
    </w:p>
    <w:p>
      <w:pPr>
        <w:jc w:val="both"/>
        <w:ind w:left="13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First Amendment Closing Date</w:t>
      </w:r>
      <w:r>
        <w:rPr>
          <w:rFonts w:ascii="Arial" w:cs="Arial" w:eastAsia="Arial" w:hAnsi="Arial"/>
          <w:sz w:val="22"/>
          <w:szCs w:val="22"/>
          <w:color w:val="auto"/>
        </w:rPr>
        <w:t>” means July 18, 2019.</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Punch Bowl</w:t>
      </w:r>
      <w:r>
        <w:rPr>
          <w:rFonts w:ascii="Arial" w:cs="Arial" w:eastAsia="Arial" w:hAnsi="Arial"/>
          <w:sz w:val="22"/>
          <w:szCs w:val="22"/>
          <w:color w:val="auto"/>
        </w:rPr>
        <w:t>” means PBS Holdco,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6" w:name="page77"/>
    <w:bookmarkEnd w:id="76"/>
    <w:p>
      <w:pPr>
        <w:jc w:val="both"/>
        <w:ind w:left="100"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Punch Bowl Investment</w:t>
      </w:r>
      <w:r>
        <w:rPr>
          <w:rFonts w:ascii="Arial" w:cs="Arial" w:eastAsia="Arial" w:hAnsi="Arial"/>
          <w:sz w:val="21"/>
          <w:szCs w:val="21"/>
          <w:color w:val="auto"/>
        </w:rPr>
        <w:t>” means (i) the acquisition or subscription by a Loan Party of approximately 46% of the voting Equity Interests on a fully diluted basis and approximately 54% of the aggregate Equity Interests in Punch Bowl on a fully diluted basis, for an aggregate purchase price of not more than $89,100,000, (ii) the acquisition by a Loan Party of that certain promissory note issued by Punch Bowl as of February 22, 2019 in favor of Eatertainment Holdings, LLC having a face value of $2,400,000 for a purchase price equal to the face value thereof plus accrued interest thereon, (iii) the acquisition by a Loan Party of certain promissory notes issued by Punch Bowl as of June 2019 and July 2019 in favor of Eatertainment Holdings, LLC having an aggregate face value of approximately $4,500,000 million for a purchase price equal to the face value thereof plus accrued interest thereon, and (iv) additional Investments by a Loan Party in Punch Bowl or the purchase of existing Punch Bowl debt in connection with the closing, in an aggregate amount not to exceed $10,000,000, less the amount of promissory notes acquired pursuant to the preceding clause (iii), in each case pursuant to the Punch Bowl Investment Agreements.</w:t>
      </w:r>
    </w:p>
    <w:p>
      <w:pPr>
        <w:spacing w:after="0" w:line="215" w:lineRule="exact"/>
        <w:rPr>
          <w:sz w:val="20"/>
          <w:szCs w:val="20"/>
          <w:color w:val="auto"/>
        </w:rPr>
      </w:pPr>
    </w:p>
    <w:p>
      <w:pPr>
        <w:jc w:val="both"/>
        <w:ind w:left="1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Punch Bowl Investment Agreements</w:t>
      </w:r>
      <w:r>
        <w:rPr>
          <w:rFonts w:ascii="Arial" w:cs="Arial" w:eastAsia="Arial" w:hAnsi="Arial"/>
          <w:sz w:val="19"/>
          <w:szCs w:val="19"/>
          <w:color w:val="auto"/>
        </w:rPr>
        <w:t xml:space="preserve">” means (i) the Purchase and Subscription Agreement dated as of the First Amendment Closing Date by and among, </w:t>
      </w:r>
      <w:r>
        <w:rPr>
          <w:rFonts w:ascii="Arial" w:cs="Arial" w:eastAsia="Arial" w:hAnsi="Arial"/>
          <w:sz w:val="19"/>
          <w:szCs w:val="19"/>
          <w:i w:val="1"/>
          <w:iCs w:val="1"/>
          <w:color w:val="auto"/>
        </w:rPr>
        <w:t>inter alios</w:t>
      </w:r>
      <w:r>
        <w:rPr>
          <w:rFonts w:ascii="Arial" w:cs="Arial" w:eastAsia="Arial" w:hAnsi="Arial"/>
          <w:sz w:val="19"/>
          <w:szCs w:val="19"/>
          <w:color w:val="auto"/>
        </w:rPr>
        <w:t>, CB Eatertainment, Inc., a wholly-owned subsidiary of the Borrower as the buyer party thereto, Punch Bowl and Eatertainment Holdings, LLC, as the seller party thereto, and</w:t>
      </w:r>
    </w:p>
    <w:p>
      <w:pPr>
        <w:spacing w:after="0" w:line="2" w:lineRule="exact"/>
        <w:rPr>
          <w:sz w:val="20"/>
          <w:szCs w:val="20"/>
          <w:color w:val="auto"/>
        </w:rPr>
      </w:pPr>
    </w:p>
    <w:p>
      <w:pPr>
        <w:ind w:left="100" w:firstLine="5"/>
        <w:spacing w:after="0" w:line="237" w:lineRule="auto"/>
        <w:tabs>
          <w:tab w:leader="none" w:pos="42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Second Amended and Restated Limited Liability Company Agreement of Punch Bowl, dated as of the First Amendment Closing Date, by and among the members party thereto.</w:t>
      </w:r>
    </w:p>
    <w:p>
      <w:pPr>
        <w:spacing w:after="0" w:line="212" w:lineRule="exact"/>
        <w:rPr>
          <w:sz w:val="20"/>
          <w:szCs w:val="20"/>
          <w:color w:val="auto"/>
        </w:rPr>
      </w:pPr>
    </w:p>
    <w:p>
      <w:pPr>
        <w:ind w:left="1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QFC Credit Support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9.25</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Supported QFC</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9.25</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Special Resolutions Regimes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9.25</w:t>
      </w:r>
      <w:r>
        <w:rPr>
          <w:rFonts w:ascii="Arial" w:cs="Arial" w:eastAsia="Arial" w:hAnsi="Arial"/>
          <w:sz w:val="22"/>
          <w:szCs w:val="22"/>
          <w:color w:val="auto"/>
        </w:rPr>
        <w:t>.</w:t>
      </w:r>
    </w:p>
    <w:p>
      <w:pPr>
        <w:spacing w:after="0" w:line="233" w:lineRule="exact"/>
        <w:rPr>
          <w:sz w:val="20"/>
          <w:szCs w:val="20"/>
          <w:color w:val="auto"/>
        </w:rPr>
      </w:pPr>
    </w:p>
    <w:p>
      <w:pPr>
        <w:ind w:left="-540" w:firstLine="645"/>
        <w:spacing w:after="0" w:line="251" w:lineRule="auto"/>
        <w:tabs>
          <w:tab w:leader="none" w:pos="1113"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The definition of “Subsidiary”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amended and restated in its entirety to read as follows:</w:t>
      </w:r>
    </w:p>
    <w:p>
      <w:pPr>
        <w:spacing w:after="0" w:line="200" w:lineRule="exact"/>
        <w:rPr>
          <w:sz w:val="20"/>
          <w:szCs w:val="20"/>
          <w:color w:val="auto"/>
        </w:rPr>
      </w:pPr>
    </w:p>
    <w:p>
      <w:pPr>
        <w:jc w:val="both"/>
        <w:ind w:left="1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or limited liability company or (c) the beneficial interest in such trust or estate is at the time directly or indirectly owned or controlled by such Person, by such Person and one or more of its other Subsidiaries or by one or more of such Person’s other Subsidiaries. Notwithstanding the foregoing, Punch Bowl and its Subsidiaries (if any) shall not be considered Subsidiaries of the Borrower or of any Subsidiary of the Borrower for so long as the Borrower and its Subsidiaries own not more than 50% of the voting Equity Interests in Punch Bowl on a fully diluted basis and Punch Bowl and its Subsidiaries are not consolidated with the Borrower and the Borrower’s Subsidiaries in accordance with GAAP.</w:t>
      </w:r>
    </w:p>
    <w:p>
      <w:pPr>
        <w:spacing w:after="0" w:line="183" w:lineRule="exact"/>
        <w:rPr>
          <w:sz w:val="20"/>
          <w:szCs w:val="20"/>
          <w:color w:val="auto"/>
        </w:rPr>
      </w:pPr>
    </w:p>
    <w:p>
      <w:pPr>
        <w:ind w:left="880" w:hanging="775"/>
        <w:spacing w:after="0"/>
        <w:tabs>
          <w:tab w:leader="none" w:pos="8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1.07</w:t>
      </w:r>
      <w:r>
        <w:rPr>
          <w:rFonts w:ascii="Arial" w:cs="Arial" w:eastAsia="Arial" w:hAnsi="Arial"/>
          <w:sz w:val="22"/>
          <w:szCs w:val="22"/>
          <w:color w:val="auto"/>
        </w:rPr>
        <w:t xml:space="preserve"> of the Credit Agreement is amended and restated in its entirety to read as follows:</w:t>
      </w:r>
    </w:p>
    <w:p>
      <w:pPr>
        <w:spacing w:after="0" w:line="200" w:lineRule="exact"/>
        <w:rPr>
          <w:sz w:val="20"/>
          <w:szCs w:val="20"/>
          <w:color w:val="auto"/>
        </w:rPr>
      </w:pP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77" w:name="page78"/>
    <w:bookmarkEnd w:id="77"/>
    <w:p>
      <w:pPr>
        <w:jc w:val="both"/>
        <w:ind w:left="644" w:firstLine="648"/>
        <w:spacing w:after="0" w:line="279"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Times of Day; Rates</w:t>
      </w:r>
      <w:r>
        <w:rPr>
          <w:rFonts w:ascii="Arial" w:cs="Arial" w:eastAsia="Arial" w:hAnsi="Arial"/>
          <w:sz w:val="19"/>
          <w:szCs w:val="19"/>
          <w:color w:val="auto"/>
        </w:rPr>
        <w:t>. 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rates (including any LIBOR Successor Rate) or the effect of any of the foregoing, or of any LIBOR Successor Rate Conforming Changes.</w:t>
      </w:r>
    </w:p>
    <w:p>
      <w:pPr>
        <w:spacing w:after="0" w:line="178" w:lineRule="exact"/>
        <w:rPr>
          <w:sz w:val="20"/>
          <w:szCs w:val="20"/>
          <w:color w:val="auto"/>
        </w:rPr>
      </w:pPr>
    </w:p>
    <w:p>
      <w:pPr>
        <w:jc w:val="both"/>
        <w:ind w:left="4" w:firstLine="645"/>
        <w:spacing w:after="0" w:line="276" w:lineRule="auto"/>
        <w:tabs>
          <w:tab w:leader="none" w:pos="1390"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Section 5.02(f)</w:t>
      </w:r>
      <w:r>
        <w:rPr>
          <w:rFonts w:ascii="Arial" w:cs="Arial" w:eastAsia="Arial" w:hAnsi="Arial"/>
          <w:sz w:val="19"/>
          <w:szCs w:val="19"/>
          <w:color w:val="auto"/>
        </w:rPr>
        <w:t xml:space="preserve"> of the Credit Agreement is amended by (i) deleting the word “and” at the end of clause (viii) thereof; (ii) amending and restating clause (ix) thereof in its entirety to read as set forth below; and (iii) adding a new clause</w:t>
      </w:r>
    </w:p>
    <w:p>
      <w:pPr>
        <w:spacing w:after="0" w:line="1" w:lineRule="exact"/>
        <w:rPr>
          <w:rFonts w:ascii="Arial" w:cs="Arial" w:eastAsia="Arial" w:hAnsi="Arial"/>
          <w:sz w:val="19"/>
          <w:szCs w:val="19"/>
          <w:color w:val="auto"/>
        </w:rPr>
      </w:pPr>
    </w:p>
    <w:p>
      <w:pPr>
        <w:ind w:left="304" w:hanging="304"/>
        <w:spacing w:after="0"/>
        <w:tabs>
          <w:tab w:leader="none" w:pos="3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to read as set forth below:</w:t>
      </w:r>
    </w:p>
    <w:p>
      <w:pPr>
        <w:spacing w:after="0" w:line="215" w:lineRule="exact"/>
        <w:rPr>
          <w:rFonts w:ascii="Arial" w:cs="Arial" w:eastAsia="Arial" w:hAnsi="Arial"/>
          <w:sz w:val="22"/>
          <w:szCs w:val="22"/>
          <w:color w:val="auto"/>
        </w:rPr>
      </w:pPr>
    </w:p>
    <w:p>
      <w:pPr>
        <w:jc w:val="both"/>
        <w:ind w:left="644" w:firstLine="653"/>
        <w:spacing w:after="0" w:line="271" w:lineRule="auto"/>
        <w:tabs>
          <w:tab w:leader="none" w:pos="2036" w:val="left"/>
        </w:tabs>
        <w:numPr>
          <w:ilvl w:val="2"/>
          <w:numId w:val="38"/>
        </w:numPr>
        <w:rPr>
          <w:rFonts w:ascii="Arial" w:cs="Arial" w:eastAsia="Arial" w:hAnsi="Arial"/>
          <w:sz w:val="19"/>
          <w:szCs w:val="19"/>
          <w:color w:val="auto"/>
        </w:rPr>
      </w:pPr>
      <w:r>
        <w:rPr>
          <w:rFonts w:ascii="Arial" w:cs="Arial" w:eastAsia="Arial" w:hAnsi="Arial"/>
          <w:sz w:val="19"/>
          <w:szCs w:val="19"/>
          <w:color w:val="auto"/>
        </w:rPr>
        <w:t>(A) the Punch Bowl Investment on the First Amendment Closing Date and (B) after (or substantially concurrent with) the consummation of the Punch Bowl Investment on the First Amendment Closing Date, additional Investments in Punch Bowl or the purchase of existing Punch Bowl debt, in an aggregate amount not to exceed $41,000,000 during the term of this Agreement, so long as (in the case of both clause (A) and clause (B)) (1) immediately after giving effect to any such Investment and any related incurrence of Indebtedness, (x) the Consolidated Total Leverage Ratio shall be at least 0.25:1.00 less than the ratio required to be maintained at such time by Section 5.04(a), such compliance to be determined on a pro forma basis as though such Investment (and any related incurrence of Indebtedness) had been consummated as of the first day of the fiscal period covered thereby, and (y) the Borrower and its Subsidiaries shall be in pro forma compliance with all of the covenants set forth in Section 5.04, such compliance to be determined on a pro forma basis as though such Investment (and any related incurrence of Indebtedness) had been consummated as of the first day of the fiscal period covered thereby, (2) immediately before and immediately after giving effect to any such Investment and any related incurrence of Indebtedness, no Default shall have occurred and be continuing and (3) the Borrower shall have delivered to the Administrative Agent, on behalf of the Lender Parties, a certificate of a Responsible Officer, in form and substance reasonably satisfactory to the Administrative Agent, certifying that all of the requirements set forth in this clause (ix) have been satisfied or will be satisfied on or prior to the consummation of such Investment; and</w:t>
      </w:r>
    </w:p>
    <w:p>
      <w:pPr>
        <w:spacing w:after="0" w:line="185" w:lineRule="exact"/>
        <w:rPr>
          <w:rFonts w:ascii="Arial" w:cs="Arial" w:eastAsia="Arial" w:hAnsi="Arial"/>
          <w:sz w:val="19"/>
          <w:szCs w:val="19"/>
          <w:color w:val="auto"/>
        </w:rPr>
      </w:pPr>
    </w:p>
    <w:p>
      <w:pPr>
        <w:ind w:left="2044" w:hanging="747"/>
        <w:spacing w:after="0"/>
        <w:tabs>
          <w:tab w:leader="none" w:pos="2044" w:val="left"/>
        </w:tabs>
        <w:numPr>
          <w:ilvl w:val="2"/>
          <w:numId w:val="38"/>
        </w:numPr>
        <w:rPr>
          <w:rFonts w:ascii="Arial" w:cs="Arial" w:eastAsia="Arial" w:hAnsi="Arial"/>
          <w:sz w:val="22"/>
          <w:szCs w:val="22"/>
          <w:color w:val="auto"/>
        </w:rPr>
      </w:pPr>
      <w:r>
        <w:rPr>
          <w:rFonts w:ascii="Arial" w:cs="Arial" w:eastAsia="Arial" w:hAnsi="Arial"/>
          <w:sz w:val="22"/>
          <w:szCs w:val="22"/>
          <w:color w:val="auto"/>
        </w:rPr>
        <w:t>Investments that comprise the assets of the Non-Qualified Deferred Compensation Plan.</w:t>
      </w:r>
    </w:p>
    <w:p>
      <w:pPr>
        <w:spacing w:after="0" w:line="233" w:lineRule="exact"/>
        <w:rPr>
          <w:rFonts w:ascii="Arial" w:cs="Arial" w:eastAsia="Arial" w:hAnsi="Arial"/>
          <w:sz w:val="22"/>
          <w:szCs w:val="22"/>
          <w:color w:val="auto"/>
        </w:rPr>
      </w:pPr>
    </w:p>
    <w:p>
      <w:pPr>
        <w:ind w:left="1544" w:hanging="895"/>
        <w:spacing w:after="0"/>
        <w:tabs>
          <w:tab w:leader="none" w:pos="1544"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of the Credit Agreement is amended to add a new </w:t>
      </w:r>
      <w:r>
        <w:rPr>
          <w:rFonts w:ascii="Arial" w:cs="Arial" w:eastAsia="Arial" w:hAnsi="Arial"/>
          <w:sz w:val="19"/>
          <w:szCs w:val="19"/>
          <w:u w:val="single" w:color="auto"/>
          <w:color w:val="auto"/>
        </w:rPr>
        <w:t>Section 9.25</w:t>
      </w:r>
      <w:r>
        <w:rPr>
          <w:rFonts w:ascii="Arial" w:cs="Arial" w:eastAsia="Arial" w:hAnsi="Arial"/>
          <w:sz w:val="19"/>
          <w:szCs w:val="19"/>
          <w:color w:val="auto"/>
        </w:rPr>
        <w:t xml:space="preserve"> immediately following </w:t>
      </w:r>
      <w:r>
        <w:rPr>
          <w:rFonts w:ascii="Arial" w:cs="Arial" w:eastAsia="Arial" w:hAnsi="Arial"/>
          <w:sz w:val="19"/>
          <w:szCs w:val="19"/>
          <w:u w:val="single" w:color="auto"/>
          <w:color w:val="auto"/>
        </w:rPr>
        <w:t>Section</w:t>
      </w:r>
    </w:p>
    <w:p>
      <w:pPr>
        <w:spacing w:after="0" w:line="4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u w:val="single" w:color="auto"/>
          <w:color w:val="auto"/>
        </w:rPr>
        <w:t>9.24</w:t>
      </w:r>
      <w:r>
        <w:rPr>
          <w:rFonts w:ascii="Arial" w:cs="Arial" w:eastAsia="Arial" w:hAnsi="Arial"/>
          <w:sz w:val="22"/>
          <w:szCs w:val="22"/>
          <w:color w:val="auto"/>
        </w:rPr>
        <w:t xml:space="preserve"> of the Credit Agreement to read as follows:</w:t>
      </w:r>
    </w:p>
    <w:p>
      <w:pPr>
        <w:spacing w:after="0" w:line="394"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18" w:right="239" w:bottom="1440" w:gutter="0" w:footer="0" w:header="0"/>
        </w:sectPr>
      </w:pPr>
    </w:p>
    <w:bookmarkStart w:id="78" w:name="page79"/>
    <w:bookmarkEnd w:id="78"/>
    <w:p>
      <w:pPr>
        <w:jc w:val="both"/>
        <w:ind w:left="644" w:firstLine="648"/>
        <w:spacing w:after="0" w:line="269" w:lineRule="auto"/>
        <w:rPr>
          <w:sz w:val="20"/>
          <w:szCs w:val="20"/>
          <w:color w:val="auto"/>
        </w:rPr>
      </w:pPr>
      <w:r>
        <w:rPr>
          <w:rFonts w:ascii="Arial" w:cs="Arial" w:eastAsia="Arial" w:hAnsi="Arial"/>
          <w:sz w:val="19"/>
          <w:szCs w:val="19"/>
          <w:color w:val="auto"/>
        </w:rPr>
        <w:t xml:space="preserve">9.25 </w:t>
      </w:r>
      <w:r>
        <w:rPr>
          <w:rFonts w:ascii="Arial" w:cs="Arial" w:eastAsia="Arial" w:hAnsi="Arial"/>
          <w:sz w:val="19"/>
          <w:szCs w:val="19"/>
          <w:u w:val="single" w:color="auto"/>
          <w:color w:val="auto"/>
        </w:rPr>
        <w:t>Acknowledgement Regarding Any Supported QFC</w:t>
      </w:r>
      <w:r>
        <w:rPr>
          <w:rFonts w:ascii="Arial" w:cs="Arial" w:eastAsia="Arial" w:hAnsi="Arial"/>
          <w:sz w:val="19"/>
          <w:szCs w:val="19"/>
          <w:color w:val="auto"/>
        </w:rPr>
        <w:t>. To the extent that the Loan Documents provide support, through a guarantee or otherwise, for any Swap Obligation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47" w:lineRule="exact"/>
        <w:rPr>
          <w:sz w:val="20"/>
          <w:szCs w:val="20"/>
          <w:color w:val="auto"/>
        </w:rPr>
      </w:pPr>
    </w:p>
    <w:p>
      <w:pPr>
        <w:ind w:left="804" w:hanging="804"/>
        <w:spacing w:after="0"/>
        <w:tabs>
          <w:tab w:leader="none" w:pos="80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 effective upon satisfaction of the following conditions precedent:</w:t>
      </w:r>
    </w:p>
    <w:p>
      <w:pPr>
        <w:spacing w:after="0" w:line="267" w:lineRule="exact"/>
        <w:rPr>
          <w:rFonts w:ascii="Arial" w:cs="Arial" w:eastAsia="Arial" w:hAnsi="Arial"/>
          <w:sz w:val="19"/>
          <w:szCs w:val="19"/>
          <w:color w:val="auto"/>
        </w:rPr>
      </w:pPr>
    </w:p>
    <w:p>
      <w:pPr>
        <w:jc w:val="both"/>
        <w:ind w:left="4" w:firstLine="645"/>
        <w:spacing w:after="0"/>
        <w:tabs>
          <w:tab w:leader="none" w:pos="1486" w:val="left"/>
        </w:tabs>
        <w:numPr>
          <w:ilvl w:val="1"/>
          <w:numId w:val="39"/>
        </w:numPr>
        <w:rPr>
          <w:rFonts w:ascii="Arial" w:cs="Arial" w:eastAsia="Arial" w:hAnsi="Arial"/>
          <w:sz w:val="22"/>
          <w:szCs w:val="22"/>
          <w:color w:val="auto"/>
        </w:rPr>
      </w:pPr>
      <w:r>
        <w:rPr>
          <w:rFonts w:ascii="Arial" w:cs="Arial" w:eastAsia="Arial" w:hAnsi="Arial"/>
          <w:sz w:val="22"/>
          <w:szCs w:val="22"/>
          <w:color w:val="auto"/>
        </w:rPr>
        <w:t>receipt by the Administrative Agent of counterparts of this Amendment duly executed by (i) an authorized officer acceptable to the Administrative Agent of each Loan Party, (ii) the Required Lenders, and (iii) the Administrative Agent; and</w:t>
      </w:r>
    </w:p>
    <w:p>
      <w:pPr>
        <w:spacing w:after="0" w:line="213" w:lineRule="exact"/>
        <w:rPr>
          <w:rFonts w:ascii="Arial" w:cs="Arial" w:eastAsia="Arial" w:hAnsi="Arial"/>
          <w:sz w:val="22"/>
          <w:szCs w:val="22"/>
          <w:color w:val="auto"/>
        </w:rPr>
      </w:pPr>
    </w:p>
    <w:p>
      <w:pPr>
        <w:jc w:val="both"/>
        <w:ind w:left="4" w:firstLine="645"/>
        <w:spacing w:after="0" w:line="252" w:lineRule="auto"/>
        <w:tabs>
          <w:tab w:leader="none" w:pos="1591" w:val="left"/>
        </w:tabs>
        <w:numPr>
          <w:ilvl w:val="1"/>
          <w:numId w:val="39"/>
        </w:numPr>
        <w:rPr>
          <w:rFonts w:ascii="Arial" w:cs="Arial" w:eastAsia="Arial" w:hAnsi="Arial"/>
          <w:sz w:val="21"/>
          <w:szCs w:val="21"/>
          <w:color w:val="auto"/>
        </w:rPr>
      </w:pPr>
      <w:r>
        <w:rPr>
          <w:rFonts w:ascii="Arial" w:cs="Arial" w:eastAsia="Arial" w:hAnsi="Arial"/>
          <w:sz w:val="21"/>
          <w:szCs w:val="21"/>
          <w:color w:val="auto"/>
        </w:rPr>
        <w:t>the Borrower shall have paid all reasonable costs and expenses of the Administrative Agent (including reasonable and documented fees and expenses of its legal counsel) in connection with this Amendment to the extent invoiced prior to or on the date hereof (paid directly to such counsel if requested by the Administrative Agent), without prejudice to a final settling of accounts between the Administrative Agent and the Borrowers.</w:t>
      </w:r>
    </w:p>
    <w:p>
      <w:pPr>
        <w:spacing w:after="0" w:line="201" w:lineRule="exact"/>
        <w:rPr>
          <w:rFonts w:ascii="Arial" w:cs="Arial" w:eastAsia="Arial" w:hAnsi="Arial"/>
          <w:sz w:val="21"/>
          <w:szCs w:val="21"/>
          <w:color w:val="auto"/>
        </w:rPr>
      </w:pPr>
    </w:p>
    <w:p>
      <w:pPr>
        <w:ind w:left="804" w:hanging="804"/>
        <w:spacing w:after="0"/>
        <w:tabs>
          <w:tab w:leader="none" w:pos="80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4" w:firstLine="645"/>
        <w:spacing w:after="0" w:line="236" w:lineRule="auto"/>
        <w:tabs>
          <w:tab w:leader="none" w:pos="1535"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Credit Agreement (as amended hereby) and the obligations of the Loan Parties thereunder and under the other Loan Documents are hereby ratified and confirmed and shall remain in full force and effect according to their terms. This Amendment shall not be deemed or construed to be a satisfaction, reinstatement, novation or release of any Loan Document or a waiver by the Administrative Agent or any Lender of any rights and remedies under the Loan Documents, at law or in equity.</w:t>
      </w:r>
    </w:p>
    <w:p>
      <w:pPr>
        <w:spacing w:after="0" w:line="214" w:lineRule="exact"/>
        <w:rPr>
          <w:rFonts w:ascii="Arial" w:cs="Arial" w:eastAsia="Arial" w:hAnsi="Arial"/>
          <w:sz w:val="22"/>
          <w:szCs w:val="22"/>
          <w:color w:val="auto"/>
        </w:rPr>
      </w:pPr>
    </w:p>
    <w:p>
      <w:pPr>
        <w:jc w:val="both"/>
        <w:ind w:left="4" w:right="20" w:firstLine="645"/>
        <w:spacing w:after="0" w:line="238" w:lineRule="auto"/>
        <w:tabs>
          <w:tab w:leader="none" w:pos="1502" w:val="left"/>
        </w:tabs>
        <w:numPr>
          <w:ilvl w:val="1"/>
          <w:numId w:val="39"/>
        </w:numPr>
        <w:rPr>
          <w:rFonts w:ascii="Arial" w:cs="Arial" w:eastAsia="Arial" w:hAnsi="Arial"/>
          <w:sz w:val="22"/>
          <w:szCs w:val="22"/>
          <w:color w:val="auto"/>
        </w:rPr>
      </w:pPr>
      <w:r>
        <w:rPr>
          <w:rFonts w:ascii="Arial" w:cs="Arial" w:eastAsia="Arial" w:hAnsi="Arial"/>
          <w:sz w:val="22"/>
          <w:szCs w:val="22"/>
          <w:color w:val="auto"/>
        </w:rPr>
        <w:t>Each Guarantor (i) acknowledges and consents to all of the terms and conditions of this Amendment, (ii) affirms all of its obligations under the Loan Documents, and (iii) agrees that this Amendment and all documents executed in connection herewith do not operate to reduce or discharge its obligations under the Credit Agreement or the other Loan Documents.</w:t>
      </w:r>
    </w:p>
    <w:p>
      <w:pPr>
        <w:spacing w:after="0" w:line="212" w:lineRule="exact"/>
        <w:rPr>
          <w:rFonts w:ascii="Arial" w:cs="Arial" w:eastAsia="Arial" w:hAnsi="Arial"/>
          <w:sz w:val="22"/>
          <w:szCs w:val="22"/>
          <w:color w:val="auto"/>
        </w:rPr>
      </w:pPr>
    </w:p>
    <w:p>
      <w:pPr>
        <w:ind w:left="4" w:firstLine="645"/>
        <w:spacing w:after="0" w:line="251" w:lineRule="auto"/>
        <w:tabs>
          <w:tab w:leader="none" w:pos="1681"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Borrowers and the Guarantors hereby represent and warrant to the Administrative Agent and the Lenders as follows:</w:t>
      </w:r>
    </w:p>
    <w:p>
      <w:pPr>
        <w:spacing w:after="0" w:line="378"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18" w:right="239" w:bottom="1440" w:gutter="0" w:footer="0" w:header="0"/>
        </w:sectPr>
      </w:pPr>
    </w:p>
    <w:bookmarkStart w:id="79" w:name="page80"/>
    <w:bookmarkEnd w:id="79"/>
    <w:p>
      <w:pPr>
        <w:jc w:val="both"/>
        <w:ind w:left="100" w:firstLine="653"/>
        <w:spacing w:after="0" w:line="238" w:lineRule="auto"/>
        <w:tabs>
          <w:tab w:leader="none" w:pos="1650" w:val="left"/>
        </w:tabs>
        <w:numPr>
          <w:ilvl w:val="1"/>
          <w:numId w:val="40"/>
        </w:numPr>
        <w:rPr>
          <w:rFonts w:ascii="Arial" w:cs="Arial" w:eastAsia="Arial" w:hAnsi="Arial"/>
          <w:sz w:val="22"/>
          <w:szCs w:val="22"/>
          <w:color w:val="auto"/>
        </w:rPr>
      </w:pPr>
      <w:r>
        <w:rPr>
          <w:rFonts w:ascii="Arial" w:cs="Arial" w:eastAsia="Arial" w:hAnsi="Arial"/>
          <w:sz w:val="22"/>
          <w:szCs w:val="22"/>
          <w:color w:val="auto"/>
        </w:rPr>
        <w:t>Each Loan Party has taken all necessary corporate or other organizational action to authorize the execution, delivery and performance of this Amendment. This Amendment and the execution and performance hereof by the Loan Parties do not conflict with any Loan Party’s organizational documents or any law, agreement or obligation by which any Loan Party is bound.</w:t>
      </w:r>
    </w:p>
    <w:p>
      <w:pPr>
        <w:spacing w:after="0" w:line="212" w:lineRule="exact"/>
        <w:rPr>
          <w:rFonts w:ascii="Arial" w:cs="Arial" w:eastAsia="Arial" w:hAnsi="Arial"/>
          <w:sz w:val="22"/>
          <w:szCs w:val="22"/>
          <w:color w:val="auto"/>
        </w:rPr>
      </w:pPr>
    </w:p>
    <w:p>
      <w:pPr>
        <w:jc w:val="both"/>
        <w:ind w:left="100" w:firstLine="653"/>
        <w:spacing w:after="0" w:line="238" w:lineRule="auto"/>
        <w:tabs>
          <w:tab w:leader="none" w:pos="1559"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by each Loan Party and constitutes a legal, valid and binding obligation of each Loan Party, enforceable against each such Loan Party in accordance with its terms, subject to applicable bankruptcy, insolvency, reorganization, moratorium or other laws affecting creditors’ rights generally and subject to general principles of equity.</w:t>
      </w:r>
    </w:p>
    <w:p>
      <w:pPr>
        <w:spacing w:after="0" w:line="212" w:lineRule="exact"/>
        <w:rPr>
          <w:rFonts w:ascii="Arial" w:cs="Arial" w:eastAsia="Arial" w:hAnsi="Arial"/>
          <w:sz w:val="22"/>
          <w:szCs w:val="22"/>
          <w:color w:val="auto"/>
        </w:rPr>
      </w:pPr>
    </w:p>
    <w:p>
      <w:pPr>
        <w:jc w:val="both"/>
        <w:ind w:left="100" w:firstLine="653"/>
        <w:spacing w:after="0"/>
        <w:tabs>
          <w:tab w:leader="none" w:pos="1594"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Amendment.</w:t>
      </w:r>
    </w:p>
    <w:p>
      <w:pPr>
        <w:spacing w:after="0" w:line="213" w:lineRule="exact"/>
        <w:rPr>
          <w:rFonts w:ascii="Arial" w:cs="Arial" w:eastAsia="Arial" w:hAnsi="Arial"/>
          <w:sz w:val="22"/>
          <w:szCs w:val="22"/>
          <w:color w:val="auto"/>
        </w:rPr>
      </w:pPr>
    </w:p>
    <w:p>
      <w:pPr>
        <w:jc w:val="both"/>
        <w:ind w:left="-540" w:firstLine="645"/>
        <w:spacing w:after="0" w:line="234" w:lineRule="auto"/>
        <w:tabs>
          <w:tab w:leader="none" w:pos="978"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Loan Parties represent and warrant to the Administrative Agent and the Lenders that (i) after giving effect to this Amendment, the representations and warranties contained in each Loan Document are true and correct in all material respects (or, in the case of any representation or warranty that is qualified by materiality or Material Adverse Effect, such representation or warranty is true and correct in all respects) on and as of the date hereof as though made on and as of the date hereof, other than any such representations or warranties that, by their express terms, refer to a specific earlier date, in which case as of such specific date, and (ii) no event has occurred and is continuing which constitutes a Default or an Event of Default.</w:t>
      </w:r>
    </w:p>
    <w:p>
      <w:pPr>
        <w:spacing w:after="0" w:line="218" w:lineRule="exact"/>
        <w:rPr>
          <w:rFonts w:ascii="Arial" w:cs="Arial" w:eastAsia="Arial" w:hAnsi="Arial"/>
          <w:sz w:val="22"/>
          <w:szCs w:val="22"/>
          <w:color w:val="auto"/>
        </w:rPr>
      </w:pPr>
    </w:p>
    <w:p>
      <w:pPr>
        <w:jc w:val="both"/>
        <w:ind w:left="-540" w:firstLine="645"/>
        <w:spacing w:after="0" w:line="246" w:lineRule="auto"/>
        <w:tabs>
          <w:tab w:leader="none" w:pos="937"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This Amendment shall constitute a Loan Document for all purposes.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Amendment. This Amendment constitutes the entire contract among the parties relating to the subject matter hereof and supersedes any and all previous agreements and understandings, oral or written, relating to the subject matter hereof. This Amendment will inure to the benefit of and bind the respective successors and permitted assigns of the parties hereto.</w:t>
      </w:r>
    </w:p>
    <w:p>
      <w:pPr>
        <w:spacing w:after="0" w:line="201" w:lineRule="exact"/>
        <w:rPr>
          <w:rFonts w:ascii="Arial" w:cs="Arial" w:eastAsia="Arial" w:hAnsi="Arial"/>
          <w:sz w:val="21"/>
          <w:szCs w:val="21"/>
          <w:color w:val="auto"/>
        </w:rPr>
      </w:pPr>
    </w:p>
    <w:p>
      <w:pPr>
        <w:jc w:val="both"/>
        <w:ind w:left="-540" w:firstLine="645"/>
        <w:spacing w:after="0" w:line="239" w:lineRule="auto"/>
        <w:tabs>
          <w:tab w:leader="none" w:pos="878"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THIS AMENDMENT AND THE RIGHTS AND OBLIGATIONS OF THE PARTIES HEREUNDER SHALL BE GOVERNED BY AND CONSTRUED AND INTERPRETED IN ACCORDANCE WITH THE LAWS OF THE STATE OF NEW YORK. THE TERMS OF </w:t>
      </w:r>
      <w:r>
        <w:rPr>
          <w:rFonts w:ascii="Arial" w:cs="Arial" w:eastAsia="Arial" w:hAnsi="Arial"/>
          <w:sz w:val="22"/>
          <w:szCs w:val="22"/>
          <w:b w:val="1"/>
          <w:bCs w:val="1"/>
          <w:u w:val="single" w:color="auto"/>
          <w:color w:val="auto"/>
        </w:rPr>
        <w:t>SECTIONS 9.05</w:t>
      </w:r>
      <w:r>
        <w:rPr>
          <w:rFonts w:ascii="Arial" w:cs="Arial" w:eastAsia="Arial" w:hAnsi="Arial"/>
          <w:sz w:val="22"/>
          <w:szCs w:val="22"/>
          <w:b w:val="1"/>
          <w:bCs w:val="1"/>
          <w:color w:val="auto"/>
        </w:rPr>
        <w:t xml:space="preserve"> AND </w:t>
      </w:r>
      <w:r>
        <w:rPr>
          <w:rFonts w:ascii="Arial" w:cs="Arial" w:eastAsia="Arial" w:hAnsi="Arial"/>
          <w:sz w:val="22"/>
          <w:szCs w:val="22"/>
          <w:b w:val="1"/>
          <w:bCs w:val="1"/>
          <w:u w:val="single" w:color="auto"/>
          <w:color w:val="auto"/>
        </w:rPr>
        <w:t>9.06</w:t>
      </w:r>
      <w:r>
        <w:rPr>
          <w:rFonts w:ascii="Arial" w:cs="Arial" w:eastAsia="Arial" w:hAnsi="Arial"/>
          <w:sz w:val="22"/>
          <w:szCs w:val="22"/>
          <w:b w:val="1"/>
          <w:bCs w:val="1"/>
          <w:color w:val="auto"/>
        </w:rPr>
        <w:t xml:space="preserve"> OF THE CREDIT AGREEMENT ARE INCORPORATED HEREIN BY REFERENCE, </w:t>
      </w:r>
      <w:r>
        <w:rPr>
          <w:rFonts w:ascii="Arial" w:cs="Arial" w:eastAsia="Arial" w:hAnsi="Arial"/>
          <w:sz w:val="22"/>
          <w:szCs w:val="22"/>
          <w:b w:val="1"/>
          <w:bCs w:val="1"/>
          <w:i w:val="1"/>
          <w:iCs w:val="1"/>
          <w:color w:val="auto"/>
        </w:rPr>
        <w:t>MUTATIS MUTANDIS</w:t>
      </w:r>
      <w:r>
        <w:rPr>
          <w:rFonts w:ascii="Arial" w:cs="Arial" w:eastAsia="Arial" w:hAnsi="Arial"/>
          <w:sz w:val="22"/>
          <w:szCs w:val="22"/>
          <w:b w:val="1"/>
          <w:bCs w:val="1"/>
          <w:color w:val="auto"/>
        </w:rPr>
        <w:t>.</w:t>
      </w:r>
    </w:p>
    <w:p>
      <w:pPr>
        <w:spacing w:after="0" w:line="21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80" w:name="page81"/>
    <w:bookmarkEnd w:id="80"/>
    <w:p>
      <w:pPr>
        <w:ind w:right="20" w:firstLine="648"/>
        <w:spacing w:after="0" w:line="251" w:lineRule="auto"/>
        <w:rPr>
          <w:sz w:val="20"/>
          <w:szCs w:val="20"/>
          <w:color w:val="auto"/>
        </w:rPr>
      </w:pPr>
      <w:r>
        <w:rPr>
          <w:rFonts w:ascii="Arial" w:cs="Arial" w:eastAsia="Arial" w:hAnsi="Arial"/>
          <w:sz w:val="22"/>
          <w:szCs w:val="22"/>
          <w:color w:val="auto"/>
        </w:rPr>
        <w:t>IN WITNESS WHEREOF, the parties hereto have caused this Amendment to be duly executed as of the date first above written.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Arial" w:cs="Arial" w:eastAsia="Arial" w:hAnsi="Arial"/>
                <w:sz w:val="18"/>
                <w:szCs w:val="18"/>
                <w:color w:val="auto"/>
              </w:rPr>
              <w:t>BORROWER:</w:t>
            </w: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CRACKER BARREL OLD COUNTRY STORE, INC.,</w:t>
            </w:r>
          </w:p>
        </w:tc>
      </w:tr>
      <w:tr>
        <w:trPr>
          <w:trHeight w:val="237"/>
        </w:trPr>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a Tennessee corporation</w:t>
            </w:r>
          </w:p>
        </w:tc>
      </w:tr>
      <w:tr>
        <w:trPr>
          <w:trHeight w:val="39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60" w:type="dxa"/>
            <w:vAlign w:val="bottom"/>
          </w:tcPr>
          <w:p>
            <w:pPr>
              <w:ind w:left="2200"/>
              <w:spacing w:after="0"/>
              <w:rPr>
                <w:sz w:val="20"/>
                <w:szCs w:val="20"/>
                <w:color w:val="auto"/>
              </w:rPr>
            </w:pPr>
            <w:r>
              <w:rPr>
                <w:rFonts w:ascii="Arial" w:cs="Arial" w:eastAsia="Arial" w:hAnsi="Arial"/>
                <w:sz w:val="18"/>
                <w:szCs w:val="18"/>
                <w:color w:val="auto"/>
              </w:rPr>
              <w:t>By:</w:t>
            </w: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/s/Jill M. Golder</w:t>
            </w:r>
          </w:p>
        </w:tc>
        <w:tc>
          <w:tcPr>
            <w:tcW w:w="2880" w:type="dxa"/>
            <w:vAlign w:val="bottom"/>
            <w:gridSpan w:val="2"/>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Name:Jill M. Golder</w:t>
            </w: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w w:val="93"/>
              </w:rPr>
              <w:t>Title: Senior Vice President and Chief Financial Officer</w:t>
            </w:r>
          </w:p>
        </w:tc>
      </w:tr>
      <w:tr>
        <w:trPr>
          <w:trHeight w:val="392"/>
        </w:trPr>
        <w:tc>
          <w:tcPr>
            <w:tcW w:w="350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CBOCS SUPPLY, INC.,</w:t>
            </w:r>
          </w:p>
        </w:tc>
      </w:tr>
      <w:tr>
        <w:trPr>
          <w:trHeight w:val="237"/>
        </w:trPr>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a Tennessee corporation</w:t>
            </w:r>
          </w:p>
        </w:tc>
      </w:tr>
      <w:tr>
        <w:trPr>
          <w:trHeight w:val="39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60" w:type="dxa"/>
            <w:vAlign w:val="bottom"/>
          </w:tcPr>
          <w:p>
            <w:pPr>
              <w:ind w:left="2200"/>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/s/Richard M. Wolfson</w:t>
            </w:r>
          </w:p>
        </w:tc>
        <w:tc>
          <w:tcPr>
            <w:tcW w:w="242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Name:Richard M. Wolfson</w:t>
            </w: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Title: Secretary</w:t>
            </w:r>
          </w:p>
        </w:tc>
      </w:tr>
      <w:tr>
        <w:trPr>
          <w:trHeight w:val="418"/>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CBOCS WEST, INC.,</w:t>
            </w: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a Nevada corporation</w:t>
            </w:r>
          </w:p>
        </w:tc>
      </w:tr>
      <w:tr>
        <w:trPr>
          <w:trHeight w:val="39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60" w:type="dxa"/>
            <w:vAlign w:val="bottom"/>
          </w:tcPr>
          <w:p>
            <w:pPr>
              <w:ind w:left="2200"/>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/s/Richard M. Wolfson</w:t>
            </w:r>
          </w:p>
        </w:tc>
        <w:tc>
          <w:tcPr>
            <w:tcW w:w="242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Name:Richard M. Wolfson</w:t>
            </w: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Title: Secretary</w:t>
            </w:r>
          </w:p>
        </w:tc>
      </w:tr>
      <w:tr>
        <w:trPr>
          <w:trHeight w:val="418"/>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CB MUSIC LLC,</w:t>
            </w: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720" w:type="dxa"/>
            <w:vAlign w:val="bottom"/>
            <w:gridSpan w:val="4"/>
          </w:tcPr>
          <w:p>
            <w:pPr>
              <w:ind w:left="2200"/>
              <w:spacing w:after="0"/>
              <w:rPr>
                <w:sz w:val="20"/>
                <w:szCs w:val="20"/>
                <w:color w:val="auto"/>
              </w:rPr>
            </w:pPr>
            <w:r>
              <w:rPr>
                <w:rFonts w:ascii="Arial" w:cs="Arial" w:eastAsia="Arial" w:hAnsi="Arial"/>
                <w:sz w:val="18"/>
                <w:szCs w:val="18"/>
                <w:color w:val="auto"/>
              </w:rPr>
              <w:t>a Tennessee limited liability company</w:t>
            </w:r>
          </w:p>
        </w:tc>
      </w:tr>
      <w:tr>
        <w:trPr>
          <w:trHeight w:val="39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60" w:type="dxa"/>
            <w:vAlign w:val="bottom"/>
          </w:tcPr>
          <w:p>
            <w:pPr>
              <w:ind w:left="2200"/>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/s/Richard M. Wolfson</w:t>
            </w:r>
          </w:p>
        </w:tc>
        <w:tc>
          <w:tcPr>
            <w:tcW w:w="242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Name:Richard M. Wolfson</w:t>
            </w: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Title: Secretary</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Continue]</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4500"/>
        <w:spacing w:after="0"/>
        <w:rPr>
          <w:sz w:val="20"/>
          <w:szCs w:val="20"/>
          <w:color w:val="auto"/>
        </w:rPr>
      </w:pPr>
      <w:r>
        <w:rPr>
          <w:rFonts w:ascii="Arial" w:cs="Arial" w:eastAsia="Arial" w:hAnsi="Arial"/>
          <w:sz w:val="18"/>
          <w:szCs w:val="18"/>
          <w:color w:val="auto"/>
        </w:rPr>
        <w:t>CBOCS PENNSYLVANIA,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Pennsylvania limited liability company</w:t>
      </w:r>
    </w:p>
    <w:p>
      <w:pPr>
        <w:spacing w:after="0" w:line="211"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M. Wolfson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Name:Richard M. Wolfson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CBOCS DISTRIBUTION, INC.,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Tennessee corporation</w:t>
      </w:r>
    </w:p>
    <w:p>
      <w:pPr>
        <w:spacing w:after="0" w:line="211"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/s/Jeffrey M. Wilson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Name:Jeffrey M. Wilson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ROCKING CHAIR, INC.,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/s/Donna Roberts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Name:Donna Roberts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CBOCS TEXAS,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Tennessee limited liability company</w:t>
      </w:r>
    </w:p>
    <w:p>
      <w:pPr>
        <w:spacing w:after="0" w:line="211"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/s/Jeffrey M. Wilson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Name:Jeffrey M. Wilson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CBOCS PROPERTIES, INC.,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Michigan corporation</w:t>
      </w:r>
    </w:p>
    <w:p>
      <w:pPr>
        <w:spacing w:after="0" w:line="211"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/s/S. Victoria Harvey</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Name:S. Victoria Harvey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auto"/>
        </w:rPr>
        <w:t>ADMINISTRATIVE AGENT</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u w:val="single" w:color="auto"/>
          <w:color w:val="auto"/>
        </w:rPr>
        <w:t>AND COLLATERAL AGENT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BANK OF AMERICA, N.A.,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 and Collateral Agent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/s/Joan Mok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Joan Mok</w:t>
      </w:r>
    </w:p>
    <w:p>
      <w:pPr>
        <w:spacing w:after="0" w:line="9"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Arial" w:cs="Arial" w:eastAsia="Arial" w:hAnsi="Arial"/>
                <w:sz w:val="18"/>
                <w:szCs w:val="18"/>
                <w:color w:val="auto"/>
              </w:rPr>
              <w:t>LENDERS:</w:t>
            </w:r>
          </w:p>
        </w:tc>
        <w:tc>
          <w:tcPr>
            <w:tcW w:w="6120" w:type="dxa"/>
            <w:vAlign w:val="bottom"/>
            <w:gridSpan w:val="3"/>
          </w:tcPr>
          <w:p>
            <w:pPr>
              <w:ind w:left="2420"/>
              <w:spacing w:after="0"/>
              <w:rPr>
                <w:sz w:val="20"/>
                <w:szCs w:val="20"/>
                <w:color w:val="auto"/>
              </w:rPr>
            </w:pPr>
            <w:r>
              <w:rPr>
                <w:rFonts w:ascii="Arial" w:cs="Arial" w:eastAsia="Arial" w:hAnsi="Arial"/>
                <w:sz w:val="18"/>
                <w:szCs w:val="18"/>
                <w:color w:val="auto"/>
              </w:rPr>
              <w:t>BANK OF AMERICA, N.A.,</w:t>
            </w:r>
          </w:p>
        </w:tc>
      </w:tr>
      <w:tr>
        <w:trPr>
          <w:trHeight w:val="237"/>
        </w:trPr>
        <w:tc>
          <w:tcPr>
            <w:tcW w:w="820" w:type="dxa"/>
            <w:vAlign w:val="bottom"/>
            <w:tcBorders>
              <w:top w:val="single" w:sz="8" w:color="auto"/>
            </w:tcBorders>
          </w:tcPr>
          <w:p>
            <w:pPr>
              <w:spacing w:after="0"/>
              <w:rPr>
                <w:sz w:val="20"/>
                <w:szCs w:val="20"/>
                <w:color w:val="auto"/>
              </w:rPr>
            </w:pPr>
          </w:p>
        </w:tc>
        <w:tc>
          <w:tcPr>
            <w:tcW w:w="2480" w:type="dxa"/>
            <w:vAlign w:val="bottom"/>
          </w:tcPr>
          <w:p>
            <w:pPr>
              <w:spacing w:after="0"/>
              <w:rPr>
                <w:sz w:val="20"/>
                <w:szCs w:val="20"/>
                <w:color w:val="auto"/>
              </w:rPr>
            </w:pPr>
          </w:p>
        </w:tc>
        <w:tc>
          <w:tcPr>
            <w:tcW w:w="6120" w:type="dxa"/>
            <w:vAlign w:val="bottom"/>
            <w:gridSpan w:val="3"/>
          </w:tcPr>
          <w:p>
            <w:pPr>
              <w:ind w:left="2420"/>
              <w:spacing w:after="0"/>
              <w:rPr>
                <w:sz w:val="20"/>
                <w:szCs w:val="20"/>
                <w:color w:val="auto"/>
              </w:rPr>
            </w:pPr>
            <w:r>
              <w:rPr>
                <w:rFonts w:ascii="Arial" w:cs="Arial" w:eastAsia="Arial" w:hAnsi="Arial"/>
                <w:sz w:val="18"/>
                <w:szCs w:val="18"/>
                <w:color w:val="auto"/>
                <w:w w:val="90"/>
              </w:rPr>
              <w:t>as an Issuing Bank, Swing Line Bank and a Lender</w:t>
            </w:r>
          </w:p>
        </w:tc>
      </w:tr>
      <w:tr>
        <w:trPr>
          <w:trHeight w:val="392"/>
        </w:trPr>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20" w:type="dxa"/>
            <w:vAlign w:val="bottom"/>
            <w:gridSpan w:val="3"/>
          </w:tcPr>
          <w:p>
            <w:pPr>
              <w:ind w:left="2420"/>
              <w:spacing w:after="0"/>
              <w:rPr>
                <w:sz w:val="20"/>
                <w:szCs w:val="20"/>
                <w:color w:val="auto"/>
              </w:rPr>
            </w:pPr>
            <w:r>
              <w:rPr>
                <w:rFonts w:ascii="Arial" w:cs="Arial" w:eastAsia="Arial" w:hAnsi="Arial"/>
                <w:sz w:val="18"/>
                <w:szCs w:val="18"/>
                <w:color w:val="auto"/>
              </w:rPr>
              <w:t>By:  /s/Robert J. Beckley</w:t>
            </w:r>
          </w:p>
        </w:tc>
      </w:tr>
      <w:tr>
        <w:trPr>
          <w:trHeight w:val="20"/>
        </w:trPr>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Robert J. Beckley</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4" w:name="page85"/>
    <w:bookmarkEnd w:id="84"/>
    <w:p>
      <w:pPr>
        <w:ind w:left="46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an Issuing Bank and a Lender</w:t>
      </w:r>
    </w:p>
    <w:p>
      <w:pPr>
        <w:spacing w:after="0" w:line="211"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/s/Maureen Malphus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Name:Maureen Malphus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5" w:name="page86"/>
    <w:bookmarkEnd w:id="85"/>
    <w:p>
      <w:pPr>
        <w:ind w:left="4500"/>
        <w:spacing w:after="0"/>
        <w:rPr>
          <w:sz w:val="20"/>
          <w:szCs w:val="20"/>
          <w:color w:val="auto"/>
        </w:rPr>
      </w:pPr>
      <w:r>
        <w:rPr>
          <w:rFonts w:ascii="Arial" w:cs="Arial" w:eastAsia="Arial" w:hAnsi="Arial"/>
          <w:sz w:val="18"/>
          <w:szCs w:val="18"/>
          <w:color w:val="auto"/>
        </w:rPr>
        <w:t>COOPERATIEVE CENTRALE RAIFFEISEN-BOERENLEENBANK B.A.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“RABOBANK NEDERLAND”, NEW YORK BRANCH, as a Lender</w:t>
      </w:r>
    </w:p>
    <w:p>
      <w:pPr>
        <w:spacing w:after="0" w:line="211"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/s/Chris Grimes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Name:Chris Grimes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/s/Jennifer Smith</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Name:Jennifer Smith</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6" w:name="page87"/>
    <w:bookmarkEnd w:id="86"/>
    <w:p>
      <w:pPr>
        <w:ind w:left="4500"/>
        <w:spacing w:after="0"/>
        <w:rPr>
          <w:sz w:val="20"/>
          <w:szCs w:val="20"/>
          <w:color w:val="auto"/>
        </w:rPr>
      </w:pPr>
      <w:r>
        <w:rPr>
          <w:rFonts w:ascii="Arial" w:cs="Arial" w:eastAsia="Arial" w:hAnsi="Arial"/>
          <w:sz w:val="18"/>
          <w:szCs w:val="18"/>
          <w:color w:val="auto"/>
        </w:rPr>
        <w:t>REGIONS BANK, as a Lender</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/s/Scott C. Tocci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Name:Scott C. Tocci</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7" w:name="page88"/>
    <w:bookmarkEnd w:id="87"/>
    <w:p>
      <w:pPr>
        <w:ind w:left="4500"/>
        <w:spacing w:after="0"/>
        <w:rPr>
          <w:sz w:val="20"/>
          <w:szCs w:val="20"/>
          <w:color w:val="auto"/>
        </w:rPr>
      </w:pPr>
      <w:r>
        <w:rPr>
          <w:rFonts w:ascii="Arial" w:cs="Arial" w:eastAsia="Arial" w:hAnsi="Arial"/>
          <w:sz w:val="18"/>
          <w:szCs w:val="18"/>
          <w:color w:val="auto"/>
        </w:rPr>
        <w:t>SUNTRUST BANK, as a Lender</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/s/Katie Lundin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Name:Katie Lundin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8" w:name="page89"/>
    <w:bookmarkEnd w:id="88"/>
    <w:p>
      <w:pPr>
        <w:ind w:left="4500"/>
        <w:spacing w:after="0"/>
        <w:rPr>
          <w:sz w:val="20"/>
          <w:szCs w:val="20"/>
          <w:color w:val="auto"/>
        </w:rPr>
      </w:pPr>
      <w:r>
        <w:rPr>
          <w:rFonts w:ascii="Arial" w:cs="Arial" w:eastAsia="Arial" w:hAnsi="Arial"/>
          <w:sz w:val="18"/>
          <w:szCs w:val="18"/>
          <w:color w:val="auto"/>
        </w:rPr>
        <w:t>U.S. BANK NATIONAL ASSOCIATION, as a Lender</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/s/Sean P. Walters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Name:Sean P. Walters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9" w:name="page90"/>
    <w:bookmarkEnd w:id="89"/>
    <w:p>
      <w:pPr>
        <w:ind w:left="4500"/>
        <w:spacing w:after="0"/>
        <w:rPr>
          <w:sz w:val="20"/>
          <w:szCs w:val="20"/>
          <w:color w:val="auto"/>
        </w:rPr>
      </w:pPr>
      <w:r>
        <w:rPr>
          <w:rFonts w:ascii="Arial" w:cs="Arial" w:eastAsia="Arial" w:hAnsi="Arial"/>
          <w:sz w:val="18"/>
          <w:szCs w:val="18"/>
          <w:color w:val="auto"/>
        </w:rPr>
        <w:t>BRANCH BANKING AND TRUST COMPANY, as a Lender</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/s/Steven Thompson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Name:Steven Thompson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90" w:name="page91"/>
    <w:bookmarkEnd w:id="90"/>
    <w:p>
      <w:pPr>
        <w:ind w:left="4500"/>
        <w:spacing w:after="0"/>
        <w:rPr>
          <w:sz w:val="20"/>
          <w:szCs w:val="20"/>
          <w:color w:val="auto"/>
        </w:rPr>
      </w:pPr>
      <w:r>
        <w:rPr>
          <w:rFonts w:ascii="Arial" w:cs="Arial" w:eastAsia="Arial" w:hAnsi="Arial"/>
          <w:sz w:val="18"/>
          <w:szCs w:val="18"/>
          <w:color w:val="auto"/>
        </w:rPr>
        <w:t>PNC BANK, NATIONAL ASSOCIATION, as a Lender</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/s/Creighton Reiss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Name:Creighton Reiss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91" w:name="page92"/>
    <w:bookmarkEnd w:id="91"/>
    <w:p>
      <w:pPr>
        <w:ind w:left="4500"/>
        <w:spacing w:after="0"/>
        <w:rPr>
          <w:sz w:val="20"/>
          <w:szCs w:val="20"/>
          <w:color w:val="auto"/>
        </w:rPr>
      </w:pPr>
      <w:r>
        <w:rPr>
          <w:rFonts w:ascii="Arial" w:cs="Arial" w:eastAsia="Arial" w:hAnsi="Arial"/>
          <w:sz w:val="18"/>
          <w:szCs w:val="18"/>
          <w:color w:val="auto"/>
        </w:rPr>
        <w:t>SYNOVUS BANK, as a Lender</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/s/Chandra Cockrell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Name:Chandra Cockrell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Corporate Banker</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92" w:name="page93"/>
    <w:bookmarkEnd w:id="92"/>
    <w:p>
      <w:pPr>
        <w:ind w:left="4500"/>
        <w:spacing w:after="0"/>
        <w:rPr>
          <w:sz w:val="20"/>
          <w:szCs w:val="20"/>
          <w:color w:val="auto"/>
        </w:rPr>
      </w:pPr>
      <w:r>
        <w:rPr>
          <w:rFonts w:ascii="Arial" w:cs="Arial" w:eastAsia="Arial" w:hAnsi="Arial"/>
          <w:sz w:val="18"/>
          <w:szCs w:val="18"/>
          <w:color w:val="auto"/>
        </w:rPr>
        <w:t>PINNACLE BANK, as a Lender</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/s/William H. Diehl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Name:William H. Diehl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CRACKER BARREL OLD COUNTRY STORE, INC.</w:t>
      </w:r>
    </w:p>
    <w:p>
      <w:pPr>
        <w:jc w:val="right"/>
        <w:spacing w:after="0"/>
        <w:rPr>
          <w:sz w:val="20"/>
          <w:szCs w:val="20"/>
          <w:color w:val="auto"/>
        </w:rPr>
      </w:pPr>
      <w:r>
        <w:rPr>
          <w:rFonts w:ascii="Arial" w:cs="Arial" w:eastAsia="Arial" w:hAnsi="Arial"/>
          <w:sz w:val="14"/>
          <w:szCs w:val="14"/>
          <w:color w:val="auto"/>
        </w:rPr>
        <w:t>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64770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following description of the capital stock of Cracker Barrel Old Country Store, Inc. (“us,” “our,” “we,” “CBRL” or the “Company”) is a summary of the rights of our common stock and certain provisions of our amended and restated charter (the “Charter”) and amended and restated bylaws (the “Bylaws”) as currently in effect. This summary does not purport to be complete and is qualified in its entirety by the provisions of our Charter, Bylaws and Rights Agreement (defined below), copies of which are filed as exhibits to this Annual Report on Form 10-K and are incorporated by reference herein, and to the applicable provisions of Tennessee law. We encourage you to read our Charter, Bylaws, and Rights Agreement and the applicable provisions of Tennessee law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authorized capitalization consists of 500,000,000 shares, of which 400,000,000 shares are classified and designated common stock, par value $0.01 per share, and 100,000,000 shares are classified and designated preferred stock, par value $0.01 per share. Our board of directors (the “Board of Directors”) has designated and authorized the issuance of a series of up to 300,000 shares of Series A Junior Participating Preferred Stock, $0.01 par value per share (the “Series A Junior Participating Preferred Stock”).</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Our common stock is listed and principally traded on the Nasdaq Global Select Market under the symbol “CBRL.” All outstanding shares of our common stock are fully paid and nonassessable. Each outstanding share of our common stock is entitled to one vote on all matters submitted to a vote of shareholders. Our Board of Directors is declassified, and each director stands for election every year. The holders of our outstanding common stock do not have the right to cumulate their votes with respect to the election of directors or any other matters. The holders of outstanding shares of our common stock are entitled to receive dividends out of assets legally available for the payment of dividends at the times and in the amounts as our Board of Directors may from time to time determine. The shares of common stock are neither redeemable nor convertible. Holders of our common stock have no preemptive or subscription rights to purchase any securities of CBRL. Upon liquidation, dissolution or winding up of CBRL, the holders of our common stock are entitled to receive pro rata the assets of CBRL that are legally available for distribution, after payment of all debts and other liabilities and subject to the prior rights of any holders of preferred stock then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Our Charter authorizes our Board of Directors to issue, without further shareholder approval, up to 100,000,000 shares of preferred stock from time to time in one or more series with such designations, powers, preferences and relative rights, including voting rights, conversion rights, distribution rights, dividend rights, liquidation preference, transfer rights, redemption rights, merger rights and other rights, or restrictions as may be provided for the issue of such series by resolution and amendment to our Charter adopted by our Board of Directors. This generally is referred to as “blank check” preferred stock. The preferred stock could have priority over common stock as to dividends and as to the distribution of our assets upon any liquidation, dissolution or winding up of CBRL. Accordingly, the Board of Directors’ ability to authorize, without shareholder approval, the issuance of preferred stock with conversion and other rights may adversely affect the rights of holders of our common stock or other series of preferred stock that may be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4" w:name="page95"/>
    <w:bookmarkEnd w:id="94"/>
    <w:p>
      <w:pPr>
        <w:jc w:val="both"/>
        <w:ind w:firstLine="648"/>
        <w:spacing w:after="0" w:line="241" w:lineRule="auto"/>
        <w:rPr>
          <w:sz w:val="20"/>
          <w:szCs w:val="20"/>
          <w:color w:val="auto"/>
        </w:rPr>
      </w:pPr>
      <w:r>
        <w:rPr>
          <w:rFonts w:ascii="Arial" w:cs="Arial" w:eastAsia="Arial" w:hAnsi="Arial"/>
          <w:sz w:val="22"/>
          <w:szCs w:val="22"/>
          <w:color w:val="auto"/>
        </w:rPr>
        <w:t>No shares of our preferred stock are currently issued and outstanding and we currently have no plans to issue any of the 100,000,000 authorized shares of preferred stock, except as described under “—Series A Junior Participating Preferred Stock” and “—Shareholder Rights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Series A Junior Participating Preferred Stock</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April 9, 2018, the Board of Directors authorized the issuance of a series of 300,000 shares of Series A Junior Participating Preferred Stock. The Series A Junior Participating Preferred Stock may be issued in fractions of one one-hundredth of a share upon the exercise by holders of our common stock of certain preferred share purchase rights (the “Rights”) pursuant to the Rights Agreement. Our Board of Directors authorized and declared a dividend to shareholders of record at the close of business on April 19, 2019 of one Right for each outstanding share of common stock of the Company. The terms of the Series A Junior Participating Preferred Stock are governed by our Charter.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additional information regarding the Rights Agreement, see “—Shareholder Rights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transfer agent and registrar for our common stock and the Rights is American Stock Transfer &amp; Trust Company.</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Charter and Bylaws Contain Provisions That May Have an Anti-Takeover Effect</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Our Charter and Bylaws contain certain provisions that could have the effect of delaying, deferring or discouraging another party from acquiring control of the Company. These provisions, which are summarized below, could discourage takeovers, coercive or otherwise. These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As discussed above, our Board of Directors has the ability to designate and issue preferred stock with voting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rights or preferences that could deter hostile takeovers or delay changes in our control or management.</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Limits on the ability of shareholders to act by written consent</w:t>
      </w:r>
      <w:r>
        <w:rPr>
          <w:rFonts w:ascii="Arial" w:cs="Arial" w:eastAsia="Arial" w:hAnsi="Arial"/>
          <w:sz w:val="17"/>
          <w:szCs w:val="17"/>
          <w:color w:val="auto"/>
        </w:rPr>
        <w:t>. Our Charter provides that our shareholders may not act by written consent,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lengthen the amount of time required to take shareholder actions. As a result, the holders of a majority of our capital stock would not be able to amend our Charter or Bylaws or remove directors without holding a meeting of shareholders called in accordance with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both"/>
        <w:ind w:firstLine="648"/>
        <w:spacing w:after="0" w:line="276" w:lineRule="auto"/>
        <w:rPr>
          <w:sz w:val="20"/>
          <w:szCs w:val="20"/>
          <w:color w:val="auto"/>
        </w:rPr>
      </w:pPr>
      <w:r>
        <w:rPr>
          <w:rFonts w:ascii="Arial" w:cs="Arial" w:eastAsia="Arial" w:hAnsi="Arial"/>
          <w:sz w:val="17"/>
          <w:szCs w:val="17"/>
          <w:i w:val="1"/>
          <w:iCs w:val="1"/>
          <w:color w:val="auto"/>
        </w:rPr>
        <w:t>Requirements for advance notification of shareholder nominations and proposals</w:t>
      </w:r>
      <w:r>
        <w:rPr>
          <w:rFonts w:ascii="Arial" w:cs="Arial" w:eastAsia="Arial" w:hAnsi="Arial"/>
          <w:sz w:val="17"/>
          <w:szCs w:val="17"/>
          <w:color w:val="auto"/>
        </w:rPr>
        <w:t>. Our Charter and Bylaws contain advance notice procedures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shareholder proposals and the nomination of candidates for election as directors, other than nominations made by or at the direction of our Board of Directors or a committee of the Board of Directors. These advance notice procedures may have the effect of precluding the conduct of certain business at a meeting if the proper procedures are not followed and may also discourage or deter a potential acquirer from conducting a solicitation of proxies to elect the acquirer’s own slate of directors or otherwise attempt to obtain control of our company.</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Amendment of Certificate of Incorporation and Bylaws. </w:t>
      </w:r>
      <w:r>
        <w:rPr>
          <w:rFonts w:ascii="Arial" w:cs="Arial" w:eastAsia="Arial" w:hAnsi="Arial"/>
          <w:sz w:val="17"/>
          <w:szCs w:val="17"/>
          <w:color w:val="auto"/>
        </w:rPr>
        <w:t>Tennessee law provides generally that the affirmative vote of a majority of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vote on any matter is required to amend a corporation’s certificate of incorporation or Bylaws, unless a corporation’s Charter or Bylaws, as the case may be, requires a greater percentage. Our Charter provides that certain sections of our Charter and Bylaws may only be amended or revised by the affirmative vote of at least 75% of the outstanding shares of the capital stock of the Company entitled to vote, voting as one class.</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Removal of directors</w:t>
      </w:r>
      <w:r>
        <w:rPr>
          <w:rFonts w:ascii="Arial" w:cs="Arial" w:eastAsia="Arial" w:hAnsi="Arial"/>
          <w:sz w:val="17"/>
          <w:szCs w:val="17"/>
          <w:color w:val="auto"/>
        </w:rPr>
        <w:t>. Under Tennessee law, a director can be removed by shareholders with or without cause, unless a corporation’s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that the director can only be removed for cause. Our Charter includes this restriction, which could make it more difficult for shareholders to remove existing members of our Board other than in connection with an annual meeting elect directors at which their annual terms expire.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Calling a special meeting</w:t>
      </w:r>
      <w:r>
        <w:rPr>
          <w:rFonts w:ascii="Arial" w:cs="Arial" w:eastAsia="Arial" w:hAnsi="Arial"/>
          <w:sz w:val="18"/>
          <w:szCs w:val="18"/>
          <w:color w:val="auto"/>
        </w:rPr>
        <w:t>. Under Tennessee law, a special meeting of a Tennessee corporation’s shareholders can be called by its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unless the charter provides otherwise, the holders of at least 10% of the outstanding voting stock. Our Charter provides that a special meeting can be called only by the holders of 20% or more of the voting stock, which could diminish the ability of shareholders to call special meetings or effect proposals outside the annual meeting context.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Tennessee Anti-Takeover Statutes.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addition to certain of the Charter and Bylaws provisions discussed above and below, Tennessee has adopted a series of statutes which can have an anti-takeover effect and may delay or prevent a tender offer or takeover attempt that a shareholder might consider in its best interest, including those attempts that might result in a premium over the market price for our capital stock.</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Tennessee Business Corporation Act</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Tennessee Business Corporation Act (the “TBCA”) applies to all Tennessee companies. It imposes a five-year standstill on transactions such as mergers, share exchanges, sales of assets, liquidations and other interested party transactions between Tennessee corporations and “interested shareholders” and their associates or affiliates, unless the business combination is approved by the board of directors before the interested shareholder goes above the 10% ownership threshold. Thereafter, the transaction either requires a two-thirds vote of the shareholders other than the interested shareholder or satisfaction of certain fair price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both"/>
        <w:ind w:firstLine="648"/>
        <w:spacing w:after="0" w:line="248" w:lineRule="auto"/>
        <w:rPr>
          <w:sz w:val="20"/>
          <w:szCs w:val="20"/>
          <w:color w:val="auto"/>
        </w:rPr>
      </w:pPr>
      <w:r>
        <w:rPr>
          <w:rFonts w:ascii="Arial" w:cs="Arial" w:eastAsia="Arial" w:hAnsi="Arial"/>
          <w:sz w:val="21"/>
          <w:szCs w:val="21"/>
          <w:color w:val="auto"/>
        </w:rPr>
        <w:t>The TBCA also provides for additional exculpatory protection for the board of directors in resisting mergers, exchanges and tender offers if a Tennessee corporation’s charter specifically incorporates such provisions. A Tennessee corporation’s charter may authorize the members of a board of directors, in the exercise of their judgment, to give due consideration to factors other than price and to consider whether a merger, exchange, tender offer or significant disposition of assets would adversely affect the corporation’s employees, customers, suppliers, the communities in which the corporation operates, or any other relevant factor in the exercise of their fiduciary duty to the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Tennessee Control Share Acquisition Act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Tennessee Control Share Acquisition Act (the “TCSA”) limits the voting rights of shares owned by a person above certain percentage thresholds, unless the non-interested shareholders of the corporation approve the interested shareholder’s acquisition above the designated threshold. However, the TCSA only applies to corporations whose charter or bylaws contain an express declaration that control share acquisitions are to be governed by the TCSA. In addition, the charter or bylaws may specifically provide for the redemption of control shares or appraisal rights for dissenting shareholders in a control share transaction. Our Charter makes all of the express declarations necessary to avail us of the full protection under the TCSA.</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Our charter makes all of the express declarations necessary to avail us of the full protection under the TBCA and TCSA. The provisions described above will have the general effect of discouraging, or rendering more difficult, unfriendly takeover or acquisition attempts. Consequently, such provisions could make takeover transactions less likely or have an adverse effect on the market price of our securities. However, our Board of Directors believes that such provisions are advantageous to shareholders in that they will encourage potential acquirers to negotiate with the Board of Directors with respect to any takeover proposal, thus enabling our Board of Directors to seek the greatest value and most favorable terms reasonably obtainable for our shareholders in such circumstances.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Rights Agreement</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On November 15, 2018, the Company’s shareholders approved the adoption by our Board of Directors of the Rights Agreement, dated as of April 9, 2018 (the “Rights Agreement”). In connection with the adoption of the Rights Agreement, on April 9, 2018, our Board of Directors authorized and declared a dividend to shareholders of record at the close of business on April 19, 2019 of one Right for each outstanding share of common stock of the Company. Upon certain triggering events, each Right would entitle the holder to purchase from the Company one one-hundredth (subject to adjustment) of one share of Series A Junior Participating Preferred Stock, at an exercise price of $600.00 (the “Purchase Price”) per one one-hundredth of a share of Series A Junior Participating Preferred Stock. In addition, if a person or group acquires beneficial ownership of 20% or more of the Company’s common stock without prior approval of the Board of Directors, each holder of a Right (other than the acquiring person or group whose Rights will become void) will have the right to purchase, upon payment of the Purchase Price and in accordance with the terms of the Rights Agreement, a number of shares of the Company’s common stock having a market value of twice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jc w:val="both"/>
        <w:ind w:firstLine="648"/>
        <w:spacing w:after="0" w:line="277" w:lineRule="auto"/>
        <w:rPr>
          <w:sz w:val="20"/>
          <w:szCs w:val="20"/>
          <w:color w:val="auto"/>
        </w:rPr>
      </w:pPr>
      <w:r>
        <w:rPr>
          <w:rFonts w:ascii="Arial" w:cs="Arial" w:eastAsia="Arial" w:hAnsi="Arial"/>
          <w:sz w:val="19"/>
          <w:szCs w:val="19"/>
          <w:color w:val="auto"/>
        </w:rPr>
        <w:t>The Rights Agreement is intended to enable all of our shareholders to realize the full potential value of their investment in the Company and to protect the interests of the Company and its shareholders by reducing the likelihood that any person or group gains control of the Company through open market accumulation or other tactics without paying an appropriate control premium. The Rights Agreement could render more difficult, or discourage, a merger, tender offer, or assumption of control of the Company that is not approved by our Board of Directors. The Rights Agreement, however, is not intended to interfere with any merger, tender or exchange offer or other business combination approved by our Board of Directors. In addition, the Rights Agreement does not prevent our Board of Directors from considering any offer that it considers to be in the best interest of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Subsidiaries of the Registrant</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list of the significant subsidiaries of the Registrant as of August 2, 2019, all of which are wholly-owned: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State of</w:t>
            </w:r>
          </w:p>
        </w:tc>
        <w:tc>
          <w:tcPr>
            <w:tcW w:w="0" w:type="dxa"/>
            <w:vAlign w:val="bottom"/>
          </w:tcPr>
          <w:p>
            <w:pPr>
              <w:spacing w:after="0"/>
              <w:rPr>
                <w:sz w:val="1"/>
                <w:szCs w:val="1"/>
                <w:color w:val="auto"/>
              </w:rPr>
            </w:pPr>
          </w:p>
        </w:tc>
      </w:tr>
      <w:tr>
        <w:trPr>
          <w:trHeight w:val="190"/>
        </w:trPr>
        <w:tc>
          <w:tcPr>
            <w:tcW w:w="8660" w:type="dxa"/>
            <w:vAlign w:val="bottom"/>
            <w:gridSpan w:val="4"/>
          </w:tcPr>
          <w:p>
            <w:pPr>
              <w:spacing w:after="0" w:line="190" w:lineRule="exact"/>
              <w:rPr>
                <w:sz w:val="20"/>
                <w:szCs w:val="20"/>
                <w:color w:val="auto"/>
              </w:rPr>
            </w:pPr>
            <w:r>
              <w:rPr>
                <w:rFonts w:ascii="Arial" w:cs="Arial" w:eastAsia="Arial" w:hAnsi="Arial"/>
                <w:sz w:val="18"/>
                <w:szCs w:val="18"/>
                <w:color w:val="auto"/>
              </w:rPr>
              <w:t>Parent</w:t>
            </w:r>
          </w:p>
        </w:tc>
        <w:tc>
          <w:tcPr>
            <w:tcW w:w="2760" w:type="dxa"/>
            <w:vAlign w:val="bottom"/>
            <w:gridSpan w:val="2"/>
          </w:tcPr>
          <w:p>
            <w:pPr>
              <w:spacing w:after="0" w:line="190" w:lineRule="exact"/>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Cracker Barrel Old Country Store, Inc.</w:t>
            </w: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Subsidiaries</w:t>
            </w:r>
          </w:p>
        </w:tc>
        <w:tc>
          <w:tcPr>
            <w:tcW w:w="9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Distribution, Inc.</w:t>
            </w:r>
          </w:p>
        </w:tc>
        <w:tc>
          <w:tcPr>
            <w:tcW w:w="9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3"/>
          </w:tcPr>
          <w:p>
            <w:pPr>
              <w:spacing w:after="0" w:line="201" w:lineRule="exact"/>
              <w:rPr>
                <w:sz w:val="20"/>
                <w:szCs w:val="20"/>
                <w:color w:val="auto"/>
              </w:rPr>
            </w:pPr>
            <w:r>
              <w:rPr>
                <w:rFonts w:ascii="Arial" w:cs="Arial" w:eastAsia="Arial" w:hAnsi="Arial"/>
                <w:sz w:val="18"/>
                <w:szCs w:val="18"/>
                <w:color w:val="auto"/>
              </w:rPr>
              <w:t>CBOCS Properties, Inc.</w:t>
            </w:r>
          </w:p>
        </w:tc>
        <w:tc>
          <w:tcPr>
            <w:tcW w:w="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3"/>
          </w:tcPr>
          <w:p>
            <w:pPr>
              <w:ind w:left="160"/>
              <w:spacing w:after="0"/>
              <w:rPr>
                <w:sz w:val="20"/>
                <w:szCs w:val="20"/>
                <w:color w:val="auto"/>
              </w:rPr>
            </w:pPr>
            <w:r>
              <w:rPr>
                <w:rFonts w:ascii="Arial" w:cs="Arial" w:eastAsia="Arial" w:hAnsi="Arial"/>
                <w:sz w:val="18"/>
                <w:szCs w:val="18"/>
                <w:color w:val="auto"/>
              </w:rPr>
              <w:t>(dba Cracker Barrel Old Country Store)</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West, Inc.</w:t>
            </w:r>
          </w:p>
        </w:tc>
        <w:tc>
          <w:tcPr>
            <w:tcW w:w="9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2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587"/>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consent to the incorporation by reference in Registration Statement Nos. 33-37567, 33-45482, 333-63442, 333-71384, 333-81063, 333-111364 and 333-174744 on Form S-8 of our reports dated September 27, 2019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August 2, 2019.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Nashville, Tennessee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0" w:name="page101"/>
    <w:bookmarkEnd w:id="100"/>
    <w:p>
      <w:pPr>
        <w:spacing w:after="0"/>
        <w:tabs>
          <w:tab w:leader="none" w:pos="50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Sandra B. Cochran, certify that:</w:t>
      </w:r>
    </w:p>
    <w:p>
      <w:pPr>
        <w:spacing w:after="0" w:line="240" w:lineRule="exact"/>
        <w:rPr>
          <w:sz w:val="20"/>
          <w:szCs w:val="20"/>
          <w:color w:val="auto"/>
        </w:rPr>
      </w:pPr>
    </w:p>
    <w:p>
      <w:pPr>
        <w:ind w:left="1500" w:hanging="425"/>
        <w:spacing w:after="0"/>
        <w:tabs>
          <w:tab w:leader="none" w:pos="1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hanging="412"/>
        <w:spacing w:after="0" w:line="277" w:lineRule="auto"/>
        <w:tabs>
          <w:tab w:leader="none" w:pos="19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27, 2019</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01" w:name="page102"/>
    <w:bookmarkEnd w:id="101"/>
    <w:p>
      <w:pPr>
        <w:spacing w:after="0"/>
        <w:tabs>
          <w:tab w:leader="none" w:pos="502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Jill M. Golder, certify that:</w:t>
      </w:r>
    </w:p>
    <w:p>
      <w:pPr>
        <w:spacing w:after="0" w:line="240" w:lineRule="exact"/>
        <w:rPr>
          <w:sz w:val="20"/>
          <w:szCs w:val="20"/>
          <w:color w:val="auto"/>
        </w:rPr>
      </w:pPr>
    </w:p>
    <w:p>
      <w:pPr>
        <w:ind w:left="1540" w:hanging="479"/>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540" w:hanging="479"/>
        <w:spacing w:after="0" w:line="264"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40" w:right="20" w:hanging="479"/>
        <w:spacing w:after="0" w:line="342" w:lineRule="auto"/>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40" w:hanging="479"/>
        <w:spacing w:after="0" w:line="291" w:lineRule="auto"/>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hanging="412"/>
        <w:spacing w:after="0" w:line="277"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27, 2019</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3" w:lineRule="exact"/>
        <w:rPr>
          <w:sz w:val="20"/>
          <w:szCs w:val="20"/>
          <w:color w:val="auto"/>
        </w:rPr>
      </w:pPr>
    </w:p>
    <w:p>
      <w:pPr>
        <w:jc w:val="center"/>
        <w:ind w:left="300" w:right="2220"/>
        <w:spacing w:after="0"/>
        <w:rPr>
          <w:sz w:val="20"/>
          <w:szCs w:val="20"/>
          <w:color w:val="auto"/>
        </w:rPr>
      </w:pPr>
      <w:r>
        <w:rPr>
          <w:rFonts w:ascii="Arial" w:cs="Arial" w:eastAsia="Arial" w:hAnsi="Arial"/>
          <w:sz w:val="22"/>
          <w:szCs w:val="22"/>
          <w:color w:val="auto"/>
        </w:rPr>
        <w:t>CERTIFICATION OF CHIEF EXECUTIVE OFFICER PURSUANT TO 18 U.S.C. SECTION 1350, AS ADOPTED PURSUANT TO SECTION 906 OF THE SARBANES-OXLEY ACT OF 2002</w:t>
      </w:r>
    </w:p>
    <w:p>
      <w:pPr>
        <w:spacing w:after="0" w:line="213"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In connection with the Annual Report of Cracker Barrel Old Country Store, Inc. (the “Issuer”) on Form 10-K for the fiscal year ended August 2, 2019,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1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Date: September 27, 2019</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38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ind w:left="260" w:right="2240"/>
        <w:spacing w:after="0"/>
        <w:rPr>
          <w:sz w:val="20"/>
          <w:szCs w:val="20"/>
          <w:color w:val="auto"/>
        </w:rPr>
      </w:pPr>
      <w:r>
        <w:rPr>
          <w:rFonts w:ascii="Arial" w:cs="Arial" w:eastAsia="Arial" w:hAnsi="Arial"/>
          <w:sz w:val="22"/>
          <w:szCs w:val="22"/>
          <w:color w:val="auto"/>
        </w:rPr>
        <w:t>CERTIFICATION OF CHIEF FINANCIAL OFFICER PURSUANT TO 18 U.S.C. SECTION 1350, AS ADOPTED PURSUANT TO SECTION 906 OF THE SARBANES-OXLEY ACT OF 2002</w:t>
      </w:r>
    </w:p>
    <w:p>
      <w:pPr>
        <w:spacing w:after="0" w:line="21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In connection with the Annual Report of Cracker Barrel Old Country Store, Inc. (the “Issuer”) on Form 10-K for the fiscal year ended August 2, 2019,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21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Date: September 27, 2019</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/s/Jill M. Golder</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41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lowerLetter"/>
      <w:start w:val="2"/>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4"/>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lvl w:ilvl="1">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2"/>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1."/>
      <w:numFmt w:val="decimal"/>
      <w:start w:val="4"/>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7"/>
    </w:lvl>
  </w:abstractNum>
  <w:abstractNum w:abstractNumId="22">
    <w:nsid w:val="419AC241"/>
    <w:multiLevelType w:val="hybridMultilevel"/>
    <w:lvl w:ilvl="0">
      <w:lvlJc w:val="left"/>
      <w:lvlText w:val="%1."/>
      <w:numFmt w:val="decimal"/>
      <w:start w:val="8"/>
    </w:lvl>
  </w:abstractNum>
  <w:abstractNum w:abstractNumId="23">
    <w:nsid w:val="5577F8E1"/>
    <w:multiLevelType w:val="hybridMultilevel"/>
    <w:lvl w:ilvl="0">
      <w:lvlJc w:val="left"/>
      <w:lvlText w:val="%1."/>
      <w:numFmt w:val="decimal"/>
      <w:start w:val="9"/>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1"/>
    </w:lvl>
    <w:lvl w:ilvl="1">
      <w:lvlJc w:val="left"/>
      <w:lvlText w:val="%2."/>
      <w:numFmt w:val="decimal"/>
      <w:start w:val="1"/>
    </w:lvl>
  </w:abstractNum>
  <w:abstractNum w:abstractNumId="29">
    <w:nsid w:val="5C482A97"/>
    <w:multiLevelType w:val="hybridMultilevel"/>
    <w:lvl w:ilvl="0">
      <w:lvlJc w:val="left"/>
      <w:lvlText w:val="%1"/>
      <w:numFmt w:val="decimal"/>
      <w:start w:val="21"/>
    </w:lvl>
  </w:abstractNum>
  <w:abstractNum w:abstractNumId="30">
    <w:nsid w:val="2463B9EA"/>
    <w:multiLevelType w:val="hybridMultilevel"/>
    <w:lvl w:ilvl="0">
      <w:lvlJc w:val="left"/>
      <w:lvlText w:val="%1"/>
      <w:numFmt w:val="decimal"/>
      <w:start w:val="23"/>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lvl w:ilvl="1">
      <w:lvlJc w:val="left"/>
      <w:lvlText w:val="(%2)"/>
      <w:numFmt w:val="lowerLetter"/>
      <w:start w:val="1"/>
    </w:lvl>
  </w:abstractNum>
  <w:abstractNum w:abstractNumId="33">
    <w:nsid w:val="2D517796"/>
    <w:multiLevelType w:val="hybridMultilevel"/>
    <w:lvl w:ilvl="0">
      <w:lvlJc w:val="left"/>
      <w:lvlText w:val="(%1)"/>
      <w:numFmt w:val="lowerRoman"/>
      <w:start w:val="2"/>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37">
    <w:nsid w:val="70A64E2A"/>
    <w:multiLevelType w:val="hybridMultilevel"/>
    <w:lvl w:ilvl="0">
      <w:lvlJc w:val="left"/>
      <w:lvlText w:val="(%1)"/>
      <w:numFmt w:val="lowerRoman"/>
      <w:start w:val="10"/>
    </w:lvl>
    <w:lvl w:ilvl="1">
      <w:lvlJc w:val="left"/>
      <w:lvlText w:val="(%2)"/>
      <w:numFmt w:val="lowerLetter"/>
      <w:start w:val="4"/>
    </w:lvl>
    <w:lvl w:ilvl="2">
      <w:lvlJc w:val="left"/>
      <w:lvlText w:val="(%3)"/>
      <w:numFmt w:val="lowerRoman"/>
      <w:start w:val="9"/>
    </w:lvl>
  </w:abstractNum>
  <w:abstractNum w:abstractNumId="38">
    <w:nsid w:val="6A2342EC"/>
    <w:multiLevelType w:val="hybridMultilevel"/>
    <w:lvl w:ilvl="0">
      <w:lvlJc w:val="left"/>
      <w:lvlText w:val="%1."/>
      <w:numFmt w:val="decimal"/>
      <w:start w:val="2"/>
    </w:lvl>
    <w:lvl w:ilvl="1">
      <w:lvlJc w:val="left"/>
      <w:lvlText w:val="(%2)"/>
      <w:numFmt w:val="lowerLetter"/>
      <w:start w:val="1"/>
    </w:lvl>
  </w:abstractNum>
  <w:abstractNum w:abstractNumId="39">
    <w:nsid w:val="2A487CB0"/>
    <w:multiLevelType w:val="hybridMultilevel"/>
    <w:lvl w:ilvl="0">
      <w:lvlJc w:val="left"/>
      <w:lvlText w:val="%1"/>
      <w:numFmt w:val="lowerLetter"/>
      <w:start w:val="1"/>
    </w:lvl>
    <w:lvl w:ilvl="1">
      <w:lvlJc w:val="left"/>
      <w:lvlText w:val="(%2)"/>
      <w:numFmt w:val="lowerRoman"/>
      <w:start w:val="1"/>
    </w:lvl>
  </w:abstractNum>
  <w:abstractNum w:abstractNumId="40">
    <w:nsid w:val="1D4ED43B"/>
    <w:multiLevelType w:val="hybridMultilevel"/>
    <w:lvl w:ilvl="0">
      <w:lvlJc w:val="left"/>
      <w:lvlText w:val="(%1)"/>
      <w:numFmt w:val="lowerLetter"/>
      <w:start w:val="4"/>
    </w:lvl>
    <w:lvl w:ilvl="1">
      <w:lvlJc w:val="left"/>
      <w:lvlText w:val="%2"/>
      <w:numFmt w:val="lowerRoman"/>
      <w:start w:val="1"/>
    </w:lvl>
  </w:abstractNum>
  <w:abstractNum w:abstractNumId="41">
    <w:nsid w:val="725A06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2">
    <w:nsid w:val="2CD89A3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95" Type="http://schemas.openxmlformats.org/officeDocument/2006/relationships/hyperlink" Target="http://www.sec.gov/Archives/edgar/data/1067294/000119312512156250/d331564dex31.htm" TargetMode="External"/><Relationship Id="rId96" Type="http://schemas.openxmlformats.org/officeDocument/2006/relationships/hyperlink" Target="http://www.sec.gov/Archives/edgar/data/1067294/000119312512078431/d306470dex31.htm" TargetMode="External"/><Relationship Id="rId97" Type="http://schemas.openxmlformats.org/officeDocument/2006/relationships/hyperlink" Target="http://www.sec.gov/Archives/edgar/data/1067294/000119312518270150/d618824dex101.htm" TargetMode="External"/><Relationship Id="rId98" Type="http://schemas.openxmlformats.org/officeDocument/2006/relationships/hyperlink" Target="http://www.sec.gov/Archives/edgar/data/1067294/000119312518111679/d565409dex41.htm" TargetMode="External"/><Relationship Id="rId99" Type="http://schemas.openxmlformats.org/officeDocument/2006/relationships/hyperlink" Target="http://www.sec.gov/Archives/edgar/data/1067294/000100579405000791/cbrlgroup10k092205ex10l.txt" TargetMode="External"/><Relationship Id="rId100" Type="http://schemas.openxmlformats.org/officeDocument/2006/relationships/hyperlink" Target="http://www.sec.gov/Archives/edgar/data/1067294/000092757000000098/0000927570-00-000098-0005.txt" TargetMode="External"/><Relationship Id="rId101" Type="http://schemas.openxmlformats.org/officeDocument/2006/relationships/hyperlink" Target="http://www.sec.gov/Archives/edgar/data/1067294/000114036117036195/ex10d.htm" TargetMode="External"/><Relationship Id="rId102" Type="http://schemas.openxmlformats.org/officeDocument/2006/relationships/hyperlink" Target="http://www.sec.gov/Archives/edgar/data/1067294/000114036117036195/ex10e.htm" TargetMode="External"/><Relationship Id="rId103" Type="http://schemas.openxmlformats.org/officeDocument/2006/relationships/hyperlink" Target="http://www.sec.gov/Archives/edgar/data/1067294/000114036117036195/ex10f.htm" TargetMode="External"/><Relationship Id="rId104" Type="http://schemas.openxmlformats.org/officeDocument/2006/relationships/hyperlink" Target="http://www.sec.gov/Archives/edgar/data/1067294/000100579409000035/exhibit101.htm" TargetMode="External"/><Relationship Id="rId105" Type="http://schemas.openxmlformats.org/officeDocument/2006/relationships/hyperlink" Target="http://www.sec.gov/Archives/edgar/data/1067294/000100579409000124/exhibit101.htm" TargetMode="External"/><Relationship Id="rId106" Type="http://schemas.openxmlformats.org/officeDocument/2006/relationships/hyperlink" Target="http://www.sec.gov/Archives/edgar/data/1067294/000100579410000039/exhibit102.htm" TargetMode="External"/><Relationship Id="rId107" Type="http://schemas.openxmlformats.org/officeDocument/2006/relationships/hyperlink" Target="http://www.sec.gov/Archives/edgar/data/1067294/000100579410000208/omnibusincentivecompplan.htm" TargetMode="External"/><Relationship Id="rId108" Type="http://schemas.openxmlformats.org/officeDocument/2006/relationships/hyperlink" Target="http://www.sec.gov/Archives/edgar/data/1067294/000100579410000208/perfbasedstockunitaward.htm" TargetMode="External"/><Relationship Id="rId109" Type="http://schemas.openxmlformats.org/officeDocument/2006/relationships/hyperlink" Target="http://www.sec.gov/Archives/edgar/data/1067294/000114036111046998/ex10_aa.htm" TargetMode="External"/><Relationship Id="rId110" Type="http://schemas.openxmlformats.org/officeDocument/2006/relationships/hyperlink" Target="http://www.sec.gov/Archives/edgar/data/1067294/000114036111046998/ex10_bb.htm" TargetMode="External"/><Relationship Id="rId111" Type="http://schemas.openxmlformats.org/officeDocument/2006/relationships/hyperlink" Target="http://www.sec.gov/Archives/edgar/data/1067294/000114036111046998/ex10_cc.htm" TargetMode="External"/><Relationship Id="rId112" Type="http://schemas.openxmlformats.org/officeDocument/2006/relationships/hyperlink" Target="http://www.sec.gov/Archives/edgar/data/1067294/000119312513312775/d576779dex103.htm" TargetMode="External"/><Relationship Id="rId113" Type="http://schemas.openxmlformats.org/officeDocument/2006/relationships/hyperlink" Target="http://www.sec.gov/Archives/edgar/data/1067294/000119312516751198/d263957dex102.htm" TargetMode="External"/><Relationship Id="rId114" Type="http://schemas.openxmlformats.org/officeDocument/2006/relationships/hyperlink" Target="http://www.sec.gov/Archives/edgar/data/1067294/000119312517302422/d379699dex102.htm" TargetMode="External"/><Relationship Id="rId115" Type="http://schemas.openxmlformats.org/officeDocument/2006/relationships/hyperlink" Target="http://www.sec.gov/Archives/edgar/data/1067294/000114036118025852/ex10_1.htm" TargetMode="External"/><Relationship Id="rId116" Type="http://schemas.openxmlformats.org/officeDocument/2006/relationships/hyperlink" Target="http://www.sec.gov/Archives/edgar/data/1067294/000114036118025852/ex10_2.htm" TargetMode="External"/><Relationship Id="rId117" Type="http://schemas.openxmlformats.org/officeDocument/2006/relationships/hyperlink" Target="http://www.sec.gov/Archives/edgar/data/1067294/000119312518231683/d568511dex101.htm" TargetMode="External"/><Relationship Id="rId118" Type="http://schemas.openxmlformats.org/officeDocument/2006/relationships/hyperlink" Target="http://www.sec.gov/Archives/edgar/data/1067294/000114036118039529/ex10_x.htm" TargetMode="External"/><Relationship Id="rId119" Type="http://schemas.openxmlformats.org/officeDocument/2006/relationships/hyperlink" Target="http://www.sec.gov/Archives/edgar/data/1067294/000114036118039529/ex10_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2019-12-28T06:12:24Z</dcterms:created>
  <dcterms:modified xsi:type="dcterms:W3CDTF">2019-12-28T06:12:24Z</dcterms:modified>
</cp:coreProperties>
</file>