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8" w:lineRule="exact"/>
        <w:rPr>
          <w:sz w:val="24"/>
          <w:szCs w:val="24"/>
          <w:color w:val="auto"/>
        </w:rPr>
      </w:pPr>
    </w:p>
    <w:p>
      <w:pPr>
        <w:jc w:val="center"/>
        <w:ind w:right="80"/>
        <w:spacing w:after="0"/>
        <w:rPr>
          <w:sz w:val="20"/>
          <w:szCs w:val="20"/>
          <w:color w:val="auto"/>
        </w:rPr>
      </w:pPr>
      <w:r>
        <w:rPr>
          <w:rFonts w:ascii="Arial" w:cs="Arial" w:eastAsia="Arial" w:hAnsi="Arial"/>
          <w:sz w:val="24"/>
          <w:szCs w:val="24"/>
          <w:color w:val="auto"/>
        </w:rPr>
        <w:t>SECURITIES AND EXCHANGE COMMISSION</w:t>
      </w:r>
    </w:p>
    <w:p>
      <w:pPr>
        <w:jc w:val="center"/>
        <w:ind w:right="80"/>
        <w:spacing w:after="0"/>
        <w:rPr>
          <w:sz w:val="20"/>
          <w:szCs w:val="20"/>
          <w:color w:val="auto"/>
        </w:rPr>
      </w:pPr>
      <w:r>
        <w:rPr>
          <w:rFonts w:ascii="Arial" w:cs="Arial" w:eastAsia="Arial" w:hAnsi="Arial"/>
          <w:sz w:val="21"/>
          <w:szCs w:val="21"/>
          <w:color w:val="auto"/>
        </w:rPr>
        <w:t>WASHINGTON, D.C. 20549</w:t>
      </w:r>
    </w:p>
    <w:p>
      <w:pPr>
        <w:spacing w:after="0" w:line="195" w:lineRule="exact"/>
        <w:rPr>
          <w:sz w:val="24"/>
          <w:szCs w:val="24"/>
          <w:color w:val="auto"/>
        </w:rPr>
      </w:pPr>
    </w:p>
    <w:p>
      <w:pPr>
        <w:jc w:val="center"/>
        <w:ind w:right="80"/>
        <w:spacing w:after="0"/>
        <w:rPr>
          <w:sz w:val="20"/>
          <w:szCs w:val="20"/>
          <w:color w:val="auto"/>
        </w:rPr>
      </w:pPr>
      <w:r>
        <w:rPr>
          <w:rFonts w:ascii="Arial" w:cs="Arial" w:eastAsia="Arial" w:hAnsi="Arial"/>
          <w:sz w:val="31"/>
          <w:szCs w:val="31"/>
          <w:color w:val="auto"/>
        </w:rPr>
        <w:t>FORM 10-Q</w:t>
      </w:r>
    </w:p>
    <w:p>
      <w:pPr>
        <w:spacing w:after="0" w:line="243" w:lineRule="exact"/>
        <w:rPr>
          <w:sz w:val="24"/>
          <w:szCs w:val="24"/>
          <w:color w:val="auto"/>
        </w:rPr>
      </w:pPr>
    </w:p>
    <w:p>
      <w:pPr>
        <w:ind w:left="320"/>
        <w:spacing w:after="0"/>
        <w:rPr>
          <w:sz w:val="20"/>
          <w:szCs w:val="20"/>
          <w:color w:val="auto"/>
        </w:rPr>
      </w:pPr>
      <w:r>
        <w:rPr>
          <w:rFonts w:ascii="Arial" w:cs="Arial" w:eastAsia="Arial" w:hAnsi="Arial"/>
          <w:sz w:val="17"/>
          <w:szCs w:val="17"/>
          <w:color w:val="auto"/>
        </w:rPr>
        <w:t>(Mark One)</w:t>
      </w:r>
    </w:p>
    <w:p>
      <w:pPr>
        <w:spacing w:after="0" w:line="22" w:lineRule="exact"/>
        <w:rPr>
          <w:sz w:val="24"/>
          <w:szCs w:val="24"/>
          <w:color w:val="auto"/>
        </w:rPr>
      </w:pPr>
    </w:p>
    <w:p>
      <w:pPr>
        <w:ind w:left="660" w:right="4760" w:hanging="347"/>
        <w:spacing w:after="0" w:line="267" w:lineRule="auto"/>
        <w:tabs>
          <w:tab w:leader="none" w:pos="617"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 For the Quarterly Period Ended April 27, 2012</w:t>
      </w:r>
    </w:p>
    <w:p>
      <w:pPr>
        <w:spacing w:after="0" w:line="200"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OR</w:t>
      </w:r>
    </w:p>
    <w:p>
      <w:pPr>
        <w:spacing w:after="0" w:line="243" w:lineRule="exact"/>
        <w:rPr>
          <w:sz w:val="24"/>
          <w:szCs w:val="24"/>
          <w:color w:val="auto"/>
        </w:rPr>
      </w:pPr>
    </w:p>
    <w:p>
      <w:pPr>
        <w:ind w:left="620" w:right="4780" w:hanging="307"/>
        <w:spacing w:after="0" w:line="312"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_________________ to __________________</w:t>
      </w:r>
    </w:p>
    <w:p>
      <w:pPr>
        <w:spacing w:after="0" w:line="141" w:lineRule="exact"/>
        <w:rPr>
          <w:sz w:val="24"/>
          <w:szCs w:val="24"/>
          <w:color w:val="auto"/>
        </w:rPr>
      </w:pPr>
    </w:p>
    <w:p>
      <w:pPr>
        <w:jc w:val="center"/>
        <w:ind w:right="120"/>
        <w:spacing w:after="0"/>
        <w:rPr>
          <w:sz w:val="20"/>
          <w:szCs w:val="20"/>
          <w:color w:val="auto"/>
        </w:rPr>
      </w:pPr>
      <w:r>
        <w:rPr>
          <w:rFonts w:ascii="Arial" w:cs="Arial" w:eastAsia="Arial" w:hAnsi="Arial"/>
          <w:sz w:val="17"/>
          <w:szCs w:val="17"/>
          <w:color w:val="auto"/>
        </w:rPr>
        <w:t>Commission file number: 001-25225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2788285</wp:posOffset>
            </wp:positionH>
            <wp:positionV relativeFrom="paragraph">
              <wp:posOffset>80645</wp:posOffset>
            </wp:positionV>
            <wp:extent cx="1680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93" w:lineRule="exact"/>
        <w:rPr>
          <w:sz w:val="24"/>
          <w:szCs w:val="24"/>
          <w:color w:val="auto"/>
        </w:rPr>
      </w:pPr>
    </w:p>
    <w:p>
      <w:pPr>
        <w:jc w:val="center"/>
        <w:ind w:right="80"/>
        <w:spacing w:after="0"/>
        <w:rPr>
          <w:sz w:val="20"/>
          <w:szCs w:val="20"/>
          <w:color w:val="auto"/>
        </w:rPr>
      </w:pPr>
      <w:r>
        <w:rPr>
          <w:rFonts w:ascii="Arial" w:cs="Arial" w:eastAsia="Arial" w:hAnsi="Arial"/>
          <w:sz w:val="41"/>
          <w:szCs w:val="41"/>
          <w:color w:val="auto"/>
        </w:rPr>
        <w:t>Cracker Barrel Old Country Store, Inc.</w:t>
      </w:r>
    </w:p>
    <w:p>
      <w:pPr>
        <w:spacing w:after="0" w:line="37"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(Exact name of registrant as specified in its charter)</w:t>
      </w:r>
    </w:p>
    <w:p>
      <w:pPr>
        <w:spacing w:after="0" w:line="229" w:lineRule="exact"/>
        <w:rPr>
          <w:sz w:val="24"/>
          <w:szCs w:val="24"/>
          <w:color w:val="auto"/>
        </w:rPr>
      </w:pPr>
    </w:p>
    <w:tbl>
      <w:tblPr>
        <w:tblLayout w:type="fixed"/>
        <w:tblInd w:w="740" w:type="dxa"/>
        <w:tblCellMar>
          <w:top w:w="0" w:type="dxa"/>
          <w:left w:w="0" w:type="dxa"/>
          <w:bottom w:w="0" w:type="dxa"/>
          <w:right w:w="0" w:type="dxa"/>
        </w:tblCellMar>
      </w:tblPr>
      <w:tr>
        <w:trPr>
          <w:trHeight w:val="206"/>
        </w:trPr>
        <w:tc>
          <w:tcPr>
            <w:tcW w:w="5300" w:type="dxa"/>
            <w:vAlign w:val="bottom"/>
          </w:tcPr>
          <w:p>
            <w:pPr>
              <w:jc w:val="center"/>
              <w:ind w:right="1074"/>
              <w:spacing w:after="0"/>
              <w:rPr>
                <w:sz w:val="20"/>
                <w:szCs w:val="20"/>
                <w:color w:val="auto"/>
              </w:rPr>
            </w:pPr>
            <w:r>
              <w:rPr>
                <w:rFonts w:ascii="Arial" w:cs="Arial" w:eastAsia="Arial" w:hAnsi="Arial"/>
                <w:sz w:val="17"/>
                <w:szCs w:val="17"/>
                <w:color w:val="auto"/>
                <w:w w:val="83"/>
              </w:rPr>
              <w:t>Tennessee</w:t>
            </w:r>
          </w:p>
        </w:tc>
        <w:tc>
          <w:tcPr>
            <w:tcW w:w="4000" w:type="dxa"/>
            <w:vAlign w:val="bottom"/>
          </w:tcPr>
          <w:p>
            <w:pPr>
              <w:jc w:val="center"/>
              <w:ind w:left="1094"/>
              <w:spacing w:after="0"/>
              <w:rPr>
                <w:sz w:val="20"/>
                <w:szCs w:val="20"/>
                <w:color w:val="auto"/>
              </w:rPr>
            </w:pPr>
            <w:r>
              <w:rPr>
                <w:rFonts w:ascii="Arial" w:cs="Arial" w:eastAsia="Arial" w:hAnsi="Arial"/>
                <w:sz w:val="17"/>
                <w:szCs w:val="17"/>
                <w:color w:val="auto"/>
                <w:w w:val="90"/>
              </w:rPr>
              <w:t>62-0812904</w:t>
            </w:r>
          </w:p>
        </w:tc>
      </w:tr>
      <w:tr>
        <w:trPr>
          <w:trHeight w:val="217"/>
        </w:trPr>
        <w:tc>
          <w:tcPr>
            <w:tcW w:w="5300" w:type="dxa"/>
            <w:vAlign w:val="bottom"/>
          </w:tcPr>
          <w:p>
            <w:pPr>
              <w:jc w:val="center"/>
              <w:ind w:right="1094"/>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4000" w:type="dxa"/>
            <w:vAlign w:val="bottom"/>
          </w:tcPr>
          <w:p>
            <w:pPr>
              <w:jc w:val="center"/>
              <w:ind w:left="1094"/>
              <w:spacing w:after="0"/>
              <w:rPr>
                <w:sz w:val="20"/>
                <w:szCs w:val="20"/>
                <w:color w:val="auto"/>
              </w:rPr>
            </w:pPr>
            <w:r>
              <w:rPr>
                <w:rFonts w:ascii="Arial" w:cs="Arial" w:eastAsia="Arial" w:hAnsi="Arial"/>
                <w:sz w:val="17"/>
                <w:szCs w:val="17"/>
                <w:color w:val="auto"/>
                <w:w w:val="95"/>
              </w:rPr>
              <w:t>(I.R.S. Employer Identification Number)</w:t>
            </w:r>
          </w:p>
        </w:tc>
      </w:tr>
      <w:tr>
        <w:trPr>
          <w:trHeight w:val="402"/>
        </w:trPr>
        <w:tc>
          <w:tcPr>
            <w:tcW w:w="5300" w:type="dxa"/>
            <w:vAlign w:val="bottom"/>
          </w:tcPr>
          <w:p>
            <w:pPr>
              <w:jc w:val="center"/>
              <w:ind w:right="1074"/>
              <w:spacing w:after="0"/>
              <w:rPr>
                <w:sz w:val="20"/>
                <w:szCs w:val="20"/>
                <w:color w:val="auto"/>
              </w:rPr>
            </w:pPr>
            <w:r>
              <w:rPr>
                <w:rFonts w:ascii="Arial" w:cs="Arial" w:eastAsia="Arial" w:hAnsi="Arial"/>
                <w:sz w:val="17"/>
                <w:szCs w:val="17"/>
                <w:color w:val="auto"/>
                <w:w w:val="92"/>
              </w:rPr>
              <w:t>305 Hartmann Drive, P.O. Box 787</w:t>
            </w:r>
          </w:p>
        </w:tc>
        <w:tc>
          <w:tcPr>
            <w:tcW w:w="4000" w:type="dxa"/>
            <w:vAlign w:val="bottom"/>
          </w:tcPr>
          <w:p>
            <w:pPr>
              <w:jc w:val="center"/>
              <w:ind w:left="1094"/>
              <w:spacing w:after="0"/>
              <w:rPr>
                <w:sz w:val="20"/>
                <w:szCs w:val="20"/>
                <w:color w:val="auto"/>
              </w:rPr>
            </w:pPr>
            <w:r>
              <w:rPr>
                <w:rFonts w:ascii="Arial" w:cs="Arial" w:eastAsia="Arial" w:hAnsi="Arial"/>
                <w:sz w:val="17"/>
                <w:szCs w:val="17"/>
                <w:color w:val="auto"/>
                <w:w w:val="90"/>
              </w:rPr>
              <w:t>37088-0787</w:t>
            </w:r>
          </w:p>
        </w:tc>
      </w:tr>
      <w:tr>
        <w:trPr>
          <w:trHeight w:val="206"/>
        </w:trPr>
        <w:tc>
          <w:tcPr>
            <w:tcW w:w="5300" w:type="dxa"/>
            <w:vAlign w:val="bottom"/>
          </w:tcPr>
          <w:p>
            <w:pPr>
              <w:jc w:val="center"/>
              <w:ind w:right="1094"/>
              <w:spacing w:after="0"/>
              <w:rPr>
                <w:sz w:val="20"/>
                <w:szCs w:val="20"/>
                <w:color w:val="auto"/>
              </w:rPr>
            </w:pPr>
            <w:r>
              <w:rPr>
                <w:rFonts w:ascii="Arial" w:cs="Arial" w:eastAsia="Arial" w:hAnsi="Arial"/>
                <w:sz w:val="17"/>
                <w:szCs w:val="17"/>
                <w:color w:val="auto"/>
                <w:w w:val="87"/>
              </w:rPr>
              <w:t>Lebanon, Tennessee</w:t>
            </w:r>
          </w:p>
        </w:tc>
        <w:tc>
          <w:tcPr>
            <w:tcW w:w="4000" w:type="dxa"/>
            <w:vAlign w:val="bottom"/>
          </w:tcPr>
          <w:p>
            <w:pPr>
              <w:jc w:val="center"/>
              <w:ind w:left="1114"/>
              <w:spacing w:after="0"/>
              <w:rPr>
                <w:sz w:val="20"/>
                <w:szCs w:val="20"/>
                <w:color w:val="auto"/>
              </w:rPr>
            </w:pPr>
            <w:r>
              <w:rPr>
                <w:rFonts w:ascii="Arial" w:cs="Arial" w:eastAsia="Arial" w:hAnsi="Arial"/>
                <w:sz w:val="17"/>
                <w:szCs w:val="17"/>
                <w:color w:val="auto"/>
                <w:w w:val="94"/>
              </w:rPr>
              <w:t>(Zip code)</w:t>
            </w:r>
          </w:p>
        </w:tc>
      </w:tr>
      <w:tr>
        <w:trPr>
          <w:trHeight w:val="217"/>
        </w:trPr>
        <w:tc>
          <w:tcPr>
            <w:tcW w:w="5300" w:type="dxa"/>
            <w:vAlign w:val="bottom"/>
          </w:tcPr>
          <w:p>
            <w:pPr>
              <w:jc w:val="center"/>
              <w:ind w:right="1094"/>
              <w:spacing w:after="0"/>
              <w:rPr>
                <w:sz w:val="20"/>
                <w:szCs w:val="20"/>
                <w:color w:val="auto"/>
              </w:rPr>
            </w:pPr>
            <w:r>
              <w:rPr>
                <w:rFonts w:ascii="Arial" w:cs="Arial" w:eastAsia="Arial" w:hAnsi="Arial"/>
                <w:sz w:val="17"/>
                <w:szCs w:val="17"/>
                <w:color w:val="auto"/>
                <w:w w:val="93"/>
              </w:rPr>
              <w:t>(Address of principal executive offices)</w:t>
            </w:r>
          </w:p>
        </w:tc>
        <w:tc>
          <w:tcPr>
            <w:tcW w:w="4000" w:type="dxa"/>
            <w:vAlign w:val="bottom"/>
          </w:tcPr>
          <w:p>
            <w:pPr>
              <w:spacing w:after="0"/>
              <w:rPr>
                <w:sz w:val="18"/>
                <w:szCs w:val="18"/>
                <w:color w:val="auto"/>
              </w:rPr>
            </w:pPr>
          </w:p>
        </w:tc>
      </w:tr>
    </w:tbl>
    <w:p>
      <w:pPr>
        <w:spacing w:after="0" w:line="222"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Registrant's telephone number, including area code: (615) 444-5533</w:t>
      </w:r>
    </w:p>
    <w:p>
      <w:pPr>
        <w:spacing w:after="0" w:line="243" w:lineRule="exact"/>
        <w:rPr>
          <w:sz w:val="24"/>
          <w:szCs w:val="24"/>
          <w:color w:val="auto"/>
        </w:rPr>
      </w:pPr>
    </w:p>
    <w:p>
      <w:pPr>
        <w:jc w:val="both"/>
        <w:ind w:right="80"/>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2" w:lineRule="exact"/>
        <w:rPr>
          <w:sz w:val="24"/>
          <w:szCs w:val="24"/>
          <w:color w:val="auto"/>
        </w:rPr>
      </w:pPr>
    </w:p>
    <w:p>
      <w:pPr>
        <w:jc w:val="both"/>
        <w:spacing w:after="0" w:line="21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2" w:lineRule="exact"/>
        <w:rPr>
          <w:sz w:val="24"/>
          <w:szCs w:val="24"/>
          <w:color w:val="auto"/>
        </w:rPr>
      </w:pPr>
    </w:p>
    <w:p>
      <w:pPr>
        <w:ind w:right="80"/>
        <w:spacing w:after="0" w:line="28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500"/>
          </w:cols>
          <w:pgMar w:left="240" w:top="305" w:right="159" w:bottom="1440" w:gutter="0" w:footer="0" w:header="0"/>
        </w:sectPr>
      </w:pPr>
    </w:p>
    <w:p>
      <w:pPr>
        <w:spacing w:after="0" w:line="157" w:lineRule="exact"/>
        <w:rPr>
          <w:sz w:val="24"/>
          <w:szCs w:val="24"/>
          <w:color w:val="auto"/>
        </w:rPr>
      </w:pPr>
    </w:p>
    <w:p>
      <w:pPr>
        <w:ind w:left="116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3" w:lineRule="exact"/>
        <w:rPr>
          <w:sz w:val="24"/>
          <w:szCs w:val="24"/>
          <w:color w:val="auto"/>
        </w:rPr>
      </w:pPr>
    </w:p>
    <w:p>
      <w:pPr>
        <w:sectPr>
          <w:pgSz w:w="11900" w:h="16838" w:orient="portrait"/>
          <w:cols w:equalWidth="0" w:num="3">
            <w:col w:w="5560" w:space="720"/>
            <w:col w:w="1160" w:space="80"/>
            <w:col w:w="3980"/>
          </w:cols>
          <w:pgMar w:left="240" w:top="305" w:right="159" w:bottom="1440" w:gutter="0" w:footer="0" w:header="0"/>
          <w:type w:val="continuous"/>
        </w:sectPr>
      </w:pPr>
    </w:p>
    <w:p>
      <w:pPr>
        <w:spacing w:after="0" w:line="32" w:lineRule="exact"/>
        <w:rPr>
          <w:sz w:val="24"/>
          <w:szCs w:val="24"/>
          <w:color w:val="auto"/>
        </w:rPr>
      </w:pPr>
    </w:p>
    <w:p>
      <w:pPr>
        <w:ind w:left="116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4">
            <w:col w:w="2600" w:space="180"/>
            <w:col w:w="2780" w:space="720"/>
            <w:col w:w="1900" w:space="80"/>
            <w:col w:w="3240"/>
          </w:cols>
          <w:pgMar w:left="240" w:top="305" w:right="159" w:bottom="1440" w:gutter="0" w:footer="0" w:header="0"/>
          <w:type w:val="continuous"/>
        </w:sectPr>
      </w:pPr>
    </w:p>
    <w:p>
      <w:pPr>
        <w:spacing w:after="0" w:line="6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w:t>
      </w:r>
    </w:p>
    <w:p>
      <w:pPr>
        <w:spacing w:after="0" w:line="19" w:lineRule="exact"/>
        <w:rPr>
          <w:sz w:val="24"/>
          <w:szCs w:val="24"/>
          <w:color w:val="auto"/>
        </w:rPr>
      </w:pPr>
    </w:p>
    <w:p>
      <w:pPr>
        <w:ind w:left="320"/>
        <w:spacing w:after="0" w:line="196" w:lineRule="exact"/>
        <w:tabs>
          <w:tab w:leader="none" w:pos="9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36" w:lineRule="exact"/>
        <w:rPr>
          <w:sz w:val="24"/>
          <w:szCs w:val="24"/>
          <w:color w:val="auto"/>
        </w:rPr>
      </w:pPr>
    </w:p>
    <w:p>
      <w:pPr>
        <w:spacing w:after="0"/>
        <w:rPr>
          <w:sz w:val="20"/>
          <w:szCs w:val="20"/>
          <w:color w:val="auto"/>
        </w:rPr>
      </w:pPr>
      <w:r>
        <w:rPr>
          <w:rFonts w:ascii="Arial" w:cs="Arial" w:eastAsia="Arial" w:hAnsi="Arial"/>
          <w:sz w:val="15"/>
          <w:szCs w:val="15"/>
          <w:color w:val="auto"/>
        </w:rPr>
        <w:t>Indicate the number of shares outstanding of each of the registrant’s classes of common stock, as of the latest practicable date.</w:t>
      </w:r>
    </w:p>
    <w:p>
      <w:pPr>
        <w:spacing w:after="0" w:line="266"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23,237,163 Shares of Common Stock</w:t>
      </w:r>
    </w:p>
    <w:p>
      <w:pPr>
        <w:spacing w:after="0" w:line="22"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Outstanding as of May 16,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7415"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423545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500"/>
          </w:cols>
          <w:pgMar w:left="240" w:top="305" w:right="1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CRACKER BARREL OLD COUNTRY STORE,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 Ended April 27, 2012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43" w:lineRule="exact"/>
        <w:rPr>
          <w:sz w:val="20"/>
          <w:szCs w:val="20"/>
          <w:color w:val="auto"/>
        </w:rPr>
      </w:pPr>
    </w:p>
    <w:p>
      <w:pPr>
        <w:spacing w:after="0"/>
        <w:tabs>
          <w:tab w:leader="none" w:pos="10840" w:val="left"/>
        </w:tabs>
        <w:rPr>
          <w:sz w:val="20"/>
          <w:szCs w:val="20"/>
          <w:color w:val="auto"/>
        </w:rPr>
      </w:pPr>
      <w:r>
        <w:rPr>
          <w:rFonts w:ascii="Arial" w:cs="Arial" w:eastAsia="Arial" w:hAnsi="Arial"/>
          <w:sz w:val="17"/>
          <w:szCs w:val="17"/>
          <w:b w:val="1"/>
          <w:bCs w:val="1"/>
          <w:color w:val="auto"/>
        </w:rPr>
        <w:t>PART I. FINANCIAL INFORMATION</w:t>
      </w:r>
      <w:r>
        <w:rPr>
          <w:sz w:val="20"/>
          <w:szCs w:val="20"/>
          <w:color w:val="auto"/>
        </w:rPr>
        <w:tab/>
      </w: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6755130</wp:posOffset>
            </wp:positionH>
            <wp:positionV relativeFrom="paragraph">
              <wp:posOffset>18415</wp:posOffset>
            </wp:positionV>
            <wp:extent cx="49974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745" cy="16510"/>
                    </a:xfrm>
                    <a:prstGeom prst="rect">
                      <a:avLst/>
                    </a:prstGeom>
                    <a:noFill/>
                  </pic:spPr>
                </pic:pic>
              </a:graphicData>
            </a:graphic>
          </wp:anchor>
        </w:drawing>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Item 1</w:t>
      </w:r>
    </w:p>
    <w:p>
      <w:pPr>
        <w:spacing w:after="0" w:line="22" w:lineRule="exact"/>
        <w:rPr>
          <w:sz w:val="20"/>
          <w:szCs w:val="20"/>
          <w:color w:val="auto"/>
        </w:rPr>
      </w:pPr>
    </w:p>
    <w:p>
      <w:pPr>
        <w:ind w:left="1520" w:hanging="368"/>
        <w:spacing w:after="0"/>
        <w:tabs>
          <w:tab w:leader="none" w:pos="1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Condensed Consolidated Financial Statements (Unaudited)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a)</w:t>
            </w:r>
          </w:p>
        </w:tc>
        <w:tc>
          <w:tcPr>
            <w:tcW w:w="9160" w:type="dxa"/>
            <w:vAlign w:val="bottom"/>
            <w:gridSpan w:val="11"/>
            <w:shd w:val="clear" w:color="auto" w:fill="CCEEFF"/>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Condensed Consolidated Balance Sheets as of April 27, 2012 and July 29, 2011</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120"/>
              <w:spacing w:after="0" w:line="167" w:lineRule="exact"/>
              <w:rPr>
                <w:sz w:val="20"/>
                <w:szCs w:val="20"/>
                <w:color w:val="auto"/>
              </w:rPr>
            </w:pPr>
            <w:r>
              <w:rPr>
                <w:rFonts w:ascii="Arial" w:cs="Arial" w:eastAsia="Arial" w:hAnsi="Arial"/>
                <w:sz w:val="17"/>
                <w:szCs w:val="17"/>
                <w:color w:val="auto"/>
              </w:rPr>
              <w:t>b)</w:t>
            </w:r>
          </w:p>
        </w:tc>
        <w:tc>
          <w:tcPr>
            <w:tcW w:w="9160" w:type="dxa"/>
            <w:vAlign w:val="bottom"/>
            <w:gridSpan w:val="11"/>
            <w:shd w:val="clear" w:color="auto" w:fill="CCEEFF"/>
          </w:tcPr>
          <w:p>
            <w:pPr>
              <w:spacing w:after="0" w:line="167" w:lineRule="exact"/>
              <w:rPr>
                <w:rFonts w:ascii="Arial" w:cs="Arial" w:eastAsia="Arial" w:hAnsi="Arial"/>
                <w:sz w:val="17"/>
                <w:szCs w:val="17"/>
                <w:color w:val="0000EE"/>
                <w:w w:val="98"/>
              </w:rPr>
            </w:pPr>
            <w:hyperlink w:anchor="page4">
              <w:r>
                <w:rPr>
                  <w:rFonts w:ascii="Arial" w:cs="Arial" w:eastAsia="Arial" w:hAnsi="Arial"/>
                  <w:sz w:val="17"/>
                  <w:szCs w:val="17"/>
                  <w:color w:val="0000EE"/>
                  <w:w w:val="98"/>
                </w:rPr>
                <w:t>Condensed Consolidated Statements of Income for the Quarters and Nine Months Ended April 27, 2012 and April 29, 2011</w:t>
              </w:r>
            </w:hyperlink>
          </w:p>
        </w:tc>
        <w:tc>
          <w:tcPr>
            <w:tcW w:w="5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120"/>
              <w:spacing w:after="0" w:line="167" w:lineRule="exact"/>
              <w:rPr>
                <w:sz w:val="20"/>
                <w:szCs w:val="20"/>
                <w:color w:val="auto"/>
              </w:rPr>
            </w:pPr>
            <w:r>
              <w:rPr>
                <w:rFonts w:ascii="Arial" w:cs="Arial" w:eastAsia="Arial" w:hAnsi="Arial"/>
                <w:sz w:val="17"/>
                <w:szCs w:val="17"/>
                <w:color w:val="auto"/>
              </w:rPr>
              <w:t>c)</w:t>
            </w:r>
          </w:p>
        </w:tc>
        <w:tc>
          <w:tcPr>
            <w:tcW w:w="9160" w:type="dxa"/>
            <w:vAlign w:val="bottom"/>
            <w:gridSpan w:val="11"/>
            <w:shd w:val="clear" w:color="auto" w:fill="CCEEFF"/>
          </w:tcPr>
          <w:p>
            <w:pPr>
              <w:spacing w:after="0" w:line="167" w:lineRule="exact"/>
              <w:rPr>
                <w:rFonts w:ascii="Arial" w:cs="Arial" w:eastAsia="Arial" w:hAnsi="Arial"/>
                <w:sz w:val="17"/>
                <w:szCs w:val="17"/>
                <w:color w:val="0000EE"/>
                <w:w w:val="95"/>
              </w:rPr>
            </w:pPr>
            <w:hyperlink w:anchor="page5">
              <w:r>
                <w:rPr>
                  <w:rFonts w:ascii="Arial" w:cs="Arial" w:eastAsia="Arial" w:hAnsi="Arial"/>
                  <w:sz w:val="17"/>
                  <w:szCs w:val="17"/>
                  <w:color w:val="0000EE"/>
                  <w:w w:val="95"/>
                </w:rPr>
                <w:t>Condensed Consolidated Statements of Cash Flows for the Quarters and Nine Months Ended April 27, 2012 and April 29, 2011</w:t>
              </w:r>
            </w:hyperlink>
          </w:p>
        </w:tc>
        <w:tc>
          <w:tcPr>
            <w:tcW w:w="5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120"/>
              <w:spacing w:after="0" w:line="167" w:lineRule="exact"/>
              <w:rPr>
                <w:sz w:val="20"/>
                <w:szCs w:val="20"/>
                <w:color w:val="auto"/>
              </w:rPr>
            </w:pPr>
            <w:r>
              <w:rPr>
                <w:rFonts w:ascii="Arial" w:cs="Arial" w:eastAsia="Arial" w:hAnsi="Arial"/>
                <w:sz w:val="17"/>
                <w:szCs w:val="17"/>
                <w:color w:val="auto"/>
              </w:rPr>
              <w:t>d)</w:t>
            </w:r>
          </w:p>
        </w:tc>
        <w:tc>
          <w:tcPr>
            <w:tcW w:w="9160" w:type="dxa"/>
            <w:vAlign w:val="bottom"/>
            <w:gridSpan w:val="11"/>
            <w:shd w:val="clear" w:color="auto" w:fill="CCEEFF"/>
          </w:tcPr>
          <w:p>
            <w:pPr>
              <w:spacing w:after="0" w:line="167" w:lineRule="exact"/>
              <w:rPr>
                <w:rFonts w:ascii="Arial" w:cs="Arial" w:eastAsia="Arial" w:hAnsi="Arial"/>
                <w:sz w:val="17"/>
                <w:szCs w:val="17"/>
                <w:color w:val="0000EE"/>
              </w:rPr>
            </w:pPr>
            <w:hyperlink w:anchor="page6">
              <w:r>
                <w:rPr>
                  <w:rFonts w:ascii="Arial" w:cs="Arial" w:eastAsia="Arial" w:hAnsi="Arial"/>
                  <w:sz w:val="17"/>
                  <w:szCs w:val="17"/>
                  <w:color w:val="0000EE"/>
                </w:rPr>
                <w:t>Notes to Condensed Consolidated Financial Statements</w:t>
              </w:r>
            </w:hyperlink>
          </w:p>
        </w:tc>
        <w:tc>
          <w:tcPr>
            <w:tcW w:w="5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gridSpan w:val="3"/>
          </w:tcPr>
          <w:p>
            <w:pPr>
              <w:ind w:left="60"/>
              <w:spacing w:after="0"/>
              <w:rPr>
                <w:sz w:val="20"/>
                <w:szCs w:val="20"/>
                <w:color w:val="auto"/>
              </w:rPr>
            </w:pPr>
            <w:r>
              <w:rPr>
                <w:rFonts w:ascii="Arial" w:cs="Arial" w:eastAsia="Arial" w:hAnsi="Arial"/>
                <w:sz w:val="17"/>
                <w:szCs w:val="17"/>
                <w:color w:val="auto"/>
              </w:rPr>
              <w:t>Item 2</w:t>
            </w:r>
          </w:p>
        </w:tc>
        <w:tc>
          <w:tcPr>
            <w:tcW w:w="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34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5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780" w:type="dxa"/>
            <w:vAlign w:val="bottom"/>
            <w:gridSpan w:val="14"/>
            <w:shd w:val="clear" w:color="auto" w:fill="CCEEFF"/>
          </w:tcPr>
          <w:p>
            <w:pPr>
              <w:ind w:left="60"/>
              <w:spacing w:after="0" w:line="169" w:lineRule="exact"/>
              <w:rPr>
                <w:rFonts w:ascii="Arial" w:cs="Arial" w:eastAsia="Arial" w:hAnsi="Arial"/>
                <w:sz w:val="17"/>
                <w:szCs w:val="17"/>
                <w:color w:val="auto"/>
              </w:rPr>
            </w:pPr>
            <w:r>
              <w:rPr>
                <w:rFonts w:ascii="Arial" w:cs="Arial" w:eastAsia="Arial" w:hAnsi="Arial"/>
                <w:sz w:val="17"/>
                <w:szCs w:val="17"/>
                <w:color w:val="auto"/>
              </w:rPr>
              <w:t xml:space="preserve">●   </w:t>
            </w:r>
            <w:hyperlink w:anchor="page18">
              <w:r>
                <w:rPr>
                  <w:rFonts w:ascii="Arial" w:cs="Arial" w:eastAsia="Arial" w:hAnsi="Arial"/>
                  <w:sz w:val="17"/>
                  <w:szCs w:val="17"/>
                  <w:color w:val="0000EE"/>
                </w:rPr>
                <w:t>Management’s Discussion and Analysis of Financial Condition and Results of Operations</w:t>
              </w:r>
            </w:hyperlink>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34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5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5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gridSpan w:val="3"/>
          </w:tcPr>
          <w:p>
            <w:pPr>
              <w:ind w:left="60"/>
              <w:spacing w:after="0"/>
              <w:rPr>
                <w:sz w:val="20"/>
                <w:szCs w:val="20"/>
                <w:color w:val="auto"/>
              </w:rPr>
            </w:pPr>
            <w:r>
              <w:rPr>
                <w:rFonts w:ascii="Arial" w:cs="Arial" w:eastAsia="Arial" w:hAnsi="Arial"/>
                <w:sz w:val="17"/>
                <w:szCs w:val="17"/>
                <w:color w:val="auto"/>
              </w:rPr>
              <w:t>Item 3</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780" w:type="dxa"/>
            <w:vAlign w:val="bottom"/>
            <w:gridSpan w:val="14"/>
            <w:shd w:val="clear" w:color="auto" w:fill="CCEEFF"/>
          </w:tcPr>
          <w:p>
            <w:pPr>
              <w:ind w:left="60"/>
              <w:spacing w:after="0" w:line="169" w:lineRule="exact"/>
              <w:rPr>
                <w:rFonts w:ascii="Arial" w:cs="Arial" w:eastAsia="Arial" w:hAnsi="Arial"/>
                <w:sz w:val="17"/>
                <w:szCs w:val="17"/>
                <w:color w:val="auto"/>
              </w:rPr>
            </w:pPr>
            <w:r>
              <w:rPr>
                <w:rFonts w:ascii="Arial" w:cs="Arial" w:eastAsia="Arial" w:hAnsi="Arial"/>
                <w:sz w:val="17"/>
                <w:szCs w:val="17"/>
                <w:color w:val="auto"/>
              </w:rPr>
              <w:t xml:space="preserve">●   </w:t>
            </w:r>
            <w:hyperlink w:anchor="page35">
              <w:r>
                <w:rPr>
                  <w:rFonts w:ascii="Arial" w:cs="Arial" w:eastAsia="Arial" w:hAnsi="Arial"/>
                  <w:sz w:val="17"/>
                  <w:szCs w:val="17"/>
                  <w:color w:val="0000EE"/>
                </w:rPr>
                <w:t>Quantitative and Qualitative Disclosures About Market Risk</w:t>
              </w:r>
            </w:hyperlink>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34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5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gridSpan w:val="3"/>
          </w:tcPr>
          <w:p>
            <w:pPr>
              <w:ind w:left="60"/>
              <w:spacing w:after="0"/>
              <w:rPr>
                <w:sz w:val="20"/>
                <w:szCs w:val="20"/>
                <w:color w:val="auto"/>
              </w:rPr>
            </w:pPr>
            <w:r>
              <w:rPr>
                <w:rFonts w:ascii="Arial" w:cs="Arial" w:eastAsia="Arial" w:hAnsi="Arial"/>
                <w:sz w:val="17"/>
                <w:szCs w:val="17"/>
                <w:color w:val="auto"/>
              </w:rPr>
              <w:t>Item 4</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ind w:left="60"/>
              <w:spacing w:after="0" w:line="169" w:lineRule="exact"/>
              <w:rPr>
                <w:sz w:val="20"/>
                <w:szCs w:val="20"/>
                <w:color w:val="auto"/>
              </w:rPr>
            </w:pPr>
            <w:r>
              <w:rPr>
                <w:rFonts w:ascii="Arial" w:cs="Arial" w:eastAsia="Arial" w:hAnsi="Arial"/>
                <w:sz w:val="17"/>
                <w:szCs w:val="17"/>
                <w:color w:val="auto"/>
              </w:rPr>
              <w:t>●</w:t>
            </w:r>
          </w:p>
        </w:tc>
        <w:tc>
          <w:tcPr>
            <w:tcW w:w="9500" w:type="dxa"/>
            <w:vAlign w:val="bottom"/>
            <w:gridSpan w:val="13"/>
            <w:shd w:val="clear" w:color="auto" w:fill="CCEEFF"/>
          </w:tcPr>
          <w:p>
            <w:pPr>
              <w:ind w:left="140"/>
              <w:spacing w:after="0" w:line="169" w:lineRule="exact"/>
              <w:rPr>
                <w:rFonts w:ascii="Arial" w:cs="Arial" w:eastAsia="Arial" w:hAnsi="Arial"/>
                <w:sz w:val="17"/>
                <w:szCs w:val="17"/>
                <w:color w:val="0000EE"/>
              </w:rPr>
            </w:pPr>
            <w:hyperlink w:anchor="page35">
              <w:r>
                <w:rPr>
                  <w:rFonts w:ascii="Arial" w:cs="Arial" w:eastAsia="Arial" w:hAnsi="Arial"/>
                  <w:sz w:val="17"/>
                  <w:szCs w:val="17"/>
                  <w:color w:val="0000EE"/>
                </w:rPr>
                <w:t>Controls and Procedures</w:t>
              </w:r>
            </w:hyperlink>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5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1"/>
        </w:trPr>
        <w:tc>
          <w:tcPr>
            <w:tcW w:w="10880" w:type="dxa"/>
            <w:vAlign w:val="bottom"/>
            <w:gridSpan w:val="16"/>
          </w:tcPr>
          <w:p>
            <w:pPr>
              <w:spacing w:after="0"/>
              <w:rPr>
                <w:sz w:val="20"/>
                <w:szCs w:val="20"/>
                <w:color w:val="auto"/>
              </w:rPr>
            </w:pPr>
            <w:r>
              <w:rPr>
                <w:rFonts w:ascii="Arial" w:cs="Arial" w:eastAsia="Arial" w:hAnsi="Arial"/>
                <w:sz w:val="17"/>
                <w:szCs w:val="17"/>
                <w:b w:val="1"/>
                <w:bCs w:val="1"/>
                <w:color w:val="auto"/>
              </w:rPr>
              <w:t>PART II. OTHER INFORMATION</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gridSpan w:val="3"/>
          </w:tcPr>
          <w:p>
            <w:pPr>
              <w:ind w:left="60"/>
              <w:spacing w:after="0"/>
              <w:rPr>
                <w:sz w:val="20"/>
                <w:szCs w:val="20"/>
                <w:color w:val="auto"/>
              </w:rPr>
            </w:pPr>
            <w:r>
              <w:rPr>
                <w:rFonts w:ascii="Arial" w:cs="Arial" w:eastAsia="Arial" w:hAnsi="Arial"/>
                <w:sz w:val="17"/>
                <w:szCs w:val="17"/>
                <w:color w:val="auto"/>
                <w:w w:val="92"/>
              </w:rPr>
              <w:t>Item 1A</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ind w:left="60"/>
              <w:spacing w:after="0" w:line="169" w:lineRule="exact"/>
              <w:rPr>
                <w:sz w:val="20"/>
                <w:szCs w:val="20"/>
                <w:color w:val="auto"/>
              </w:rPr>
            </w:pPr>
            <w:r>
              <w:rPr>
                <w:rFonts w:ascii="Arial" w:cs="Arial" w:eastAsia="Arial" w:hAnsi="Arial"/>
                <w:sz w:val="17"/>
                <w:szCs w:val="17"/>
                <w:color w:val="auto"/>
              </w:rPr>
              <w:t>●</w:t>
            </w:r>
          </w:p>
        </w:tc>
        <w:tc>
          <w:tcPr>
            <w:tcW w:w="9500" w:type="dxa"/>
            <w:vAlign w:val="bottom"/>
            <w:gridSpan w:val="13"/>
            <w:shd w:val="clear" w:color="auto" w:fill="CCEEFF"/>
          </w:tcPr>
          <w:p>
            <w:pPr>
              <w:ind w:left="140"/>
              <w:spacing w:after="0" w:line="169" w:lineRule="exact"/>
              <w:rPr>
                <w:rFonts w:ascii="Arial" w:cs="Arial" w:eastAsia="Arial" w:hAnsi="Arial"/>
                <w:sz w:val="17"/>
                <w:szCs w:val="17"/>
                <w:color w:val="0000EE"/>
              </w:rPr>
            </w:pPr>
            <w:hyperlink w:anchor="page36">
              <w:r>
                <w:rPr>
                  <w:rFonts w:ascii="Arial" w:cs="Arial" w:eastAsia="Arial" w:hAnsi="Arial"/>
                  <w:sz w:val="17"/>
                  <w:szCs w:val="17"/>
                  <w:color w:val="0000EE"/>
                </w:rPr>
                <w:t>Risk Factors</w:t>
              </w:r>
            </w:hyperlink>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5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gridSpan w:val="3"/>
          </w:tcPr>
          <w:p>
            <w:pPr>
              <w:ind w:left="60"/>
              <w:spacing w:after="0"/>
              <w:rPr>
                <w:sz w:val="20"/>
                <w:szCs w:val="20"/>
                <w:color w:val="auto"/>
              </w:rPr>
            </w:pPr>
            <w:r>
              <w:rPr>
                <w:rFonts w:ascii="Arial" w:cs="Arial" w:eastAsia="Arial" w:hAnsi="Arial"/>
                <w:sz w:val="17"/>
                <w:szCs w:val="17"/>
                <w:color w:val="auto"/>
              </w:rPr>
              <w:t>Item 2</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780" w:type="dxa"/>
            <w:vAlign w:val="bottom"/>
            <w:gridSpan w:val="14"/>
            <w:shd w:val="clear" w:color="auto" w:fill="CCEEFF"/>
          </w:tcPr>
          <w:p>
            <w:pPr>
              <w:ind w:left="60"/>
              <w:spacing w:after="0" w:line="169" w:lineRule="exact"/>
              <w:rPr>
                <w:rFonts w:ascii="Arial" w:cs="Arial" w:eastAsia="Arial" w:hAnsi="Arial"/>
                <w:sz w:val="17"/>
                <w:szCs w:val="17"/>
                <w:color w:val="auto"/>
              </w:rPr>
            </w:pPr>
            <w:r>
              <w:rPr>
                <w:rFonts w:ascii="Arial" w:cs="Arial" w:eastAsia="Arial" w:hAnsi="Arial"/>
                <w:sz w:val="17"/>
                <w:szCs w:val="17"/>
                <w:color w:val="auto"/>
              </w:rPr>
              <w:t xml:space="preserve">●   </w:t>
            </w:r>
            <w:hyperlink w:anchor="page36">
              <w:r>
                <w:rPr>
                  <w:rFonts w:ascii="Arial" w:cs="Arial" w:eastAsia="Arial" w:hAnsi="Arial"/>
                  <w:sz w:val="17"/>
                  <w:szCs w:val="17"/>
                  <w:color w:val="0000EE"/>
                </w:rPr>
                <w:t>Unregistered Sales of Equity Securities and Use of Proceeds</w:t>
              </w:r>
            </w:hyperlink>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34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0000EE"/>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5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gridSpan w:val="3"/>
          </w:tcPr>
          <w:p>
            <w:pPr>
              <w:ind w:left="60"/>
              <w:spacing w:after="0"/>
              <w:rPr>
                <w:sz w:val="20"/>
                <w:szCs w:val="20"/>
                <w:color w:val="auto"/>
              </w:rPr>
            </w:pPr>
            <w:r>
              <w:rPr>
                <w:rFonts w:ascii="Arial" w:cs="Arial" w:eastAsia="Arial" w:hAnsi="Arial"/>
                <w:sz w:val="17"/>
                <w:szCs w:val="17"/>
                <w:color w:val="auto"/>
              </w:rPr>
              <w:t>Item 5</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ind w:left="60"/>
              <w:spacing w:after="0" w:line="169" w:lineRule="exact"/>
              <w:rPr>
                <w:sz w:val="20"/>
                <w:szCs w:val="20"/>
                <w:color w:val="auto"/>
              </w:rPr>
            </w:pPr>
            <w:r>
              <w:rPr>
                <w:rFonts w:ascii="Arial" w:cs="Arial" w:eastAsia="Arial" w:hAnsi="Arial"/>
                <w:sz w:val="17"/>
                <w:szCs w:val="17"/>
                <w:color w:val="auto"/>
              </w:rPr>
              <w:t>●</w:t>
            </w:r>
          </w:p>
        </w:tc>
        <w:tc>
          <w:tcPr>
            <w:tcW w:w="9500" w:type="dxa"/>
            <w:vAlign w:val="bottom"/>
            <w:gridSpan w:val="13"/>
            <w:shd w:val="clear" w:color="auto" w:fill="CCEEFF"/>
          </w:tcPr>
          <w:p>
            <w:pPr>
              <w:ind w:left="140"/>
              <w:spacing w:after="0" w:line="169" w:lineRule="exact"/>
              <w:rPr>
                <w:rFonts w:ascii="Arial" w:cs="Arial" w:eastAsia="Arial" w:hAnsi="Arial"/>
                <w:sz w:val="17"/>
                <w:szCs w:val="17"/>
                <w:color w:val="0000EE"/>
              </w:rPr>
            </w:pPr>
            <w:hyperlink w:anchor="page36">
              <w:r>
                <w:rPr>
                  <w:rFonts w:ascii="Arial" w:cs="Arial" w:eastAsia="Arial" w:hAnsi="Arial"/>
                  <w:sz w:val="17"/>
                  <w:szCs w:val="17"/>
                  <w:color w:val="0000EE"/>
                </w:rPr>
                <w:t>Other Information</w:t>
              </w:r>
            </w:hyperlink>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5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gridSpan w:val="3"/>
          </w:tcPr>
          <w:p>
            <w:pPr>
              <w:ind w:left="60"/>
              <w:spacing w:after="0"/>
              <w:rPr>
                <w:sz w:val="20"/>
                <w:szCs w:val="20"/>
                <w:color w:val="auto"/>
              </w:rPr>
            </w:pPr>
            <w:r>
              <w:rPr>
                <w:rFonts w:ascii="Arial" w:cs="Arial" w:eastAsia="Arial" w:hAnsi="Arial"/>
                <w:sz w:val="17"/>
                <w:szCs w:val="17"/>
                <w:color w:val="auto"/>
              </w:rPr>
              <w:t>Item 6</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ind w:left="60"/>
              <w:spacing w:after="0" w:line="169" w:lineRule="exact"/>
              <w:rPr>
                <w:sz w:val="20"/>
                <w:szCs w:val="20"/>
                <w:color w:val="auto"/>
              </w:rPr>
            </w:pPr>
            <w:r>
              <w:rPr>
                <w:rFonts w:ascii="Arial" w:cs="Arial" w:eastAsia="Arial" w:hAnsi="Arial"/>
                <w:sz w:val="17"/>
                <w:szCs w:val="17"/>
                <w:color w:val="auto"/>
              </w:rPr>
              <w:t>●</w:t>
            </w:r>
          </w:p>
        </w:tc>
        <w:tc>
          <w:tcPr>
            <w:tcW w:w="9500" w:type="dxa"/>
            <w:vAlign w:val="bottom"/>
            <w:gridSpan w:val="13"/>
            <w:shd w:val="clear" w:color="auto" w:fill="CCEEFF"/>
          </w:tcPr>
          <w:p>
            <w:pPr>
              <w:ind w:left="140"/>
              <w:spacing w:after="0" w:line="169" w:lineRule="exact"/>
              <w:rPr>
                <w:rFonts w:ascii="Arial" w:cs="Arial" w:eastAsia="Arial" w:hAnsi="Arial"/>
                <w:sz w:val="17"/>
                <w:szCs w:val="17"/>
                <w:color w:val="0000EE"/>
              </w:rPr>
            </w:pPr>
            <w:hyperlink w:anchor="page37">
              <w:r>
                <w:rPr>
                  <w:rFonts w:ascii="Arial" w:cs="Arial" w:eastAsia="Arial" w:hAnsi="Arial"/>
                  <w:sz w:val="17"/>
                  <w:szCs w:val="17"/>
                  <w:color w:val="0000EE"/>
                </w:rPr>
                <w:t>Exhibits</w:t>
              </w:r>
            </w:hyperlink>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360" w:type="dxa"/>
            <w:vAlign w:val="bottom"/>
            <w:gridSpan w:val="2"/>
            <w:shd w:val="clear" w:color="auto" w:fill="CCEEFF"/>
          </w:tcPr>
          <w:p>
            <w:pPr>
              <w:spacing w:after="0" w:line="167" w:lineRule="exact"/>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SIGNATURES</w:t>
              </w:r>
            </w:hyperlink>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38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480" w:type="dxa"/>
            <w:vAlign w:val="bottom"/>
            <w:tcBorders>
              <w:top w:val="single" w:sz="8" w:color="CCEEFF"/>
            </w:tcBorders>
            <w:gridSpan w:val="7"/>
          </w:tcPr>
          <w:p>
            <w:pPr>
              <w:ind w:left="3960"/>
              <w:spacing w:after="0"/>
              <w:rPr>
                <w:sz w:val="20"/>
                <w:szCs w:val="20"/>
                <w:color w:val="auto"/>
              </w:rPr>
            </w:pPr>
            <w:r>
              <w:rPr>
                <w:rFonts w:ascii="Arial" w:cs="Arial" w:eastAsia="Arial" w:hAnsi="Arial"/>
                <w:sz w:val="14"/>
                <w:szCs w:val="14"/>
                <w:color w:val="auto"/>
              </w:rPr>
              <w:t>2</w:t>
            </w:r>
          </w:p>
        </w:tc>
        <w:tc>
          <w:tcPr>
            <w:tcW w:w="480" w:type="dxa"/>
            <w:vAlign w:val="bottom"/>
            <w:tcBorders>
              <w:top w:val="single" w:sz="8" w:color="CCEEFF"/>
            </w:tcBorders>
          </w:tcPr>
          <w:p>
            <w:pPr>
              <w:spacing w:after="0"/>
              <w:rPr>
                <w:sz w:val="24"/>
                <w:szCs w:val="24"/>
                <w:color w:val="auto"/>
              </w:rPr>
            </w:pPr>
          </w:p>
        </w:tc>
        <w:tc>
          <w:tcPr>
            <w:tcW w:w="25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PART I – FINANCIAL INFORMATION</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0" w:type="dxa"/>
            <w:vAlign w:val="bottom"/>
            <w:gridSpan w:val="3"/>
          </w:tcPr>
          <w:p>
            <w:pPr>
              <w:spacing w:after="0"/>
              <w:rPr>
                <w:sz w:val="20"/>
                <w:szCs w:val="20"/>
                <w:color w:val="auto"/>
              </w:rPr>
            </w:pPr>
            <w:r>
              <w:rPr>
                <w:rFonts w:ascii="Arial" w:cs="Arial" w:eastAsia="Arial" w:hAnsi="Arial"/>
                <w:sz w:val="17"/>
                <w:szCs w:val="17"/>
                <w:b w:val="1"/>
                <w:bCs w:val="1"/>
                <w:color w:val="auto"/>
              </w:rPr>
              <w:t>ITEM 1. Financial Statements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CRACKER BARREL OLD COUNTRY STORE, INC.</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CONDENSED CONSOLIDATED BALANCE SHEETS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89"/>
              </w:rPr>
              <w:t>(In thousands, except share data)</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92"/>
              </w:rPr>
              <w:t>(Unaudited)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88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ASSETS</w:t>
            </w:r>
          </w:p>
        </w:tc>
        <w:tc>
          <w:tcPr>
            <w:tcW w:w="180" w:type="dxa"/>
            <w:vAlign w:val="bottom"/>
          </w:tcPr>
          <w:p>
            <w:pPr>
              <w:spacing w:after="0"/>
              <w:rPr>
                <w:sz w:val="24"/>
                <w:szCs w:val="2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7"/>
                <w:szCs w:val="17"/>
                <w:color w:val="auto"/>
              </w:rPr>
              <w:t>April 27,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July 29,</w:t>
            </w:r>
          </w:p>
        </w:tc>
        <w:tc>
          <w:tcPr>
            <w:tcW w:w="0" w:type="dxa"/>
            <w:vAlign w:val="bottom"/>
          </w:tcPr>
          <w:p>
            <w:pPr>
              <w:spacing w:after="0"/>
              <w:rPr>
                <w:sz w:val="1"/>
                <w:szCs w:val="1"/>
                <w:color w:val="auto"/>
              </w:rPr>
            </w:pPr>
          </w:p>
        </w:tc>
      </w:tr>
      <w:tr>
        <w:trPr>
          <w:trHeight w:val="225"/>
        </w:trPr>
        <w:tc>
          <w:tcPr>
            <w:tcW w:w="8800" w:type="dxa"/>
            <w:vAlign w:val="bottom"/>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800" w:type="dxa"/>
            <w:vAlign w:val="bottom"/>
            <w:gridSpan w:val="3"/>
          </w:tcPr>
          <w:p>
            <w:pPr>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127,320</w:t>
            </w:r>
          </w:p>
        </w:tc>
        <w:tc>
          <w:tcPr>
            <w:tcW w:w="28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52,274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Property held for sale</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884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Accounts receivable</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19,107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12,279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Income taxes receivable</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7,898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Inventories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131,004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141,547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12,333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9,000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Deferred income taxes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21,967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307,982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245,915</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Property and equipment</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1,722,418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1,673,873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 of capital leases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705,949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664,709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Property and equipment –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1,016,469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1,009,164</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56,301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55,805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1,380,752</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1,310,884</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5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87,656</w:t>
            </w:r>
          </w:p>
        </w:tc>
        <w:tc>
          <w:tcPr>
            <w:tcW w:w="28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99,679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Current maturities of long-term debt and other long-term obligations</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14,178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Income taxes payable</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Accrued interest expense</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9,942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7,857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Dividend payable</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15,493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5,018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Deferred revenue</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40,873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32,630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current liabilities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124,238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121,796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296,216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267,103</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536,001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550,143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rate swap liability</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38,702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51,604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Other long-term obligations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108,117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105,661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68,339</w:t>
            </w: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85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Commitments and Contingencies (Note 15)</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Shareholders’ Equity:</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Preferred stock – 100,000,000 shares of $.01 par value authorized; no shares issued</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gridSpan w:val="2"/>
          </w:tcPr>
          <w:p>
            <w:pPr>
              <w:spacing w:after="0" w:line="194" w:lineRule="exact"/>
              <w:rPr>
                <w:sz w:val="20"/>
                <w:szCs w:val="20"/>
                <w:color w:val="auto"/>
              </w:rPr>
            </w:pPr>
            <w:r>
              <w:rPr>
                <w:rFonts w:ascii="Arial" w:cs="Arial" w:eastAsia="Arial" w:hAnsi="Arial"/>
                <w:sz w:val="17"/>
                <w:szCs w:val="17"/>
                <w:color w:val="auto"/>
                <w:w w:val="95"/>
              </w:rPr>
              <w:t>Common stock – 400,000,000 shares of $.01 par value authorized; 23,225,767 shares issued and outstanding at April 27,</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2012, and 22,840,974 shares issued and outstanding at July 29, 2011</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22,878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7,081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(27,130)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(38,032)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Retained earnings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340,271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298,757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Total shareholders’ equity</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336,251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268,034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liabilities and shareholders’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1,380,752</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1,310,884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8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See Notes to unaudited Condensed Consolidated Financial Statements.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120" w:firstLine="3"/>
        <w:spacing w:after="0" w:line="280" w:lineRule="auto"/>
        <w:tabs>
          <w:tab w:leader="none" w:pos="12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Condensed Consolidated Balance Sheet has been derived from the audited Consolidated Balance Sheet as of July 29, 2011, as filed in the Company’s Annual Report on Form 10-K for the fiscal year ended July 29, 2011.</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CRACKER BARREL OLD COUNTRY STORE,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gridSpan w:val="6"/>
          </w:tcPr>
          <w:p>
            <w:pPr>
              <w:jc w:val="right"/>
              <w:ind w:right="1000"/>
              <w:spacing w:after="0"/>
              <w:rPr>
                <w:sz w:val="20"/>
                <w:szCs w:val="20"/>
                <w:color w:val="auto"/>
              </w:rPr>
            </w:pPr>
            <w:r>
              <w:rPr>
                <w:rFonts w:ascii="Arial" w:cs="Arial" w:eastAsia="Arial" w:hAnsi="Arial"/>
                <w:sz w:val="17"/>
                <w:szCs w:val="17"/>
                <w:color w:val="auto"/>
              </w:rPr>
              <w:t>Quarter Ended</w:t>
            </w:r>
          </w:p>
        </w:tc>
        <w:tc>
          <w:tcPr>
            <w:tcW w:w="160" w:type="dxa"/>
            <w:vAlign w:val="bottom"/>
          </w:tcPr>
          <w:p>
            <w:pPr>
              <w:spacing w:after="0"/>
              <w:rPr>
                <w:sz w:val="19"/>
                <w:szCs w:val="19"/>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00"/>
              <w:spacing w:after="0" w:line="194" w:lineRule="exact"/>
              <w:rPr>
                <w:sz w:val="20"/>
                <w:szCs w:val="20"/>
                <w:color w:val="auto"/>
              </w:rPr>
            </w:pPr>
            <w:r>
              <w:rPr>
                <w:rFonts w:ascii="Arial" w:cs="Arial" w:eastAsia="Arial" w:hAnsi="Arial"/>
                <w:sz w:val="17"/>
                <w:szCs w:val="17"/>
                <w:color w:val="auto"/>
              </w:rPr>
              <w:t>April 27,</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29,</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100"/>
              <w:spacing w:after="0" w:line="194" w:lineRule="exact"/>
              <w:rPr>
                <w:sz w:val="20"/>
                <w:szCs w:val="20"/>
                <w:color w:val="auto"/>
              </w:rPr>
            </w:pPr>
            <w:r>
              <w:rPr>
                <w:rFonts w:ascii="Arial" w:cs="Arial" w:eastAsia="Arial" w:hAnsi="Arial"/>
                <w:sz w:val="17"/>
                <w:szCs w:val="17"/>
                <w:color w:val="auto"/>
              </w:rPr>
              <w:t>April 27,</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54"/>
              <w:spacing w:after="0" w:line="194" w:lineRule="exact"/>
              <w:rPr>
                <w:sz w:val="20"/>
                <w:szCs w:val="20"/>
                <w:color w:val="auto"/>
              </w:rPr>
            </w:pPr>
            <w:r>
              <w:rPr>
                <w:rFonts w:ascii="Arial" w:cs="Arial" w:eastAsia="Arial" w:hAnsi="Arial"/>
                <w:sz w:val="17"/>
                <w:szCs w:val="17"/>
                <w:color w:val="auto"/>
              </w:rPr>
              <w:t>April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608,514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582,525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1,880,185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1,821,493</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189,615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179,774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611,313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578,917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Gross profit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418,899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402,751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1,268,872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1,242,576</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Labor and other related expenses</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235,275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227,437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691,176</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675,223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Other store operating expenses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109,947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112,112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338,127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336,235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Store operating income</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73,677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63,202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239,569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231,118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34,569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33,955</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108,500</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103,899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Impairment and store dispositions, net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(1,958)</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(1,874)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Operating income</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39,108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31,205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131,069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129,093</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11,173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11,619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33,333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35,163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27,935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19,586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97,736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93,930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8,961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29,351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26,265</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18,974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15,154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68,385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67,665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 per share: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Basic</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0.82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0.66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2.97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0.64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Basic</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23,132,730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23,048,279</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22,990,544</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23,039,388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23,535,765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23,602,333</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23,329,230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23,705,155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6060" w:type="dxa"/>
            <w:vAlign w:val="bottom"/>
            <w:gridSpan w:val="2"/>
          </w:tcPr>
          <w:p>
            <w:pPr>
              <w:spacing w:after="0"/>
              <w:rPr>
                <w:sz w:val="20"/>
                <w:szCs w:val="20"/>
                <w:color w:val="auto"/>
              </w:rPr>
            </w:pPr>
            <w:r>
              <w:rPr>
                <w:rFonts w:ascii="Arial" w:cs="Arial" w:eastAsia="Arial" w:hAnsi="Arial"/>
                <w:sz w:val="17"/>
                <w:szCs w:val="17"/>
                <w:color w:val="auto"/>
              </w:rPr>
              <w:t>See Notes to unaudited Condensed Consolidated Financial Statements.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CRACKER BARREL OLD COUNTRY STORE, INC.</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CONDENSED CONSOLIDATED STATEMENTS OF CASH FLOWS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90"/>
              </w:rPr>
              <w:t>(Unaudited and in thousands)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6"/>
          </w:tcPr>
          <w:p>
            <w:pPr>
              <w:jc w:val="right"/>
              <w:ind w:right="66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420"/>
              <w:spacing w:after="0" w:line="194" w:lineRule="exact"/>
              <w:rPr>
                <w:sz w:val="20"/>
                <w:szCs w:val="20"/>
                <w:color w:val="auto"/>
              </w:rPr>
            </w:pPr>
            <w:r>
              <w:rPr>
                <w:rFonts w:ascii="Arial" w:cs="Arial" w:eastAsia="Arial" w:hAnsi="Arial"/>
                <w:sz w:val="17"/>
                <w:szCs w:val="17"/>
                <w:color w:val="auto"/>
              </w:rPr>
              <w:t>April 27,</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800" w:type="dxa"/>
            <w:vAlign w:val="bottom"/>
            <w:gridSpan w:val="3"/>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68,385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67,665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47,742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46,537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Loss (gain) on disposition of property and equipment</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1,832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(2,062)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Impairment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Share-based compensation</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9,430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7,335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Excess tax benefit from share-based compensation</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(1,921)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(2,338)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Changes in assets and liabilities: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Inventories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10,543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12,084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Other current assets</w:t>
            </w: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(2,263)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(12,023)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(33,964)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Accrued employee compensation</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7,250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(13,430)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8,243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7,757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Other current liabilities</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3,206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(7,846)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long-term assets and liabilities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Net cash provided by operating activities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141,885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89,178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 of property and equipment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(57,434)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(59,410)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Proceeds from sale of property and equipment</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491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8,124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insurance recoveries of property and equipment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(56,275)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(51,160)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issuance of long-term debt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92,600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Principal payments under long-term debt and other long-term obligations</w:t>
            </w: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(92,704)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(117,233)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exercise of share-based compensation awards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16,729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20,107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Excess tax benefit from share-based compensation</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1,921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2,338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Purchases and retirement of common stock</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(12,279)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(25,644)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Deferred financing costs</w:t>
            </w: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(263)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Dividends on common stock</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(16,568)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(14,800)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Net cash used in financing activities</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(10,564)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(23,232)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Net increase in cash and cash equivalents</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75,046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14,786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47,700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Cash and cash equivalents, end of period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127,320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62,486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paid during the period for:</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Interest, net of amounts capitalized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29,593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33,255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27,726</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Supplemental schedule of non-cash financing activity:</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Change in fair value of interest rate swaps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12,902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14,970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Change in deferred tax asset for 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ind w:left="4020"/>
        <w:spacing w:after="0"/>
        <w:rPr>
          <w:sz w:val="20"/>
          <w:szCs w:val="20"/>
          <w:color w:val="auto"/>
        </w:rPr>
      </w:pPr>
      <w:r>
        <w:rPr>
          <w:rFonts w:ascii="Arial" w:cs="Arial" w:eastAsia="Arial" w:hAnsi="Arial"/>
          <w:sz w:val="17"/>
          <w:szCs w:val="17"/>
          <w:b w:val="1"/>
          <w:bCs w:val="1"/>
          <w:u w:val="single" w:color="auto"/>
          <w:color w:val="auto"/>
        </w:rPr>
        <w:t>CRACKER BARREL OLD COUNTRY STORE,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percentages, share and per share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7" w:lineRule="exact"/>
        <w:rPr>
          <w:sz w:val="20"/>
          <w:szCs w:val="20"/>
          <w:color w:val="auto"/>
        </w:rPr>
      </w:pPr>
    </w:p>
    <w:p>
      <w:pPr>
        <w:ind w:left="620" w:hanging="617"/>
        <w:spacing w:after="0"/>
        <w:tabs>
          <w:tab w:leader="none" w:pos="6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Condensed Consolidated Financial Statements</w:t>
      </w:r>
    </w:p>
    <w:p>
      <w:pPr>
        <w:spacing w:after="0" w:line="249"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67"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On December 20, 2011, the Company’s shareholders approved an agreement and plan of merger (the “merger agreement”) effecting an internal restructuring of the Company through the merger of Cracker Barrel Old Country Store, Inc. (“Holdco”) with and into CBOCS, Inc., a wholly-owned subsidiary of Holdco, effective as of December 23, 2011. At the effective time of the merger, the name of CBOCS, Inc., the surviving corporation in the merger, was changed to Cracker Barrel Old Country Store, Inc. Pursuant to the merger agreement, the outstanding shares of Holdco’s common stock, par value $0.01 per share, were converted into an equivalent number of shares of the surviving corporation’s common stock and were owned directly by the Company’s shareholders in the same proportion as their ownership of Holdco immediately prior to the merger. The Company’s common stock continues to be listed on The NASDAQ Global Select Market under the same ticker symbol, “CBRL.” The merger did not result in any material changes in the business, offices, assets, liabilities, obligations, net worth, directors, officers or employees of Holdco.</w:t>
      </w:r>
    </w:p>
    <w:p>
      <w:pPr>
        <w:spacing w:after="0" w:line="210" w:lineRule="exact"/>
        <w:rPr>
          <w:sz w:val="20"/>
          <w:szCs w:val="20"/>
          <w:color w:val="auto"/>
        </w:rPr>
      </w:pPr>
    </w:p>
    <w:p>
      <w:pPr>
        <w:jc w:val="both"/>
        <w:ind w:firstLine="620"/>
        <w:spacing w:after="0" w:line="302" w:lineRule="auto"/>
        <w:rPr>
          <w:sz w:val="20"/>
          <w:szCs w:val="20"/>
          <w:color w:val="auto"/>
        </w:rPr>
      </w:pPr>
      <w:r>
        <w:rPr>
          <w:rFonts w:ascii="Arial" w:cs="Arial" w:eastAsia="Arial" w:hAnsi="Arial"/>
          <w:sz w:val="15"/>
          <w:szCs w:val="15"/>
          <w:color w:val="auto"/>
        </w:rPr>
        <w:t>The condensed consolidated balance sheets at April 27, 2012 and July 29, 2011 and the related condensed consolidated statements of income and cash flows for the quarters and/or nine-month periods ended April 27, 2012 and April 29, 2011, have been prepared by the Company in accordance with accounting principles generally accepted in the United States of America (“GAAP”) and pursuant to the rules and regulations of the Securities and Exchange Commission (the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180"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thereto contained in the Company's Annual Report on Form 10-K for the year ended July 29, 2011 (the “2011 Form 10-K”). The accounting policies used in preparing these condensed consolidated financial statements are the same as described in the 2011 Form 10-K. References in these Notes to Condensed Consolidated Financial Statements to a year are to the Company’s fiscal year unless otherwise noted.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 Adopted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Fair Value Measurement and Disclosure Requirements</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In May 2011, the Financial Accounting Standards Board (“FASB”) issued amended accounting guidance which provides additional guidance on how to determine fair value under existing standards and expands existing disclosure requirements on a prospective basis. The guidance is effective for fiscal years and interim periods beginning after December 15, 2011. The adoption of this accounting guidance in the third quarter of 2012 did not have a significant impact on the Company’s Consolidated Financial Statements.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 Not Yet Adopted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Presentation of Comprehensive Income</w:t>
      </w:r>
    </w:p>
    <w:p>
      <w:pPr>
        <w:spacing w:after="0" w:line="249" w:lineRule="exact"/>
        <w:rPr>
          <w:sz w:val="20"/>
          <w:szCs w:val="20"/>
          <w:color w:val="auto"/>
        </w:rPr>
      </w:pPr>
    </w:p>
    <w:p>
      <w:pPr>
        <w:jc w:val="both"/>
        <w:ind w:firstLine="620"/>
        <w:spacing w:after="0" w:line="275" w:lineRule="auto"/>
        <w:rPr>
          <w:sz w:val="20"/>
          <w:szCs w:val="20"/>
          <w:color w:val="auto"/>
        </w:rPr>
      </w:pPr>
      <w:r>
        <w:rPr>
          <w:rFonts w:ascii="Arial" w:cs="Arial" w:eastAsia="Arial" w:hAnsi="Arial"/>
          <w:sz w:val="16"/>
          <w:szCs w:val="16"/>
          <w:color w:val="auto"/>
        </w:rPr>
        <w:t>In June 2011, the FASB issued amended accounting guidance which requires companies to present total comprehensive income and its components and the components of net income in either a single continuous statement of comprehensive income or in two consecutive statements reporting net income and comprehensive income. This requirement eliminates the option to present components of comprehensive income as part of the statement of changes in shareholders’ equity. This guidance affects only the presentation of comprehensive income and does not change the components of comprehensive income. In December 2011, the FASB further amended this guidance to indefinitely defer the effective date of the requirement to present reclassification adjustments for each component of accumulated other comprehensive income in both net income and in other comprehensive income on the face of the financial statements. All other provisions of this guidance are effective for fiscal years beginning after December 15, 2011 on a retrospective basis. The Company does not expect that the adoption of this accounting guidance in the first quarter of 2013 will have a significant impact on its Consolidated Financial Statements.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Disclosures about Offsetting Assets and Liabilities</w:t>
      </w:r>
    </w:p>
    <w:p>
      <w:pPr>
        <w:spacing w:after="0" w:line="24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In December 2011, the FASB issued accounting guidance which requires companies to disclose information about the nature of their rights of setoff and related arrangements associated with their financial instruments and derivative instruments to enable users of financial statements to understand the effect of those arrangements on their financial position. Each company will be required to provide both net and gross information in the notes to its financial statements for relevant assets and liabilities that are eligible for offset. This guidance is effective for fiscal years beginning on or after January 1, 2013 on a retrospective basis. The Company does not expect that the adoption of this accounting guidance in the first quarter of 2014 will have a significant impact on its Consolidated Financial Statements.</w:t>
      </w:r>
    </w:p>
    <w:p>
      <w:pPr>
        <w:spacing w:after="0" w:line="204" w:lineRule="exact"/>
        <w:rPr>
          <w:sz w:val="20"/>
          <w:szCs w:val="20"/>
          <w:color w:val="auto"/>
        </w:rPr>
      </w:pPr>
    </w:p>
    <w:p>
      <w:pPr>
        <w:ind w:left="620" w:hanging="617"/>
        <w:spacing w:after="0"/>
        <w:tabs>
          <w:tab w:leader="none" w:pos="6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Fair Value Measurements</w:t>
      </w:r>
    </w:p>
    <w:p>
      <w:pPr>
        <w:spacing w:after="0" w:line="249"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The Company’s assets and liabilities measured at fair value on a recurring basis at April 27, 2012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7"/>
                <w:szCs w:val="17"/>
                <w:color w:val="auto"/>
                <w:w w:val="90"/>
              </w:rPr>
              <w:t>Quoted Prices</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4"/>
              </w:rPr>
              <w:t>Significant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7"/>
                <w:szCs w:val="17"/>
                <w:color w:val="auto"/>
                <w:w w:val="96"/>
              </w:rPr>
              <w:t>in Active</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6"/>
              </w:rPr>
              <w:t>Significant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7"/>
                <w:szCs w:val="17"/>
                <w:color w:val="auto"/>
                <w:w w:val="96"/>
              </w:rPr>
              <w:t>Markets for</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Observable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Unobservable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Fair Value as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Arial" w:cs="Arial" w:eastAsia="Arial" w:hAnsi="Arial"/>
                <w:sz w:val="17"/>
                <w:szCs w:val="17"/>
                <w:color w:val="auto"/>
              </w:rPr>
              <w:t>Identical Assets</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Inputs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Inputs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of April 27,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7"/>
                <w:szCs w:val="17"/>
                <w:color w:val="auto"/>
                <w:w w:val="93"/>
              </w:rPr>
              <w:t>(Level 1)</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(Level 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4"/>
              <w:spacing w:after="0"/>
              <w:rPr>
                <w:sz w:val="20"/>
                <w:szCs w:val="20"/>
                <w:color w:val="auto"/>
              </w:rPr>
            </w:pPr>
            <w:r>
              <w:rPr>
                <w:rFonts w:ascii="Arial" w:cs="Arial" w:eastAsia="Arial" w:hAnsi="Arial"/>
                <w:sz w:val="17"/>
                <w:szCs w:val="17"/>
                <w:color w:val="auto"/>
                <w:w w:val="93"/>
              </w:rPr>
              <w:t>(Level 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4"/>
              <w:spacing w:after="0"/>
              <w:rPr>
                <w:sz w:val="20"/>
                <w:szCs w:val="20"/>
                <w:color w:val="auto"/>
              </w:rPr>
            </w:pPr>
            <w:r>
              <w:rPr>
                <w:rFonts w:ascii="Arial" w:cs="Arial" w:eastAsia="Arial" w:hAnsi="Arial"/>
                <w:sz w:val="17"/>
                <w:szCs w:val="17"/>
                <w:color w:val="auto"/>
                <w:w w:val="95"/>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2020" w:type="dxa"/>
            <w:vAlign w:val="bottom"/>
            <w:gridSpan w:val="2"/>
            <w:shd w:val="clear" w:color="auto" w:fill="CCEEFF"/>
          </w:tcPr>
          <w:p>
            <w:pPr>
              <w:ind w:left="188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79,929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79,929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Deferred compensation plan assets**</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30,421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30,421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Total assets at fair value</w:t>
            </w:r>
          </w:p>
        </w:tc>
        <w:tc>
          <w:tcPr>
            <w:tcW w:w="1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110,350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110,350</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16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 liability (see Note 5)</w:t>
            </w:r>
          </w:p>
        </w:tc>
        <w:tc>
          <w:tcPr>
            <w:tcW w:w="1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38,702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Total liabilities at fair value</w:t>
            </w:r>
          </w:p>
        </w:tc>
        <w:tc>
          <w:tcPr>
            <w:tcW w:w="18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38,702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38,702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80" w:type="dxa"/>
            <w:vAlign w:val="bottom"/>
            <w:vMerge w:val="restart"/>
          </w:tcPr>
          <w:p>
            <w:pPr>
              <w:jc w:val="right"/>
              <w:ind w:right="243"/>
              <w:spacing w:after="0"/>
              <w:rPr>
                <w:sz w:val="20"/>
                <w:szCs w:val="20"/>
                <w:color w:val="auto"/>
              </w:rPr>
            </w:pPr>
            <w:r>
              <w:rPr>
                <w:rFonts w:ascii="Arial" w:cs="Arial" w:eastAsia="Arial" w:hAnsi="Arial"/>
                <w:sz w:val="14"/>
                <w:szCs w:val="14"/>
                <w:color w:val="auto"/>
              </w:rPr>
              <w:t>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16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60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460" w:type="dxa"/>
            <w:vAlign w:val="bottom"/>
            <w:gridSpan w:val="7"/>
          </w:tcPr>
          <w:p>
            <w:pPr>
              <w:ind w:left="320"/>
              <w:spacing w:after="0"/>
              <w:rPr>
                <w:sz w:val="20"/>
                <w:szCs w:val="20"/>
                <w:color w:val="auto"/>
              </w:rPr>
            </w:pPr>
            <w:r>
              <w:rPr>
                <w:rFonts w:ascii="Arial" w:cs="Arial" w:eastAsia="Arial" w:hAnsi="Arial"/>
                <w:sz w:val="17"/>
                <w:szCs w:val="17"/>
                <w:color w:val="auto"/>
                <w:w w:val="95"/>
              </w:rPr>
              <w:t>The Company’s assets and liabilities measured at fair value on a recurring basis at July 29, 2011 were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7"/>
                <w:szCs w:val="17"/>
                <w:color w:val="auto"/>
                <w:w w:val="90"/>
              </w:rPr>
              <w:t>Quoted Prices</w:t>
            </w:r>
          </w:p>
        </w:tc>
        <w:tc>
          <w:tcPr>
            <w:tcW w:w="1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4"/>
              </w:rPr>
              <w:t>Significant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7"/>
                <w:szCs w:val="17"/>
                <w:color w:val="auto"/>
                <w:w w:val="96"/>
              </w:rPr>
              <w:t>in Active</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6"/>
              </w:rPr>
              <w:t>Significant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7"/>
                <w:szCs w:val="17"/>
                <w:color w:val="auto"/>
                <w:w w:val="96"/>
              </w:rPr>
              <w:t>Markets for</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Observable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Unobservable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Fair Value as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Arial" w:cs="Arial" w:eastAsia="Arial" w:hAnsi="Arial"/>
                <w:sz w:val="17"/>
                <w:szCs w:val="17"/>
                <w:color w:val="auto"/>
              </w:rPr>
              <w:t>Identical Assets</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Inputs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Inputs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92"/>
              </w:rPr>
              <w:t>of July 29,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7"/>
                <w:szCs w:val="17"/>
                <w:color w:val="auto"/>
                <w:w w:val="93"/>
              </w:rPr>
              <w:t>(Level 1)</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(Level 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4"/>
              <w:spacing w:after="0"/>
              <w:rPr>
                <w:sz w:val="20"/>
                <w:szCs w:val="20"/>
                <w:color w:val="auto"/>
              </w:rPr>
            </w:pPr>
            <w:r>
              <w:rPr>
                <w:rFonts w:ascii="Arial" w:cs="Arial" w:eastAsia="Arial" w:hAnsi="Arial"/>
                <w:sz w:val="17"/>
                <w:szCs w:val="17"/>
                <w:color w:val="auto"/>
                <w:w w:val="93"/>
              </w:rPr>
              <w:t>(Level 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4"/>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29,548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29,548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tcPr>
          <w:p>
            <w:pPr>
              <w:spacing w:after="0"/>
              <w:rPr>
                <w:sz w:val="20"/>
                <w:szCs w:val="20"/>
                <w:color w:val="auto"/>
              </w:rPr>
            </w:pPr>
            <w:r>
              <w:rPr>
                <w:rFonts w:ascii="Arial" w:cs="Arial" w:eastAsia="Arial" w:hAnsi="Arial"/>
                <w:sz w:val="17"/>
                <w:szCs w:val="17"/>
                <w:color w:val="auto"/>
              </w:rPr>
              <w:t>Deferred compensation plan assets**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29,665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29,665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 at fair value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59,213</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59,213</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57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rate swap liability (see Note 5)</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51,604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gridSpan w:val="2"/>
          </w:tcPr>
          <w:p>
            <w:pPr>
              <w:spacing w:after="0"/>
              <w:rPr>
                <w:sz w:val="20"/>
                <w:szCs w:val="20"/>
                <w:color w:val="auto"/>
              </w:rPr>
            </w:pPr>
            <w:r>
              <w:rPr>
                <w:rFonts w:ascii="Arial" w:cs="Arial" w:eastAsia="Arial" w:hAnsi="Arial"/>
                <w:sz w:val="17"/>
                <w:szCs w:val="17"/>
                <w:color w:val="auto"/>
              </w:rPr>
              <w:t>Total liabilities at fair value</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51,604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51,604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*Consists of money market fund investments.</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**Represents plan assets invested in mutual funds established under a Rabbi Trust for the Company’s non-qualified savings plan and is included in the Consolidated Balance Sheets as other assets.</w:t>
      </w:r>
    </w:p>
    <w:p>
      <w:pPr>
        <w:spacing w:after="0" w:line="200"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Company’s money market fund investments and deferred compensation plan assets are measured at fair value using quoted market prices. The fair value of the Company’s interest rate swap liability is determined based on the present value of expected future cash flows. Since the Company’s interest rate swap values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210"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April 27, 2012 and July 29, 2011.</w:t>
      </w:r>
    </w:p>
    <w:p>
      <w:pPr>
        <w:spacing w:after="0" w:line="196" w:lineRule="exact"/>
        <w:rPr>
          <w:sz w:val="20"/>
          <w:szCs w:val="20"/>
          <w:color w:val="auto"/>
        </w:rPr>
      </w:pPr>
    </w:p>
    <w:p>
      <w:pPr>
        <w:ind w:left="620" w:hanging="617"/>
        <w:spacing w:after="0"/>
        <w:tabs>
          <w:tab w:leader="none" w:pos="6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Inventories</w:t>
      </w:r>
    </w:p>
    <w:p>
      <w:pPr>
        <w:spacing w:after="0" w:line="249"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Inventories were comprised of the following at: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April 27,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Arial" w:cs="Arial" w:eastAsia="Arial" w:hAnsi="Arial"/>
                <w:sz w:val="17"/>
                <w:szCs w:val="17"/>
                <w:color w:val="auto"/>
              </w:rPr>
              <w:t>July 29,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Retail</w:t>
            </w:r>
          </w:p>
        </w:tc>
        <w:tc>
          <w:tcPr>
            <w:tcW w:w="4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96,403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108,829</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Arial" w:cs="Arial" w:eastAsia="Arial" w:hAnsi="Arial"/>
                <w:sz w:val="17"/>
                <w:szCs w:val="17"/>
                <w:color w:val="auto"/>
              </w:rPr>
              <w:t>Restaurant</w:t>
            </w:r>
          </w:p>
        </w:tc>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20,337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19,200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Supplies</w:t>
            </w:r>
          </w:p>
        </w:tc>
        <w:tc>
          <w:tcPr>
            <w:tcW w:w="4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14,264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13,518</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2920" w:type="dxa"/>
            <w:vAlign w:val="bottom"/>
          </w:tcPr>
          <w:p>
            <w:pPr>
              <w:ind w:left="160"/>
              <w:spacing w:after="0"/>
              <w:rPr>
                <w:sz w:val="20"/>
                <w:szCs w:val="20"/>
                <w:color w:val="auto"/>
              </w:rPr>
            </w:pPr>
            <w:r>
              <w:rPr>
                <w:rFonts w:ascii="Arial" w:cs="Arial" w:eastAsia="Arial" w:hAnsi="Arial"/>
                <w:sz w:val="17"/>
                <w:szCs w:val="17"/>
                <w:color w:val="auto"/>
              </w:rPr>
              <w:t>Total</w:t>
            </w:r>
          </w:p>
        </w:tc>
        <w:tc>
          <w:tcPr>
            <w:tcW w:w="49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131,004</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141,547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780" w:type="dxa"/>
            <w:vAlign w:val="bottom"/>
            <w:vMerge w:val="restart"/>
          </w:tcPr>
          <w:p>
            <w:pPr>
              <w:jc w:val="right"/>
              <w:ind w:right="2460"/>
              <w:spacing w:after="0"/>
              <w:rPr>
                <w:sz w:val="20"/>
                <w:szCs w:val="20"/>
                <w:color w:val="auto"/>
              </w:rPr>
            </w:pPr>
            <w:r>
              <w:rPr>
                <w:rFonts w:ascii="Arial" w:cs="Arial" w:eastAsia="Arial" w:hAnsi="Arial"/>
                <w:sz w:val="14"/>
                <w:szCs w:val="14"/>
                <w:color w:val="auto"/>
              </w:rPr>
              <w:t>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808080"/>
            </w:tcBorders>
          </w:tcPr>
          <w:p>
            <w:pPr>
              <w:spacing w:after="0"/>
              <w:rPr>
                <w:sz w:val="8"/>
                <w:szCs w:val="8"/>
                <w:color w:val="auto"/>
              </w:rPr>
            </w:pPr>
          </w:p>
        </w:tc>
        <w:tc>
          <w:tcPr>
            <w:tcW w:w="2920" w:type="dxa"/>
            <w:vAlign w:val="bottom"/>
            <w:tcBorders>
              <w:bottom w:val="single" w:sz="8" w:color="808080"/>
            </w:tcBorders>
          </w:tcPr>
          <w:p>
            <w:pPr>
              <w:spacing w:after="0"/>
              <w:rPr>
                <w:sz w:val="8"/>
                <w:szCs w:val="8"/>
                <w:color w:val="auto"/>
              </w:rPr>
            </w:pPr>
          </w:p>
        </w:tc>
        <w:tc>
          <w:tcPr>
            <w:tcW w:w="47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4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300" w:type="dxa"/>
            <w:vAlign w:val="bottom"/>
            <w:tcBorders>
              <w:top w:val="single" w:sz="8" w:color="0000EE"/>
            </w:tcBorders>
          </w:tcPr>
          <w:p>
            <w:pPr>
              <w:spacing w:after="0"/>
              <w:rPr>
                <w:sz w:val="20"/>
                <w:szCs w:val="20"/>
                <w:color w:val="auto"/>
              </w:rPr>
            </w:pPr>
            <w:r>
              <w:rPr>
                <w:rFonts w:ascii="Arial" w:cs="Arial" w:eastAsia="Arial" w:hAnsi="Arial"/>
                <w:sz w:val="17"/>
                <w:szCs w:val="17"/>
                <w:b w:val="1"/>
                <w:bCs w:val="1"/>
                <w:color w:val="auto"/>
              </w:rPr>
              <w:t>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w w:val="89"/>
              </w:rPr>
              <w:t>Debt</w:t>
            </w:r>
          </w:p>
        </w:tc>
        <w:tc>
          <w:tcPr>
            <w:tcW w:w="7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00" w:type="dxa"/>
            <w:vAlign w:val="bottom"/>
            <w:gridSpan w:val="2"/>
          </w:tcPr>
          <w:p>
            <w:pPr>
              <w:ind w:left="40"/>
              <w:spacing w:after="0"/>
              <w:rPr>
                <w:sz w:val="20"/>
                <w:szCs w:val="20"/>
                <w:color w:val="auto"/>
              </w:rPr>
            </w:pPr>
            <w:r>
              <w:rPr>
                <w:rFonts w:ascii="Arial" w:cs="Arial" w:eastAsia="Arial" w:hAnsi="Arial"/>
                <w:sz w:val="17"/>
                <w:szCs w:val="17"/>
                <w:color w:val="auto"/>
              </w:rPr>
              <w:t>Long-term debt consisted of the following at:</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April 27,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July 29,</w:t>
            </w: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tcBorders>
              <w:left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Revolving credit facility expiring on July 8, 2016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318,750</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318,750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2"/>
          </w:tcPr>
          <w:p>
            <w:pPr>
              <w:spacing w:after="0"/>
              <w:rPr>
                <w:sz w:val="20"/>
                <w:szCs w:val="20"/>
                <w:color w:val="auto"/>
              </w:rPr>
            </w:pPr>
            <w:r>
              <w:rPr>
                <w:rFonts w:ascii="Arial" w:cs="Arial" w:eastAsia="Arial" w:hAnsi="Arial"/>
                <w:sz w:val="17"/>
                <w:szCs w:val="17"/>
                <w:color w:val="auto"/>
              </w:rPr>
              <w:t>Term loan payable on or before July 8, 2016</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231,250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231,250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00" w:type="dxa"/>
            <w:vAlign w:val="bottom"/>
            <w:tcBorders>
              <w:left w:val="single" w:sz="8" w:color="CCEEFF"/>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Note payable</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550,169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550,246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tcBorders>
              <w:left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Current maturities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(14,168)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73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70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536,001</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550,143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$750,000 credit facility (the “Credit Facility”) consists of a term loan and a $500,000 revolving credit facility (the “Revolving Credit Facility”). At April 27, 2012, the Company had $318,750 of outstanding borrowings under the Revolving Credit Facility and $28,606 of standby letters of credit, which reduce the Company’s availability under the Revolving Credit Facility (see Note 15). At April 27, 2012, the Company had $152,644 in borrowing availability under the Revolving Credit Facility.</w:t>
      </w:r>
    </w:p>
    <w:p>
      <w:pPr>
        <w:spacing w:after="0" w:line="205"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 accordance with the Credit Facility, outstanding borrowings bear interest, at the Company’s election, either at LIBOR or prime plus a percentage point spread based on certain specified financial ratios. As of April 27, 2012, the Company’s outstanding borrowings were swapped at a weighted average interest rate of 7.57% (see Note 5 for information on the Company’s interest rate swaps).</w:t>
      </w:r>
    </w:p>
    <w:p>
      <w:pPr>
        <w:spacing w:after="0" w:line="202"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Credit Facility contains customary financial covenants, which include maintenance of a maximum consolidated total leverage ratio and a minimum consolidated interest coverage ratio. At April 27, 2012, the Company was in compliance with all debt covenants.</w:t>
      </w:r>
    </w:p>
    <w:p>
      <w:pPr>
        <w:spacing w:after="0" w:line="189"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The Credit Facility also imposes restrictions on the amount of dividends the Company is permitted to pay and the amount of shares the Company is permitted to repurchase. In April 2012, the Company amended the Credit Facility to provide more flexibility with regard to the dividends the Company is permitted to pay as well as the amount of shares the Company is able to repurchase. Under the amended Credit Facility, if there is no default existing and the total of the Company’s availability under the Revolving Credit Facility plus the Company’s cash and cash equivalents on hand is at least $100,000 (the “liquidity requirements”), the Company may declare and pay cash dividends on shares of its common stock if the aggregate amount of dividends paid in any fiscal year is less than 20% of Consolidated EBITDA from continuing operations (as defined in the Credit Facility) (the “20% limitation”) during the immediately preceding fiscal year. In any event, as long as the liquidity requirements are met, dividends may be declared and paid in any fiscal year up to the amount of dividends permitted and paid in the preceding fiscal year without regard to the 20% limitation.</w:t>
      </w:r>
    </w:p>
    <w:p>
      <w:pPr>
        <w:spacing w:after="0" w:line="210"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note payable consists of a five-year note with a vendor with an original principal amount of $507 and represents the financing of prepaid maintenance for telecommunications equipment. The note payable is payable in monthly installments of principal and interest of $9 through October 16, 2013 and bears interest at 2.88% per year.</w:t>
      </w:r>
    </w:p>
    <w:p>
      <w:pPr>
        <w:spacing w:after="0" w:line="196" w:lineRule="exact"/>
        <w:rPr>
          <w:sz w:val="20"/>
          <w:szCs w:val="20"/>
          <w:color w:val="auto"/>
        </w:rPr>
      </w:pPr>
    </w:p>
    <w:p>
      <w:pPr>
        <w:ind w:left="620" w:hanging="617"/>
        <w:spacing w:after="0"/>
        <w:tabs>
          <w:tab w:leader="none" w:pos="6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Derivative Instruments and Hedging Activities</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 Company has interest rate risk relative to its outstanding borrowings, which bear interest at the Company’s election either at the prime rate or LIBOR plus a percentage point spread based on certain specified financial ratios under the Credit Facility (see Note 4). The Company’s policy has been to manage interest cost using a mix of fixed and variable rate debt. To manage this risk in a cost efficient manner, the Company uses derivative instruments, specifically interest rate swaps.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is fixed at the rates in the table below plus the Company’s credit spread. The Company’s weighted average credit spread at April 27, 2012 was 2.00%. All of the Company’s interest rate swaps are accounted for as cash flow hedges.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Company’s interest rate swaps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left="14"/>
              <w:spacing w:after="0"/>
              <w:rPr>
                <w:sz w:val="20"/>
                <w:szCs w:val="20"/>
                <w:color w:val="auto"/>
              </w:rPr>
            </w:pPr>
            <w:r>
              <w:rPr>
                <w:rFonts w:ascii="Arial" w:cs="Arial" w:eastAsia="Arial" w:hAnsi="Arial"/>
                <w:sz w:val="17"/>
                <w:szCs w:val="17"/>
                <w:color w:val="auto"/>
                <w:w w:val="90"/>
              </w:rPr>
              <w:t>Term</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7"/>
                <w:szCs w:val="17"/>
                <w:color w:val="auto"/>
                <w:w w:val="96"/>
              </w:rPr>
              <w:t>Fixed</w:t>
            </w:r>
          </w:p>
        </w:tc>
      </w:tr>
      <w:tr>
        <w:trPr>
          <w:trHeight w:val="225"/>
        </w:trPr>
        <w:tc>
          <w:tcPr>
            <w:tcW w:w="20" w:type="dxa"/>
            <w:vAlign w:val="bottom"/>
          </w:tcPr>
          <w:p>
            <w:pPr>
              <w:spacing w:after="0"/>
              <w:rPr>
                <w:sz w:val="19"/>
                <w:szCs w:val="19"/>
                <w:color w:val="auto"/>
              </w:rPr>
            </w:pPr>
          </w:p>
        </w:tc>
        <w:tc>
          <w:tcPr>
            <w:tcW w:w="3800" w:type="dxa"/>
            <w:vAlign w:val="bottom"/>
            <w:tcBorders>
              <w:bottom w:val="single" w:sz="8" w:color="auto"/>
            </w:tcBorders>
          </w:tcPr>
          <w:p>
            <w:pPr>
              <w:ind w:left="1520"/>
              <w:spacing w:after="0"/>
              <w:rPr>
                <w:sz w:val="20"/>
                <w:szCs w:val="20"/>
                <w:color w:val="auto"/>
              </w:rPr>
            </w:pPr>
            <w:r>
              <w:rPr>
                <w:rFonts w:ascii="Arial" w:cs="Arial" w:eastAsia="Arial" w:hAnsi="Arial"/>
                <w:sz w:val="17"/>
                <w:szCs w:val="17"/>
                <w:color w:val="auto"/>
              </w:rPr>
              <w:t>Trade Date</w:t>
            </w:r>
          </w:p>
        </w:tc>
        <w:tc>
          <w:tcPr>
            <w:tcW w:w="100" w:type="dxa"/>
            <w:vAlign w:val="bottom"/>
          </w:tcPr>
          <w:p>
            <w:pPr>
              <w:spacing w:after="0"/>
              <w:rPr>
                <w:sz w:val="19"/>
                <w:szCs w:val="19"/>
                <w:color w:val="auto"/>
              </w:rPr>
            </w:pPr>
          </w:p>
        </w:tc>
        <w:tc>
          <w:tcPr>
            <w:tcW w:w="212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Effective Date</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center"/>
              <w:ind w:left="14"/>
              <w:spacing w:after="0"/>
              <w:rPr>
                <w:sz w:val="20"/>
                <w:szCs w:val="20"/>
                <w:color w:val="auto"/>
              </w:rPr>
            </w:pPr>
            <w:r>
              <w:rPr>
                <w:rFonts w:ascii="Arial" w:cs="Arial" w:eastAsia="Arial" w:hAnsi="Arial"/>
                <w:sz w:val="17"/>
                <w:szCs w:val="17"/>
                <w:color w:val="auto"/>
                <w:w w:val="92"/>
              </w:rPr>
              <w:t>(in Years)</w:t>
            </w:r>
          </w:p>
        </w:tc>
        <w:tc>
          <w:tcPr>
            <w:tcW w:w="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Notional Amount</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Rate</w:t>
            </w:r>
          </w:p>
        </w:tc>
        <w:tc>
          <w:tcPr>
            <w:tcW w:w="18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May 4, 2006</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August 3, 2006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54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550,000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5.57%</w:t>
            </w:r>
          </w:p>
        </w:tc>
      </w:tr>
      <w:tr>
        <w:trPr>
          <w:trHeight w:val="206"/>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August 10, 2010</w:t>
            </w:r>
          </w:p>
        </w:tc>
        <w:tc>
          <w:tcPr>
            <w:tcW w:w="2220" w:type="dxa"/>
            <w:vAlign w:val="bottom"/>
            <w:gridSpan w:val="2"/>
          </w:tcPr>
          <w:p>
            <w:pPr>
              <w:ind w:left="100"/>
              <w:spacing w:after="0"/>
              <w:rPr>
                <w:sz w:val="20"/>
                <w:szCs w:val="20"/>
                <w:color w:val="auto"/>
              </w:rPr>
            </w:pPr>
            <w:r>
              <w:rPr>
                <w:rFonts w:ascii="Arial" w:cs="Arial" w:eastAsia="Arial" w:hAnsi="Arial"/>
                <w:sz w:val="17"/>
                <w:szCs w:val="17"/>
                <w:color w:val="auto"/>
              </w:rPr>
              <w:t>May 3, 2013</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200,000</w:t>
            </w: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2.73%</w:t>
            </w: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July 25, 2011</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May 3, 2013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2.00%</w:t>
            </w:r>
          </w:p>
        </w:tc>
      </w:tr>
      <w:tr>
        <w:trPr>
          <w:trHeight w:val="206"/>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July 25, 2011</w:t>
            </w:r>
          </w:p>
        </w:tc>
        <w:tc>
          <w:tcPr>
            <w:tcW w:w="2220" w:type="dxa"/>
            <w:vAlign w:val="bottom"/>
            <w:gridSpan w:val="2"/>
          </w:tcPr>
          <w:p>
            <w:pPr>
              <w:ind w:left="100"/>
              <w:spacing w:after="0"/>
              <w:rPr>
                <w:sz w:val="20"/>
                <w:szCs w:val="20"/>
                <w:color w:val="auto"/>
              </w:rPr>
            </w:pPr>
            <w:r>
              <w:rPr>
                <w:rFonts w:ascii="Arial" w:cs="Arial" w:eastAsia="Arial" w:hAnsi="Arial"/>
                <w:sz w:val="17"/>
                <w:szCs w:val="17"/>
                <w:color w:val="auto"/>
              </w:rPr>
              <w:t>May 3, 2013</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50,000</w:t>
            </w: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2.45%</w:t>
            </w: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September 19, 2011</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May 3, 2013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1.05%</w:t>
            </w:r>
          </w:p>
        </w:tc>
      </w:tr>
      <w:tr>
        <w:trPr>
          <w:trHeight w:val="206"/>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September 19, 2011</w:t>
            </w:r>
          </w:p>
        </w:tc>
        <w:tc>
          <w:tcPr>
            <w:tcW w:w="2220" w:type="dxa"/>
            <w:vAlign w:val="bottom"/>
            <w:gridSpan w:val="2"/>
          </w:tcPr>
          <w:p>
            <w:pPr>
              <w:ind w:left="100"/>
              <w:spacing w:after="0"/>
              <w:rPr>
                <w:sz w:val="20"/>
                <w:szCs w:val="20"/>
                <w:color w:val="auto"/>
              </w:rPr>
            </w:pPr>
            <w:r>
              <w:rPr>
                <w:rFonts w:ascii="Arial" w:cs="Arial" w:eastAsia="Arial" w:hAnsi="Arial"/>
                <w:sz w:val="17"/>
                <w:szCs w:val="17"/>
                <w:color w:val="auto"/>
              </w:rPr>
              <w:t>May 3, 2013</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25,000</w:t>
            </w: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1.05%</w:t>
            </w: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December 7, 2011</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May 3, 2013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1.40%</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The notional amount of the Company’s interest rate swap entered into on May 4, 2006 decreases to $525,000 from May 3, 2012 throughout the remainder of its term.</w:t>
      </w:r>
    </w:p>
    <w:p>
      <w:pPr>
        <w:spacing w:after="0" w:line="266"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8780" w:type="dxa"/>
            <w:vAlign w:val="bottom"/>
            <w:gridSpan w:val="3"/>
          </w:tcPr>
          <w:p>
            <w:pPr>
              <w:ind w:left="300"/>
              <w:spacing w:after="0"/>
              <w:rPr>
                <w:sz w:val="20"/>
                <w:szCs w:val="20"/>
                <w:color w:val="auto"/>
              </w:rPr>
            </w:pPr>
            <w:r>
              <w:rPr>
                <w:rFonts w:ascii="Arial" w:cs="Arial" w:eastAsia="Arial" w:hAnsi="Arial"/>
                <w:sz w:val="17"/>
                <w:szCs w:val="17"/>
                <w:color w:val="auto"/>
                <w:w w:val="92"/>
              </w:rPr>
              <w:t>The estimated fair values of the Company’s derivative instruments as of April 27, 2012 and July 29, 2011 were as follows:</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Balance Sheet Location</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7"/>
                <w:szCs w:val="17"/>
                <w:color w:val="auto"/>
                <w:w w:val="99"/>
              </w:rPr>
              <w:t>April 27, 2012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July 29, 2011</w:t>
            </w:r>
          </w:p>
        </w:tc>
        <w:tc>
          <w:tcPr>
            <w:tcW w:w="10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swaps (See Note 2)</w:t>
            </w:r>
          </w:p>
        </w:tc>
        <w:tc>
          <w:tcPr>
            <w:tcW w:w="400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Interest rate swap liability</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51,604</w:t>
            </w: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estimated fair value of the Company’s interest rate swap liability incorporates the Company’s non-performance risk (see Note 2). The adjustment related to the Company’s non-performance risk at April 27, 2012 and July 29, 2011 resulted in reductions of $976 and $1,546, respectively, in the fair value of the interest rate swap liability. The offset to the interest rate swap liability is recorded in accumulated other comprehensive loss (“AOCL”), net of the deferred tax asset, and will be reclassified into earnings over the term of the underlying debt. As of April 27, 2012, the estimated pre-tax portion of AOCL that is expected to be reclassified into earnings over the next twelve months is $26,943. Cash flows related to the interest rate swap are included in interest expense and in operating activities.</w:t>
      </w:r>
    </w:p>
    <w:p>
      <w:pPr>
        <w:spacing w:after="0" w:line="21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following table summarizes the pre-tax effects of the Company’s derivative instruments on AOCL for the nine-month period ended April 27, 2012 and the year ended July 29, 2011: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60" w:type="dxa"/>
            <w:vAlign w:val="bottom"/>
          </w:tcPr>
          <w:p>
            <w:pPr>
              <w:spacing w:after="0"/>
              <w:rPr>
                <w:sz w:val="17"/>
                <w:szCs w:val="17"/>
                <w:color w:val="auto"/>
              </w:rPr>
            </w:pPr>
          </w:p>
        </w:tc>
        <w:tc>
          <w:tcPr>
            <w:tcW w:w="7960" w:type="dxa"/>
            <w:vAlign w:val="bottom"/>
            <w:gridSpan w:val="8"/>
          </w:tcPr>
          <w:p>
            <w:pPr>
              <w:ind w:left="4800"/>
              <w:spacing w:after="0"/>
              <w:rPr>
                <w:sz w:val="20"/>
                <w:szCs w:val="20"/>
                <w:color w:val="auto"/>
              </w:rPr>
            </w:pPr>
            <w:r>
              <w:rPr>
                <w:rFonts w:ascii="Arial" w:cs="Arial" w:eastAsia="Arial" w:hAnsi="Arial"/>
                <w:sz w:val="17"/>
                <w:szCs w:val="17"/>
                <w:color w:val="auto"/>
                <w:w w:val="96"/>
              </w:rPr>
              <w:t>Amount of Income Recognized in AOCL on</w:t>
            </w:r>
          </w:p>
        </w:tc>
      </w:tr>
      <w:tr>
        <w:trPr>
          <w:trHeight w:val="225"/>
        </w:trPr>
        <w:tc>
          <w:tcPr>
            <w:tcW w:w="3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gridSpan w:val="6"/>
          </w:tcPr>
          <w:p>
            <w:pPr>
              <w:jc w:val="right"/>
              <w:ind w:right="560"/>
              <w:spacing w:after="0"/>
              <w:rPr>
                <w:sz w:val="20"/>
                <w:szCs w:val="20"/>
                <w:color w:val="auto"/>
              </w:rPr>
            </w:pPr>
            <w:r>
              <w:rPr>
                <w:rFonts w:ascii="Arial" w:cs="Arial" w:eastAsia="Arial" w:hAnsi="Arial"/>
                <w:sz w:val="17"/>
                <w:szCs w:val="17"/>
                <w:color w:val="auto"/>
              </w:rPr>
              <w:t>Derivatives (Effective Portion)</w:t>
            </w:r>
          </w:p>
        </w:tc>
      </w:tr>
      <w:tr>
        <w:trPr>
          <w:trHeight w:val="212"/>
        </w:trPr>
        <w:tc>
          <w:tcPr>
            <w:tcW w:w="3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56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Nine Months Ended</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74"/>
              <w:spacing w:after="0"/>
              <w:rPr>
                <w:sz w:val="20"/>
                <w:szCs w:val="20"/>
                <w:color w:val="auto"/>
              </w:rPr>
            </w:pPr>
            <w:r>
              <w:rPr>
                <w:rFonts w:ascii="Arial" w:cs="Arial" w:eastAsia="Arial" w:hAnsi="Arial"/>
                <w:sz w:val="17"/>
                <w:szCs w:val="17"/>
                <w:color w:val="auto"/>
                <w:w w:val="89"/>
              </w:rPr>
              <w:t>Year Ended</w:t>
            </w:r>
          </w:p>
        </w:tc>
        <w:tc>
          <w:tcPr>
            <w:tcW w:w="100" w:type="dxa"/>
            <w:vAlign w:val="bottom"/>
          </w:tcPr>
          <w:p>
            <w:pPr>
              <w:spacing w:after="0"/>
              <w:rPr>
                <w:sz w:val="18"/>
                <w:szCs w:val="18"/>
                <w:color w:val="auto"/>
              </w:rPr>
            </w:pPr>
          </w:p>
        </w:tc>
      </w:tr>
      <w:tr>
        <w:trPr>
          <w:trHeight w:val="212"/>
        </w:trPr>
        <w:tc>
          <w:tcPr>
            <w:tcW w:w="3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April 27, 2012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ind w:right="94"/>
              <w:spacing w:after="0"/>
              <w:rPr>
                <w:sz w:val="20"/>
                <w:szCs w:val="20"/>
                <w:color w:val="auto"/>
              </w:rPr>
            </w:pPr>
            <w:r>
              <w:rPr>
                <w:rFonts w:ascii="Arial" w:cs="Arial" w:eastAsia="Arial" w:hAnsi="Arial"/>
                <w:sz w:val="17"/>
                <w:szCs w:val="17"/>
                <w:color w:val="auto"/>
                <w:w w:val="92"/>
              </w:rPr>
              <w:t>July 29, 2011</w:t>
            </w:r>
          </w:p>
        </w:tc>
        <w:tc>
          <w:tcPr>
            <w:tcW w:w="100" w:type="dxa"/>
            <w:vAlign w:val="bottom"/>
          </w:tcPr>
          <w:p>
            <w:pPr>
              <w:spacing w:after="0"/>
              <w:rPr>
                <w:sz w:val="18"/>
                <w:szCs w:val="18"/>
                <w:color w:val="auto"/>
              </w:rPr>
            </w:pPr>
          </w:p>
        </w:tc>
      </w:tr>
      <w:tr>
        <w:trPr>
          <w:trHeight w:val="205"/>
        </w:trPr>
        <w:tc>
          <w:tcPr>
            <w:tcW w:w="3460" w:type="dxa"/>
            <w:vAlign w:val="bottom"/>
          </w:tcPr>
          <w:p>
            <w:pPr>
              <w:spacing w:after="0"/>
              <w:rPr>
                <w:sz w:val="20"/>
                <w:szCs w:val="20"/>
                <w:color w:val="auto"/>
              </w:rPr>
            </w:pPr>
            <w:r>
              <w:rPr>
                <w:rFonts w:ascii="Arial" w:cs="Arial" w:eastAsia="Arial" w:hAnsi="Arial"/>
                <w:sz w:val="17"/>
                <w:szCs w:val="17"/>
                <w:color w:val="auto"/>
              </w:rPr>
              <w:t>Cash flow hedges:</w:t>
            </w:r>
          </w:p>
        </w:tc>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swaps</w:t>
            </w:r>
          </w:p>
        </w:tc>
        <w:tc>
          <w:tcPr>
            <w:tcW w:w="4940" w:type="dxa"/>
            <w:vAlign w:val="bottom"/>
            <w:gridSpan w:val="2"/>
            <w:shd w:val="clear" w:color="auto" w:fill="CCEEFF"/>
          </w:tcPr>
          <w:p>
            <w:pPr>
              <w:ind w:left="480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22,134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14,677</w:t>
            </w:r>
          </w:p>
        </w:tc>
      </w:tr>
      <w:tr>
        <w:trPr>
          <w:trHeight w:val="522"/>
        </w:trPr>
        <w:tc>
          <w:tcPr>
            <w:tcW w:w="3460" w:type="dxa"/>
            <w:vAlign w:val="bottom"/>
            <w:tcBorders>
              <w:top w:val="single" w:sz="8" w:color="CCEEFF"/>
            </w:tcBorders>
          </w:tcPr>
          <w:p>
            <w:pPr>
              <w:spacing w:after="0"/>
              <w:rPr>
                <w:sz w:val="24"/>
                <w:szCs w:val="24"/>
                <w:color w:val="auto"/>
              </w:rPr>
            </w:pPr>
          </w:p>
        </w:tc>
        <w:tc>
          <w:tcPr>
            <w:tcW w:w="4800" w:type="dxa"/>
            <w:vAlign w:val="bottom"/>
            <w:tcBorders>
              <w:top w:val="single" w:sz="8" w:color="CCEEFF"/>
            </w:tcBorders>
          </w:tcPr>
          <w:p>
            <w:pPr>
              <w:jc w:val="right"/>
              <w:ind w:right="2400"/>
              <w:spacing w:after="0"/>
              <w:rPr>
                <w:sz w:val="20"/>
                <w:szCs w:val="20"/>
                <w:color w:val="auto"/>
              </w:rPr>
            </w:pPr>
            <w:r>
              <w:rPr>
                <w:rFonts w:ascii="Arial" w:cs="Arial" w:eastAsia="Arial" w:hAnsi="Arial"/>
                <w:sz w:val="14"/>
                <w:szCs w:val="14"/>
                <w:color w:val="auto"/>
              </w:rPr>
              <w:t>10</w:t>
            </w: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8"/>
        </w:trPr>
        <w:tc>
          <w:tcPr>
            <w:tcW w:w="3460" w:type="dxa"/>
            <w:vAlign w:val="bottom"/>
            <w:tcBorders>
              <w:bottom w:val="single" w:sz="8" w:color="808080"/>
            </w:tcBorders>
          </w:tcPr>
          <w:p>
            <w:pPr>
              <w:spacing w:after="0"/>
              <w:rPr>
                <w:sz w:val="8"/>
                <w:szCs w:val="8"/>
                <w:color w:val="auto"/>
              </w:rPr>
            </w:pPr>
          </w:p>
        </w:tc>
        <w:tc>
          <w:tcPr>
            <w:tcW w:w="48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following table summarizes the pre-tax effects of the Company’s derivative instruments on income for the quarters and nine-month periods ended April 27, 2012 and April 29, 2011: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8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3"/>
              </w:rPr>
              <w:t>Location of Loss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98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3"/>
              </w:rPr>
              <w:t>Reclassified from</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98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6"/>
              </w:rPr>
              <w:t>AOCL into Income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60" w:type="dxa"/>
            <w:vAlign w:val="bottom"/>
            <w:gridSpan w:val="12"/>
          </w:tcPr>
          <w:p>
            <w:pPr>
              <w:ind w:left="560"/>
              <w:spacing w:after="0"/>
              <w:rPr>
                <w:sz w:val="20"/>
                <w:szCs w:val="20"/>
                <w:color w:val="auto"/>
              </w:rPr>
            </w:pPr>
            <w:r>
              <w:rPr>
                <w:rFonts w:ascii="Arial" w:cs="Arial" w:eastAsia="Arial" w:hAnsi="Arial"/>
                <w:sz w:val="17"/>
                <w:szCs w:val="17"/>
                <w:color w:val="auto"/>
              </w:rPr>
              <w:t>Amount of Loss Reclassified from AOCL into Income</w:t>
            </w:r>
          </w:p>
        </w:tc>
      </w:tr>
      <w:tr>
        <w:trPr>
          <w:trHeight w:val="225"/>
        </w:trPr>
        <w:tc>
          <w:tcPr>
            <w:tcW w:w="2980" w:type="dxa"/>
            <w:vAlign w:val="bottom"/>
          </w:tcPr>
          <w:p>
            <w:pPr>
              <w:spacing w:after="0"/>
              <w:rPr>
                <w:sz w:val="19"/>
                <w:szCs w:val="19"/>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(Effective Portion)</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ind w:left="200"/>
              <w:spacing w:after="0"/>
              <w:rPr>
                <w:sz w:val="20"/>
                <w:szCs w:val="20"/>
                <w:color w:val="auto"/>
              </w:rPr>
            </w:pPr>
            <w:r>
              <w:rPr>
                <w:rFonts w:ascii="Arial" w:cs="Arial" w:eastAsia="Arial" w:hAnsi="Arial"/>
                <w:sz w:val="17"/>
                <w:szCs w:val="17"/>
                <w:color w:val="auto"/>
              </w:rPr>
              <w:t>(Effective Portion)</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580"/>
              <w:spacing w:after="0"/>
              <w:rPr>
                <w:sz w:val="20"/>
                <w:szCs w:val="20"/>
                <w:color w:val="auto"/>
              </w:rPr>
            </w:pPr>
            <w:r>
              <w:rPr>
                <w:rFonts w:ascii="Arial" w:cs="Arial" w:eastAsia="Arial" w:hAnsi="Arial"/>
                <w:sz w:val="17"/>
                <w:szCs w:val="17"/>
                <w:color w:val="auto"/>
                <w:w w:val="89"/>
              </w:rPr>
              <w:t>Quarter Ended</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ind w:left="360"/>
              <w:spacing w:after="0"/>
              <w:rPr>
                <w:sz w:val="20"/>
                <w:szCs w:val="20"/>
                <w:color w:val="auto"/>
              </w:rPr>
            </w:pPr>
            <w:r>
              <w:rPr>
                <w:rFonts w:ascii="Arial" w:cs="Arial" w:eastAsia="Arial" w:hAnsi="Arial"/>
                <w:sz w:val="17"/>
                <w:szCs w:val="17"/>
                <w:color w:val="auto"/>
              </w:rPr>
              <w:t>Nine Months Ended</w:t>
            </w:r>
          </w:p>
        </w:tc>
        <w:tc>
          <w:tcPr>
            <w:tcW w:w="100" w:type="dxa"/>
            <w:vAlign w:val="bottom"/>
          </w:tcPr>
          <w:p>
            <w:pPr>
              <w:spacing w:after="0"/>
              <w:rPr>
                <w:sz w:val="18"/>
                <w:szCs w:val="18"/>
                <w:color w:val="auto"/>
              </w:rPr>
            </w:pPr>
          </w:p>
        </w:tc>
      </w:tr>
      <w:tr>
        <w:trPr>
          <w:trHeight w:val="194"/>
        </w:trPr>
        <w:tc>
          <w:tcPr>
            <w:tcW w:w="29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14"/>
              <w:spacing w:after="0" w:line="194" w:lineRule="exact"/>
              <w:rPr>
                <w:sz w:val="20"/>
                <w:szCs w:val="20"/>
                <w:color w:val="auto"/>
              </w:rPr>
            </w:pPr>
            <w:r>
              <w:rPr>
                <w:rFonts w:ascii="Arial" w:cs="Arial" w:eastAsia="Arial" w:hAnsi="Arial"/>
                <w:sz w:val="17"/>
                <w:szCs w:val="17"/>
                <w:color w:val="auto"/>
                <w:w w:val="99"/>
              </w:rPr>
              <w:t>April 27,</w:t>
            </w:r>
          </w:p>
        </w:tc>
        <w:tc>
          <w:tcPr>
            <w:tcW w:w="220" w:type="dxa"/>
            <w:vAlign w:val="bottom"/>
          </w:tcPr>
          <w:p>
            <w:pPr>
              <w:spacing w:after="0"/>
              <w:rPr>
                <w:sz w:val="16"/>
                <w:szCs w:val="16"/>
                <w:color w:val="auto"/>
              </w:rPr>
            </w:pPr>
          </w:p>
        </w:tc>
        <w:tc>
          <w:tcPr>
            <w:tcW w:w="1160" w:type="dxa"/>
            <w:vAlign w:val="bottom"/>
            <w:gridSpan w:val="2"/>
          </w:tcPr>
          <w:p>
            <w:pPr>
              <w:jc w:val="center"/>
              <w:spacing w:after="0" w:line="194" w:lineRule="exact"/>
              <w:rPr>
                <w:sz w:val="20"/>
                <w:szCs w:val="20"/>
                <w:color w:val="auto"/>
              </w:rPr>
            </w:pPr>
            <w:r>
              <w:rPr>
                <w:rFonts w:ascii="Arial" w:cs="Arial" w:eastAsia="Arial" w:hAnsi="Arial"/>
                <w:sz w:val="17"/>
                <w:szCs w:val="17"/>
                <w:color w:val="auto"/>
                <w:w w:val="99"/>
              </w:rPr>
              <w:t>April 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400"/>
              <w:spacing w:after="0" w:line="194" w:lineRule="exact"/>
              <w:rPr>
                <w:sz w:val="20"/>
                <w:szCs w:val="20"/>
                <w:color w:val="auto"/>
              </w:rPr>
            </w:pPr>
            <w:r>
              <w:rPr>
                <w:rFonts w:ascii="Arial" w:cs="Arial" w:eastAsia="Arial" w:hAnsi="Arial"/>
                <w:sz w:val="17"/>
                <w:szCs w:val="17"/>
                <w:color w:val="auto"/>
                <w:w w:val="99"/>
              </w:rPr>
              <w:t>April 27,</w:t>
            </w:r>
          </w:p>
        </w:tc>
        <w:tc>
          <w:tcPr>
            <w:tcW w:w="160" w:type="dxa"/>
            <w:vAlign w:val="bottom"/>
          </w:tcPr>
          <w:p>
            <w:pPr>
              <w:spacing w:after="0"/>
              <w:rPr>
                <w:sz w:val="16"/>
                <w:szCs w:val="16"/>
                <w:color w:val="auto"/>
              </w:rPr>
            </w:pPr>
          </w:p>
        </w:tc>
        <w:tc>
          <w:tcPr>
            <w:tcW w:w="960" w:type="dxa"/>
            <w:vAlign w:val="bottom"/>
          </w:tcPr>
          <w:p>
            <w:pPr>
              <w:jc w:val="center"/>
              <w:ind w:right="74"/>
              <w:spacing w:after="0" w:line="194" w:lineRule="exact"/>
              <w:rPr>
                <w:sz w:val="20"/>
                <w:szCs w:val="20"/>
                <w:color w:val="auto"/>
              </w:rPr>
            </w:pPr>
            <w:r>
              <w:rPr>
                <w:rFonts w:ascii="Arial" w:cs="Arial" w:eastAsia="Arial" w:hAnsi="Arial"/>
                <w:sz w:val="17"/>
                <w:szCs w:val="17"/>
                <w:color w:val="auto"/>
              </w:rPr>
              <w:t>April 29,</w:t>
            </w:r>
          </w:p>
        </w:tc>
        <w:tc>
          <w:tcPr>
            <w:tcW w:w="100" w:type="dxa"/>
            <w:vAlign w:val="bottom"/>
          </w:tcPr>
          <w:p>
            <w:pPr>
              <w:spacing w:after="0"/>
              <w:rPr>
                <w:sz w:val="16"/>
                <w:szCs w:val="16"/>
                <w:color w:val="auto"/>
              </w:rPr>
            </w:pPr>
          </w:p>
        </w:tc>
      </w:tr>
      <w:tr>
        <w:trPr>
          <w:trHeight w:val="225"/>
        </w:trPr>
        <w:tc>
          <w:tcPr>
            <w:tcW w:w="2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r>
      <w:tr>
        <w:trPr>
          <w:trHeight w:val="205"/>
        </w:trPr>
        <w:tc>
          <w:tcPr>
            <w:tcW w:w="2980" w:type="dxa"/>
            <w:vAlign w:val="bottom"/>
          </w:tcPr>
          <w:p>
            <w:pPr>
              <w:spacing w:after="0"/>
              <w:rPr>
                <w:sz w:val="20"/>
                <w:szCs w:val="20"/>
                <w:color w:val="auto"/>
              </w:rPr>
            </w:pPr>
            <w:r>
              <w:rPr>
                <w:rFonts w:ascii="Arial" w:cs="Arial" w:eastAsia="Arial" w:hAnsi="Arial"/>
                <w:sz w:val="17"/>
                <w:szCs w:val="17"/>
                <w:color w:val="auto"/>
              </w:rPr>
              <w:t>Cash flow hedges:</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swaps</w:t>
            </w:r>
          </w:p>
        </w:tc>
        <w:tc>
          <w:tcPr>
            <w:tcW w:w="2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Interest expense</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7"/>
                <w:szCs w:val="17"/>
                <w:color w:val="auto"/>
                <w:w w:val="89"/>
              </w:rPr>
              <w:t>7,222</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22,134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22,878</w:t>
            </w: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Any portion of the fair value of the swaps determined to be ineffective will be recognized currently in earnings. No ineffectiveness has been recorded in the nine-month periods ended April 27, 2012 and April 29, 2011.</w:t>
      </w:r>
    </w:p>
    <w:p>
      <w:pPr>
        <w:spacing w:after="0" w:line="183" w:lineRule="exact"/>
        <w:rPr>
          <w:sz w:val="20"/>
          <w:szCs w:val="20"/>
          <w:color w:val="auto"/>
        </w:rPr>
      </w:pPr>
    </w:p>
    <w:p>
      <w:pPr>
        <w:ind w:left="620" w:hanging="617"/>
        <w:spacing w:after="0"/>
        <w:tabs>
          <w:tab w:leader="none" w:pos="6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Shareholders’ Equity</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During the nine-month period ended April 27, 2012, the Company received proceeds of $16,729 from the exercise of share-based compensation awards and the corresponding issuance of 605,193 shares of the Company’s common stock. During the nine-month period ended April 27, 2012, the Company repurchased 220,400 shares of its common stock in the open market at an aggregate cost of $12,279.</w:t>
      </w:r>
    </w:p>
    <w:p>
      <w:pPr>
        <w:spacing w:after="0" w:line="202"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During the nine-month period ended April 27, 2012, the Company paid dividends of $0.72 per share of its common stock. During the third quarter of 2012, the Company declared a regular dividend of $0.25 per share of its common stock that was paid on May 7, 2012. Additionally, during the third quarter of 2012, the Company declared a regular dividend of $0.40 per share of its common stock payable on August 6, 2012 to shareholders of record on July 20, 2012.</w:t>
      </w:r>
    </w:p>
    <w:p>
      <w:pPr>
        <w:spacing w:after="0" w:line="18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During the nine-month period ended April 27, 2012, the unrealized loss, net of tax, on the Company’s interest rate swaps decreased by $10,902 to $27,130 and is recorded in AOCL (see Notes 2, 5 and 8).</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During the nine-month period ended April 27, 2012, total share-based compensation expense was $9,430. The excess tax benefit realized upon exercise of share-based compensation awards was $1,921.</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On September 22, 2011, the Company’s Board of Directors designated 300,000 shares of the Company’s previously authorized 100,000,000 shares of preferred stock as Series A Junior Participating Preferred Stock. No shares of preferred stock have been issued.</w:t>
      </w:r>
    </w:p>
    <w:p>
      <w:pPr>
        <w:spacing w:after="0" w:line="183" w:lineRule="exact"/>
        <w:rPr>
          <w:sz w:val="20"/>
          <w:szCs w:val="20"/>
          <w:color w:val="auto"/>
        </w:rPr>
      </w:pPr>
    </w:p>
    <w:p>
      <w:pPr>
        <w:ind w:left="620" w:hanging="617"/>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Shareholder Rights Plan</w:t>
      </w:r>
    </w:p>
    <w:p>
      <w:pPr>
        <w:spacing w:after="0" w:line="243"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September 22, 2011 Shareholder Rights Plan</w:t>
      </w:r>
    </w:p>
    <w:p>
      <w:pPr>
        <w:spacing w:after="0" w:line="24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On September 22, 2011, the Company’s Board of Directors adopted a shareholder rights plan (the “September 22, 2011 Rights Agreement”) and the Company declared a dividend of one preferred share purchase right (a “Right”) to shareholders of record on October 3, 2011 (see Note 11 to the Company’s Consolidated Financial Statements in the 2011 Form 10-K for additional information regarding the September 22, 2011 Rights Agreement and the Rights). The September 22, 2011 Rights Agreement was not approved by the Company’s shareholders at its annual shareholders’ meeting on December 20, 2011. As a result, the September 22, 2011 Rights Agreement was terminated and the Rights expired on December 28, 2011, following the certification of voting results at the annual shareholders’ meeting.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April 9, 2012 Shareholder Rights Plan</w:t>
      </w:r>
    </w:p>
    <w:p>
      <w:pPr>
        <w:spacing w:after="0" w:line="249"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On April 9, 2012, the Company’s Board of Directors adopted a shareholder rights plan, as set forth in the Rights Agreement dated as of April 9, 2012 (the “April 9, 2012 Rights Agreement”), by and between the Company and American Stock Transfer &amp; Trust Company, LLC, as rights agent. Pursuant to the terms of the April 9, 2012 Rights Agreement, the Board of Directors declared a dividend of one Right for each outstanding share of common stock, par value $.01 per share. The dividend was payable on April 20, 2012 to the shareholders of record as of the close of business on April 20, 2012.</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The Rights</w:t>
      </w:r>
    </w:p>
    <w:p>
      <w:pPr>
        <w:spacing w:after="0" w:line="243"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The Rights initially trade with, and are inseparable from, the Company’s common stock. The Rights are evidenced only by the balances indicated in the book-entry account system of the transfer agent for the Company’s common stock or, in the case of certified shares, the certificates that represent shares of the Company’s common stock. New Rights will accompany any new shares of common stock the Company issues after April 20, 2012 until the earlier of the Distribution Date, redemption of the Rights by the Board of Directors or the final expiration date of the April 9, 2012 Rights Agreement, each as described below.</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Exercise Price</w:t>
      </w:r>
    </w:p>
    <w:p>
      <w:pPr>
        <w:spacing w:after="0" w:line="243" w:lineRule="exact"/>
        <w:rPr>
          <w:sz w:val="20"/>
          <w:szCs w:val="20"/>
          <w:color w:val="auto"/>
        </w:rPr>
      </w:pPr>
    </w:p>
    <w:p>
      <w:pPr>
        <w:jc w:val="both"/>
        <w:ind w:firstLine="620"/>
        <w:spacing w:after="0" w:line="318" w:lineRule="auto"/>
        <w:rPr>
          <w:sz w:val="20"/>
          <w:szCs w:val="20"/>
          <w:color w:val="auto"/>
        </w:rPr>
      </w:pPr>
      <w:r>
        <w:rPr>
          <w:rFonts w:ascii="Arial" w:cs="Arial" w:eastAsia="Arial" w:hAnsi="Arial"/>
          <w:sz w:val="15"/>
          <w:szCs w:val="15"/>
          <w:color w:val="auto"/>
        </w:rPr>
        <w:t>Each Right will allow its holder to purchase from the Company one one-hundredth of a share of Series A Junior Participating Preferred Stock (“Preferred Share”) for $200.00 (the “Exercise Price”), once the Rights become exercisable. This portion of a Preferred Share will give the shareholder approximately the same dividend and liquidation rights as would one share of common stock. Prior to exercise, the Right does not give its holder any dividend, voting, or liquidation rights.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Exercisability</w:t>
      </w:r>
    </w:p>
    <w:p>
      <w:pPr>
        <w:spacing w:after="0" w:line="243"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The Rights will not be exercisable until 10 days after the public announcement that a person or group has become an “Acquiring Person” by obtaining beneficial ownership of 20% or more of the Company’s outstanding common stock (the “Distribution Date”). Until the Distribution Date, the balances in the book-entry accounting system of the transfer agent for the Company’s common stock or, in the case of certificated shares, common stock certificates will evidence the Rights, and any transfer of shares of common stock will constitute a transfer of Rights. After the Distribution Date, the Rights will separate from the common stock and will be evidenced by book-entry credits or by Rights certificates that the Company will mail to all eligible holders of the Company’s common stock. Any Rights held by an Acquiring Person or any associate or affiliate thereof will be void and may not be exercised.</w:t>
      </w:r>
    </w:p>
    <w:p>
      <w:pPr>
        <w:spacing w:after="0" w:line="193"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After the Distribution Date, each Right will generally entitle the holder, except the Acquiring Person or any associate or affiliate thereof, to acquire, for the exercise price of $200.00 per Right (subject to adjustment as provided in the April 9, 2012 Rights Agreement), shares of the Company's common stock (or, in certain circumstances, Preferred Shares) having a market value equal to twice the Right's then-current exercise price. In addition, if, the Company is later acquired in a merger or similar transaction after the Distribution Date, each Right will generally entitle the holder, except the Acquiring Person or any associate or affiliate thereof, to acquire, for the exercise price of $200.00 per Right (subject to adjustment as provided in the Rights Agreement), shares of the acquiring corporation having a market value equal to twice the Right's then-current exercise price.</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April 27, 2012, none of the Rights are exercisable.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Preferred Share Provisions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Each one one-hundredth of a Preferred Share, if issued:</w:t>
      </w:r>
    </w:p>
    <w:p>
      <w:pPr>
        <w:spacing w:after="0" w:line="243" w:lineRule="exact"/>
        <w:rPr>
          <w:sz w:val="20"/>
          <w:szCs w:val="20"/>
          <w:color w:val="auto"/>
        </w:rPr>
      </w:pPr>
    </w:p>
    <w:p>
      <w:pPr>
        <w:ind w:left="940" w:hanging="317"/>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will not be redeemable.</w:t>
      </w:r>
    </w:p>
    <w:p>
      <w:pPr>
        <w:spacing w:after="0" w:line="21" w:lineRule="exact"/>
        <w:rPr>
          <w:rFonts w:ascii="Arial" w:cs="Arial" w:eastAsia="Arial" w:hAnsi="Arial"/>
          <w:sz w:val="17"/>
          <w:szCs w:val="17"/>
          <w:color w:val="auto"/>
        </w:rPr>
      </w:pPr>
    </w:p>
    <w:p>
      <w:pPr>
        <w:ind w:left="940" w:hanging="317"/>
        <w:spacing w:after="0" w:line="253" w:lineRule="auto"/>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will entitle holders to quarterly dividend payments of $0.01 per share, or an amount equal to the dividend paid on one share of common stock, whichever is greater.</w:t>
      </w:r>
    </w:p>
    <w:p>
      <w:pPr>
        <w:ind w:left="940" w:hanging="317"/>
        <w:spacing w:after="0" w:line="253" w:lineRule="auto"/>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will entitle holders upon liquidation either to receive $1.00 per share or an amount equal to the payment made on one share of common stock, whichever is greater.</w:t>
      </w:r>
    </w:p>
    <w:p>
      <w:pPr>
        <w:ind w:left="940" w:hanging="317"/>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will have the same voting power as one share of common stock.</w:t>
      </w:r>
    </w:p>
    <w:p>
      <w:pPr>
        <w:spacing w:after="0" w:line="11" w:lineRule="exact"/>
        <w:rPr>
          <w:rFonts w:ascii="Arial" w:cs="Arial" w:eastAsia="Arial" w:hAnsi="Arial"/>
          <w:sz w:val="17"/>
          <w:szCs w:val="17"/>
          <w:color w:val="auto"/>
        </w:rPr>
      </w:pPr>
    </w:p>
    <w:p>
      <w:pPr>
        <w:ind w:left="940" w:hanging="317"/>
        <w:spacing w:after="0" w:line="267" w:lineRule="auto"/>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shares of the Company’s common stock are exchanged via merger, consolidation, or a similar transaction, will entitle holders to a per share payment equal to the payment made on one share of common stock.</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value of one one-hundredth of a Preferred Share will generally approximate the value of one share of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Redemption</w:t>
      </w:r>
    </w:p>
    <w:p>
      <w:pPr>
        <w:spacing w:after="0" w:line="243"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The Board of Directors may redeem the Rights for $0.01 per Right at any time before any person or group becomes an Acquiring Person. If the Board of Directors redeems any Rights, it must redeem all of the Rights. Once the Rights are redeemed, the only right of the holders of Rights will be to receive the redemption price of $0.01 per Right. The redemption price will be adjusted if the Company has a stock split or stock dividends of its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Qualifying Offer Provision</w:t>
      </w:r>
    </w:p>
    <w:p>
      <w:pPr>
        <w:spacing w:after="0" w:line="24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The Rights would also not interfere with all-cash, fully financed tender offers for all shares of common stock that remain open for a minimum of 60 business days, are subject to a minimum condition of a majority of the outstanding shares and provide for a 20 business day “subsequent offering period” after consummation (such offers are referred to as “qualifying offers”). In the event the Company receives a qualifying offer and the Board of Directors has not redeemed the Rights prior to the consummation of such offer, the consummation of the qualifying offer shall not cause the offeror or its affiliates or associates to become an Acquiring Person, and the Rights will immediately expire upon consummation of the qualifying offer.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Exchange</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After a person or group becomes an Acquiring Person, but before an Acquiring Person owns 50% or more of the Company’s outstanding common stock, the Board of Directors may extinguish the Rights by exchanging one share of common stock or an equivalent security for each Right, other than Rights held by the Acquiring Person.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Anti-Dilution Provisions</w:t>
      </w:r>
    </w:p>
    <w:p>
      <w:pPr>
        <w:spacing w:after="0" w:line="24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Board of Directors may adjust the purchase price of the Preferred Shares, the number of Preferred Shares issuable and the number of outstanding Rights to prevent dilution that may occur from a stock dividend, a stock split or a reclassification of the Preferred Shares or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Amendments</w:t>
      </w:r>
    </w:p>
    <w:p>
      <w:pPr>
        <w:spacing w:after="0" w:line="243"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The terms of the April 9, 2012 Rights Agreement may be amended by the Board of Directors without the consent of the holders of the Rights. After a person or group becomes an Acquiring Person, the Board of Directors may not amend the agreement in a way that adversely affects holders of the Rights.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Expiration</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If the April 9, 2012 Rights Agreement is approved by the shareholders at the 2012 annual shareholders’ meeting, the Rights will expire on April 9, 2015. If shareholders do not approve the April 9, 2012 Rights Agreement, it will expire on the close of business on the day following certification of the vote at the 2012 annual meeting.</w:t>
      </w:r>
    </w:p>
    <w:p>
      <w:pPr>
        <w:spacing w:after="0" w:line="196" w:lineRule="exact"/>
        <w:rPr>
          <w:sz w:val="20"/>
          <w:szCs w:val="20"/>
          <w:color w:val="auto"/>
        </w:rPr>
      </w:pPr>
    </w:p>
    <w:p>
      <w:pPr>
        <w:ind w:left="620" w:hanging="617"/>
        <w:spacing w:after="0"/>
        <w:tabs>
          <w:tab w:leader="none" w:pos="6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Comprehensive Income</w:t>
      </w:r>
    </w:p>
    <w:p>
      <w:pPr>
        <w:spacing w:after="0" w:line="249"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Comprehensive income consisted of the following at: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gridSpan w:val="5"/>
          </w:tcPr>
          <w:p>
            <w:pPr>
              <w:ind w:left="580"/>
              <w:spacing w:after="0"/>
              <w:rPr>
                <w:sz w:val="20"/>
                <w:szCs w:val="20"/>
                <w:color w:val="auto"/>
              </w:rPr>
            </w:pPr>
            <w:r>
              <w:rPr>
                <w:rFonts w:ascii="Arial" w:cs="Arial" w:eastAsia="Arial" w:hAnsi="Arial"/>
                <w:sz w:val="17"/>
                <w:szCs w:val="17"/>
                <w:color w:val="auto"/>
              </w:rPr>
              <w:t>Quarter Ended</w:t>
            </w:r>
          </w:p>
        </w:tc>
        <w:tc>
          <w:tcPr>
            <w:tcW w:w="160" w:type="dxa"/>
            <w:vAlign w:val="bottom"/>
          </w:tcPr>
          <w:p>
            <w:pPr>
              <w:spacing w:after="0"/>
              <w:rPr>
                <w:sz w:val="19"/>
                <w:szCs w:val="19"/>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27,</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29,</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100"/>
              <w:spacing w:after="0" w:line="194" w:lineRule="exact"/>
              <w:rPr>
                <w:sz w:val="20"/>
                <w:szCs w:val="20"/>
                <w:color w:val="auto"/>
              </w:rPr>
            </w:pPr>
            <w:r>
              <w:rPr>
                <w:rFonts w:ascii="Arial" w:cs="Arial" w:eastAsia="Arial" w:hAnsi="Arial"/>
                <w:sz w:val="17"/>
                <w:szCs w:val="17"/>
                <w:color w:val="auto"/>
              </w:rPr>
              <w:t>April 27,</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54"/>
              <w:spacing w:after="0" w:line="194" w:lineRule="exact"/>
              <w:rPr>
                <w:sz w:val="20"/>
                <w:szCs w:val="20"/>
                <w:color w:val="auto"/>
              </w:rPr>
            </w:pPr>
            <w:r>
              <w:rPr>
                <w:rFonts w:ascii="Arial" w:cs="Arial" w:eastAsia="Arial" w:hAnsi="Arial"/>
                <w:sz w:val="17"/>
                <w:szCs w:val="17"/>
                <w:color w:val="auto"/>
              </w:rPr>
              <w:t>April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15,154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68,385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67,665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Other comprehensive income: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fair value of interest rate swaps, net of tax</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11,905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Total comprehensive income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23,514</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17,483</w:t>
            </w:r>
          </w:p>
        </w:tc>
        <w:tc>
          <w:tcPr>
            <w:tcW w:w="24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79,287</w:t>
            </w:r>
          </w:p>
        </w:tc>
        <w:tc>
          <w:tcPr>
            <w:tcW w:w="2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79,570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the quarters ended April 27, 2012 and April 29, 2011, the changes in fair value of the Company’s interest rate swaps are net of tax provisions of $1,808 and $1,987, respectively. For the nine-month periods ended April 27, 2012 and April 29, 2011, the changes in fair value of the Company’s interest rate swaps are net of tax provisions of $2,000 and $3,065, respectively.</w:t>
      </w:r>
    </w:p>
    <w:p>
      <w:pPr>
        <w:spacing w:after="0" w:line="196" w:lineRule="exact"/>
        <w:rPr>
          <w:sz w:val="20"/>
          <w:szCs w:val="20"/>
          <w:color w:val="auto"/>
        </w:rPr>
      </w:pPr>
    </w:p>
    <w:p>
      <w:pPr>
        <w:ind w:left="620" w:hanging="617"/>
        <w:spacing w:after="0"/>
        <w:tabs>
          <w:tab w:leader="none" w:pos="6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Seasonality</w:t>
      </w:r>
    </w:p>
    <w:p>
      <w:pPr>
        <w:spacing w:after="0" w:line="249"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much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187" w:lineRule="exact"/>
        <w:rPr>
          <w:sz w:val="20"/>
          <w:szCs w:val="20"/>
          <w:color w:val="auto"/>
        </w:rPr>
      </w:pPr>
    </w:p>
    <w:p>
      <w:pPr>
        <w:ind w:left="620" w:hanging="617"/>
        <w:spacing w:after="0"/>
        <w:tabs>
          <w:tab w:leader="none" w:pos="62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Segment Information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manages its business on the basis of one reportable operating segment. All of the Company’s operations are located within the United States. Total revenue was comprised of the following at: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60" w:type="dxa"/>
            <w:vAlign w:val="bottom"/>
            <w:gridSpan w:val="5"/>
          </w:tcPr>
          <w:p>
            <w:pPr>
              <w:jc w:val="right"/>
              <w:ind w:right="694"/>
              <w:spacing w:after="0"/>
              <w:rPr>
                <w:sz w:val="20"/>
                <w:szCs w:val="20"/>
                <w:color w:val="auto"/>
              </w:rPr>
            </w:pPr>
            <w:r>
              <w:rPr>
                <w:rFonts w:ascii="Arial" w:cs="Arial" w:eastAsia="Arial" w:hAnsi="Arial"/>
                <w:sz w:val="17"/>
                <w:szCs w:val="17"/>
                <w:color w:val="auto"/>
              </w:rPr>
              <w:t>Quarter Ended</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7"/>
                <w:szCs w:val="17"/>
                <w:color w:val="auto"/>
              </w:rPr>
              <w:t>Nine Months Ended</w:t>
            </w:r>
          </w:p>
        </w:tc>
      </w:tr>
      <w:tr>
        <w:trPr>
          <w:trHeight w:val="194"/>
        </w:trPr>
        <w:tc>
          <w:tcPr>
            <w:tcW w:w="33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00"/>
              <w:spacing w:after="0" w:line="194" w:lineRule="exact"/>
              <w:rPr>
                <w:sz w:val="20"/>
                <w:szCs w:val="20"/>
                <w:color w:val="auto"/>
              </w:rPr>
            </w:pPr>
            <w:r>
              <w:rPr>
                <w:rFonts w:ascii="Arial" w:cs="Arial" w:eastAsia="Arial" w:hAnsi="Arial"/>
                <w:sz w:val="17"/>
                <w:szCs w:val="17"/>
                <w:color w:val="auto"/>
              </w:rPr>
              <w:t>April 27,</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29,</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100"/>
              <w:spacing w:after="0" w:line="194" w:lineRule="exact"/>
              <w:rPr>
                <w:sz w:val="20"/>
                <w:szCs w:val="20"/>
                <w:color w:val="auto"/>
              </w:rPr>
            </w:pPr>
            <w:r>
              <w:rPr>
                <w:rFonts w:ascii="Arial" w:cs="Arial" w:eastAsia="Arial" w:hAnsi="Arial"/>
                <w:sz w:val="17"/>
                <w:szCs w:val="17"/>
                <w:color w:val="auto"/>
              </w:rPr>
              <w:t>April 27,</w:t>
            </w:r>
          </w:p>
        </w:tc>
        <w:tc>
          <w:tcPr>
            <w:tcW w:w="11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7"/>
                <w:szCs w:val="17"/>
                <w:color w:val="auto"/>
              </w:rPr>
              <w:t>April 29,</w:t>
            </w:r>
          </w:p>
        </w:tc>
        <w:tc>
          <w:tcPr>
            <w:tcW w:w="100" w:type="dxa"/>
            <w:vAlign w:val="bottom"/>
          </w:tcPr>
          <w:p>
            <w:pPr>
              <w:spacing w:after="0"/>
              <w:rPr>
                <w:sz w:val="16"/>
                <w:szCs w:val="16"/>
                <w:color w:val="auto"/>
              </w:rPr>
            </w:pPr>
          </w:p>
        </w:tc>
      </w:tr>
      <w:tr>
        <w:trPr>
          <w:trHeight w:val="225"/>
        </w:trPr>
        <w:tc>
          <w:tcPr>
            <w:tcW w:w="3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r>
      <w:tr>
        <w:trPr>
          <w:trHeight w:val="206"/>
        </w:trPr>
        <w:tc>
          <w:tcPr>
            <w:tcW w:w="3380" w:type="dxa"/>
            <w:vAlign w:val="bottom"/>
          </w:tcPr>
          <w:p>
            <w:pPr>
              <w:spacing w:after="0"/>
              <w:rPr>
                <w:sz w:val="20"/>
                <w:szCs w:val="20"/>
                <w:color w:val="auto"/>
              </w:rPr>
            </w:pPr>
            <w:r>
              <w:rPr>
                <w:rFonts w:ascii="Arial" w:cs="Arial" w:eastAsia="Arial" w:hAnsi="Arial"/>
                <w:sz w:val="17"/>
                <w:szCs w:val="17"/>
                <w:color w:val="auto"/>
              </w:rPr>
              <w:t>Revenue:</w:t>
            </w: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3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500,025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476,361</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1,485,065</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1,436,790</w:t>
            </w:r>
          </w:p>
        </w:tc>
      </w:tr>
      <w:tr>
        <w:trPr>
          <w:trHeight w:val="206"/>
        </w:trPr>
        <w:tc>
          <w:tcPr>
            <w:tcW w:w="3380" w:type="dxa"/>
            <w:vAlign w:val="bottom"/>
          </w:tcPr>
          <w:p>
            <w:pPr>
              <w:ind w:left="160"/>
              <w:spacing w:after="0"/>
              <w:rPr>
                <w:sz w:val="20"/>
                <w:szCs w:val="20"/>
                <w:color w:val="auto"/>
              </w:rPr>
            </w:pPr>
            <w:r>
              <w:rPr>
                <w:rFonts w:ascii="Arial" w:cs="Arial" w:eastAsia="Arial" w:hAnsi="Arial"/>
                <w:sz w:val="17"/>
                <w:szCs w:val="17"/>
                <w:color w:val="auto"/>
              </w:rPr>
              <w:t>Retail</w:t>
            </w: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108,489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106,164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395,120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384,703</w:t>
            </w:r>
          </w:p>
        </w:tc>
      </w:tr>
      <w:tr>
        <w:trPr>
          <w:trHeight w:val="26"/>
        </w:trPr>
        <w:tc>
          <w:tcPr>
            <w:tcW w:w="33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6"/>
        </w:trPr>
        <w:tc>
          <w:tcPr>
            <w:tcW w:w="3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revenue</w:t>
            </w:r>
          </w:p>
        </w:tc>
        <w:tc>
          <w:tcPr>
            <w:tcW w:w="26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608,514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582,525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1,880,185</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1,821,493</w:t>
            </w:r>
          </w:p>
        </w:tc>
      </w:tr>
      <w:tr>
        <w:trPr>
          <w:trHeight w:val="496"/>
        </w:trPr>
        <w:tc>
          <w:tcPr>
            <w:tcW w:w="3380" w:type="dxa"/>
            <w:vAlign w:val="bottom"/>
            <w:tcBorders>
              <w:top w:val="single" w:sz="8" w:color="CCEEFF"/>
            </w:tcBorders>
          </w:tcPr>
          <w:p>
            <w:pPr>
              <w:spacing w:after="0"/>
              <w:rPr>
                <w:sz w:val="24"/>
                <w:szCs w:val="24"/>
                <w:color w:val="auto"/>
              </w:rPr>
            </w:pPr>
          </w:p>
        </w:tc>
        <w:tc>
          <w:tcPr>
            <w:tcW w:w="2680" w:type="dxa"/>
            <w:vAlign w:val="bottom"/>
            <w:tcBorders>
              <w:top w:val="single" w:sz="8" w:color="CCEEFF"/>
            </w:tcBorders>
          </w:tcPr>
          <w:p>
            <w:pPr>
              <w:jc w:val="right"/>
              <w:ind w:right="203"/>
              <w:spacing w:after="0"/>
              <w:rPr>
                <w:sz w:val="20"/>
                <w:szCs w:val="20"/>
                <w:color w:val="auto"/>
              </w:rPr>
            </w:pPr>
            <w:r>
              <w:rPr>
                <w:rFonts w:ascii="Arial" w:cs="Arial" w:eastAsia="Arial" w:hAnsi="Arial"/>
                <w:sz w:val="14"/>
                <w:szCs w:val="14"/>
                <w:color w:val="auto"/>
              </w:rPr>
              <w:t>14</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8"/>
        </w:trPr>
        <w:tc>
          <w:tcPr>
            <w:tcW w:w="338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ind w:left="620" w:hanging="617"/>
        <w:spacing w:after="0"/>
        <w:tabs>
          <w:tab w:leader="none" w:pos="62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Share-Based Compensation</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Share-based compensation is recorded in general and administrative expenses in the accompanying Condensed Consolidated Statements of Income. Total share-based compensation was comprised of the following at: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gridSpan w:val="5"/>
          </w:tcPr>
          <w:p>
            <w:pPr>
              <w:ind w:left="560"/>
              <w:spacing w:after="0"/>
              <w:rPr>
                <w:sz w:val="20"/>
                <w:szCs w:val="20"/>
                <w:color w:val="auto"/>
              </w:rPr>
            </w:pPr>
            <w:r>
              <w:rPr>
                <w:rFonts w:ascii="Arial" w:cs="Arial" w:eastAsia="Arial" w:hAnsi="Arial"/>
                <w:sz w:val="17"/>
                <w:szCs w:val="17"/>
                <w:color w:val="auto"/>
              </w:rPr>
              <w:t>Quarter Ended</w:t>
            </w:r>
          </w:p>
        </w:tc>
        <w:tc>
          <w:tcPr>
            <w:tcW w:w="160" w:type="dxa"/>
            <w:vAlign w:val="bottom"/>
          </w:tcPr>
          <w:p>
            <w:pPr>
              <w:spacing w:after="0"/>
              <w:rPr>
                <w:sz w:val="19"/>
                <w:szCs w:val="19"/>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7"/>
                <w:szCs w:val="17"/>
                <w:color w:val="auto"/>
              </w:rPr>
              <w:t>Nine Months Ended</w:t>
            </w: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27,</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29,</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100"/>
              <w:spacing w:after="0" w:line="194" w:lineRule="exact"/>
              <w:rPr>
                <w:sz w:val="20"/>
                <w:szCs w:val="20"/>
                <w:color w:val="auto"/>
              </w:rPr>
            </w:pPr>
            <w:r>
              <w:rPr>
                <w:rFonts w:ascii="Arial" w:cs="Arial" w:eastAsia="Arial" w:hAnsi="Arial"/>
                <w:sz w:val="17"/>
                <w:szCs w:val="17"/>
                <w:color w:val="auto"/>
              </w:rPr>
              <w:t>April 27,</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4"/>
              <w:spacing w:after="0" w:line="194" w:lineRule="exact"/>
              <w:rPr>
                <w:sz w:val="20"/>
                <w:szCs w:val="20"/>
                <w:color w:val="auto"/>
              </w:rPr>
            </w:pPr>
            <w:r>
              <w:rPr>
                <w:rFonts w:ascii="Arial" w:cs="Arial" w:eastAsia="Arial" w:hAnsi="Arial"/>
                <w:sz w:val="17"/>
                <w:szCs w:val="17"/>
                <w:color w:val="auto"/>
              </w:rPr>
              <w:t>April 29,</w:t>
            </w:r>
          </w:p>
        </w:tc>
        <w:tc>
          <w:tcPr>
            <w:tcW w:w="10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482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1,065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1,669</w:t>
            </w: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Nonvested stock</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2,774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1,626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6,839</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4,997</w:t>
            </w: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Performance-based stock units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669</w:t>
            </w:r>
          </w:p>
        </w:tc>
      </w:tr>
      <w:tr>
        <w:trPr>
          <w:trHeight w:val="26"/>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3,484</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2,416</w:t>
            </w:r>
          </w:p>
        </w:tc>
        <w:tc>
          <w:tcPr>
            <w:tcW w:w="24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9,430</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7,335</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ind w:left="620" w:hanging="617"/>
        <w:spacing w:after="0"/>
        <w:tabs>
          <w:tab w:leader="none" w:pos="62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Impairment and Store Dispositions, Net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780" w:type="dxa"/>
            <w:vAlign w:val="bottom"/>
            <w:gridSpan w:val="6"/>
          </w:tcPr>
          <w:p>
            <w:pPr>
              <w:jc w:val="right"/>
              <w:ind w:right="1020"/>
              <w:spacing w:after="0"/>
              <w:rPr>
                <w:sz w:val="20"/>
                <w:szCs w:val="20"/>
                <w:color w:val="auto"/>
              </w:rPr>
            </w:pPr>
            <w:r>
              <w:rPr>
                <w:rFonts w:ascii="Arial" w:cs="Arial" w:eastAsia="Arial" w:hAnsi="Arial"/>
                <w:sz w:val="17"/>
                <w:szCs w:val="17"/>
                <w:color w:val="auto"/>
              </w:rPr>
              <w:t>Quarter Ended</w:t>
            </w:r>
          </w:p>
        </w:tc>
        <w:tc>
          <w:tcPr>
            <w:tcW w:w="160" w:type="dxa"/>
            <w:vAlign w:val="bottom"/>
          </w:tcPr>
          <w:p>
            <w:pPr>
              <w:spacing w:after="0"/>
              <w:rPr>
                <w:sz w:val="19"/>
                <w:szCs w:val="19"/>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7"/>
                <w:szCs w:val="17"/>
                <w:color w:val="auto"/>
              </w:rPr>
              <w:t>Nine Months Ended</w:t>
            </w: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9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April 27,</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29,</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100"/>
              <w:spacing w:after="0" w:line="194" w:lineRule="exact"/>
              <w:rPr>
                <w:sz w:val="20"/>
                <w:szCs w:val="20"/>
                <w:color w:val="auto"/>
              </w:rPr>
            </w:pPr>
            <w:r>
              <w:rPr>
                <w:rFonts w:ascii="Arial" w:cs="Arial" w:eastAsia="Arial" w:hAnsi="Arial"/>
                <w:sz w:val="17"/>
                <w:szCs w:val="17"/>
                <w:color w:val="auto"/>
              </w:rPr>
              <w:t>April 27,</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4"/>
              <w:spacing w:after="0" w:line="194" w:lineRule="exact"/>
              <w:rPr>
                <w:sz w:val="20"/>
                <w:szCs w:val="20"/>
                <w:color w:val="auto"/>
              </w:rPr>
            </w:pPr>
            <w:r>
              <w:rPr>
                <w:rFonts w:ascii="Arial" w:cs="Arial" w:eastAsia="Arial" w:hAnsi="Arial"/>
                <w:sz w:val="17"/>
                <w:szCs w:val="17"/>
                <w:color w:val="auto"/>
              </w:rPr>
              <w:t>April 29,</w:t>
            </w:r>
          </w:p>
        </w:tc>
        <w:tc>
          <w:tcPr>
            <w:tcW w:w="10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2012</w:t>
            </w: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Impairment</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2,175</w:t>
            </w: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Gains on disposition of stores</w:t>
            </w:r>
          </w:p>
        </w:tc>
        <w:tc>
          <w:tcPr>
            <w:tcW w:w="9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(4,133)</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(4,133)</w:t>
            </w: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Store closing costs</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w:t>
            </w:r>
          </w:p>
        </w:tc>
      </w:tr>
      <w:tr>
        <w:trPr>
          <w:trHeight w:val="26"/>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Total</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(1,958)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(1,874)</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During the quarter and nine-month periods ended April 27, 2012, the Company did not incur any impairment charges, store closing costs or gains on disposition of stores.</w:t>
      </w:r>
    </w:p>
    <w:p>
      <w:pPr>
        <w:spacing w:after="0" w:line="189"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During the quarter ended April 29, 2011, the Company determined that a leased store was impaired, resulting in an impairment charge of $2,175. This leased store was impaired because of declining operating performance and resulting negative cash flow projections. During the quarter ended April 29, 2011, the Company’s gain on disposition of stores included gains resulting from the sale of two closed stores and a condemnation award.</w:t>
      </w:r>
    </w:p>
    <w:p>
      <w:pPr>
        <w:spacing w:after="0" w:line="177" w:lineRule="exact"/>
        <w:rPr>
          <w:sz w:val="20"/>
          <w:szCs w:val="20"/>
          <w:color w:val="auto"/>
        </w:rPr>
      </w:pPr>
    </w:p>
    <w:p>
      <w:pPr>
        <w:ind w:left="620" w:hanging="617"/>
        <w:spacing w:after="0"/>
        <w:tabs>
          <w:tab w:leader="none" w:pos="62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Restructuring</w:t>
      </w:r>
    </w:p>
    <w:p>
      <w:pPr>
        <w:spacing w:after="0" w:line="24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In April 2012, the Company restructured and streamlined its field organization to better align its restaurant and retail operations under central leadership. The restructuring of the field organization and related changes in the Company’s headquarters resulted in the elimination of approximately 20 positions. As a result, the Company incurred severance charges of $1,660, which are recorded in general and administrative expenses. In July 2011, as part of its cost reduction and organization streamlining initiative, the Company incurred severance charges related to the elimination of approximately 60 management and staff positions. The related severance accruals for these restructurings are recorded in other current liabilities in the accompanying Condensed Consolidated Balance Sheets.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Liability at July 29, 2011</w:t>
            </w:r>
          </w:p>
        </w:tc>
        <w:tc>
          <w:tcPr>
            <w:tcW w:w="5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w:t>
            </w:r>
          </w:p>
        </w:tc>
        <w:tc>
          <w:tcPr>
            <w:tcW w:w="10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Severance</w:t>
            </w:r>
          </w:p>
        </w:tc>
        <w:tc>
          <w:tcPr>
            <w:tcW w:w="4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1,660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Payments</w:t>
            </w:r>
          </w:p>
        </w:tc>
        <w:tc>
          <w:tcPr>
            <w:tcW w:w="4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(1,261)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Adjustments</w:t>
            </w:r>
          </w:p>
        </w:tc>
        <w:tc>
          <w:tcPr>
            <w:tcW w:w="4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(190)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6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1160" w:type="dxa"/>
            <w:vAlign w:val="bottom"/>
            <w:vMerge w:val="continue"/>
          </w:tcPr>
          <w:p>
            <w:pPr>
              <w:spacing w:after="0"/>
              <w:rPr>
                <w:sz w:val="21"/>
                <w:szCs w:val="21"/>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Liability at April 27, 2012</w:t>
            </w:r>
          </w:p>
        </w:tc>
        <w:tc>
          <w:tcPr>
            <w:tcW w:w="5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2"/>
        </w:trPr>
        <w:tc>
          <w:tcPr>
            <w:tcW w:w="1160" w:type="dxa"/>
            <w:vAlign w:val="bottom"/>
          </w:tcPr>
          <w:p>
            <w:pPr>
              <w:spacing w:after="0"/>
              <w:rPr>
                <w:sz w:val="24"/>
                <w:szCs w:val="24"/>
                <w:color w:val="auto"/>
              </w:rPr>
            </w:pPr>
          </w:p>
        </w:tc>
        <w:tc>
          <w:tcPr>
            <w:tcW w:w="3140" w:type="dxa"/>
            <w:vAlign w:val="bottom"/>
            <w:tcBorders>
              <w:top w:val="single" w:sz="8" w:color="CCEEFF"/>
            </w:tcBorders>
          </w:tcPr>
          <w:p>
            <w:pPr>
              <w:spacing w:after="0"/>
              <w:rPr>
                <w:sz w:val="24"/>
                <w:szCs w:val="24"/>
                <w:color w:val="auto"/>
              </w:rPr>
            </w:pPr>
          </w:p>
        </w:tc>
        <w:tc>
          <w:tcPr>
            <w:tcW w:w="4720" w:type="dxa"/>
            <w:vAlign w:val="bottom"/>
            <w:tcBorders>
              <w:top w:val="single" w:sz="8" w:color="CCEEFF"/>
            </w:tcBorders>
          </w:tcPr>
          <w:p>
            <w:pPr>
              <w:jc w:val="right"/>
              <w:ind w:right="3160"/>
              <w:spacing w:after="0"/>
              <w:rPr>
                <w:sz w:val="20"/>
                <w:szCs w:val="20"/>
                <w:color w:val="auto"/>
              </w:rPr>
            </w:pPr>
            <w:r>
              <w:rPr>
                <w:rFonts w:ascii="Arial" w:cs="Arial" w:eastAsia="Arial" w:hAnsi="Arial"/>
                <w:sz w:val="14"/>
                <w:szCs w:val="14"/>
                <w:color w:val="auto"/>
              </w:rPr>
              <w:t>15</w:t>
            </w:r>
          </w:p>
        </w:tc>
        <w:tc>
          <w:tcPr>
            <w:tcW w:w="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160" w:type="dxa"/>
            <w:vAlign w:val="bottom"/>
            <w:tcBorders>
              <w:bottom w:val="single" w:sz="8" w:color="808080"/>
            </w:tcBorders>
          </w:tcPr>
          <w:p>
            <w:pPr>
              <w:spacing w:after="0"/>
              <w:rPr>
                <w:sz w:val="8"/>
                <w:szCs w:val="8"/>
                <w:color w:val="auto"/>
              </w:rPr>
            </w:pPr>
          </w:p>
        </w:tc>
        <w:tc>
          <w:tcPr>
            <w:tcW w:w="3140" w:type="dxa"/>
            <w:vAlign w:val="bottom"/>
            <w:tcBorders>
              <w:bottom w:val="single" w:sz="8" w:color="808080"/>
            </w:tcBorders>
          </w:tcPr>
          <w:p>
            <w:pPr>
              <w:spacing w:after="0"/>
              <w:rPr>
                <w:sz w:val="8"/>
                <w:szCs w:val="8"/>
                <w:color w:val="auto"/>
              </w:rPr>
            </w:pPr>
          </w:p>
        </w:tc>
        <w:tc>
          <w:tcPr>
            <w:tcW w:w="47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ind w:left="620" w:hanging="617"/>
        <w:spacing w:after="0"/>
        <w:tabs>
          <w:tab w:leader="none" w:pos="62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Net Income Per Share and Weighted Average Shares</w:t>
      </w:r>
    </w:p>
    <w:p>
      <w:pPr>
        <w:spacing w:after="0" w:line="249" w:lineRule="exact"/>
        <w:rPr>
          <w:sz w:val="20"/>
          <w:szCs w:val="20"/>
          <w:color w:val="auto"/>
        </w:rPr>
      </w:pPr>
    </w:p>
    <w:p>
      <w:pPr>
        <w:jc w:val="both"/>
        <w:ind w:firstLine="620"/>
        <w:spacing w:after="0" w:line="299" w:lineRule="auto"/>
        <w:rPr>
          <w:sz w:val="20"/>
          <w:szCs w:val="20"/>
          <w:color w:val="auto"/>
        </w:rPr>
      </w:pPr>
      <w:r>
        <w:rPr>
          <w:rFonts w:ascii="Arial" w:cs="Arial" w:eastAsia="Arial" w:hAnsi="Arial"/>
          <w:sz w:val="15"/>
          <w:szCs w:val="15"/>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and nonvested stock and stock awards issued by the Company are calculated using the treasury stock method. The Company’s outstanding stock options and nonvested stock and stock awards issued by the Company represent the only dilutive effects on diluted consolidated net income per share.</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reconciles the components of diluted earnings per share computations: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gridSpan w:val="6"/>
          </w:tcPr>
          <w:p>
            <w:pPr>
              <w:ind w:left="560"/>
              <w:spacing w:after="0"/>
              <w:rPr>
                <w:sz w:val="20"/>
                <w:szCs w:val="20"/>
                <w:color w:val="auto"/>
              </w:rPr>
            </w:pPr>
            <w:r>
              <w:rPr>
                <w:rFonts w:ascii="Arial" w:cs="Arial" w:eastAsia="Arial" w:hAnsi="Arial"/>
                <w:sz w:val="17"/>
                <w:szCs w:val="17"/>
                <w:color w:val="auto"/>
              </w:rPr>
              <w:t>Quarter Ended</w:t>
            </w:r>
          </w:p>
        </w:tc>
        <w:tc>
          <w:tcPr>
            <w:tcW w:w="160" w:type="dxa"/>
            <w:vAlign w:val="bottom"/>
          </w:tcPr>
          <w:p>
            <w:pPr>
              <w:spacing w:after="0"/>
              <w:rPr>
                <w:sz w:val="19"/>
                <w:szCs w:val="19"/>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00"/>
              <w:spacing w:after="0" w:line="194" w:lineRule="exact"/>
              <w:rPr>
                <w:sz w:val="20"/>
                <w:szCs w:val="20"/>
                <w:color w:val="auto"/>
              </w:rPr>
            </w:pPr>
            <w:r>
              <w:rPr>
                <w:rFonts w:ascii="Arial" w:cs="Arial" w:eastAsia="Arial" w:hAnsi="Arial"/>
                <w:sz w:val="17"/>
                <w:szCs w:val="17"/>
                <w:color w:val="auto"/>
              </w:rPr>
              <w:t>April 27,</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29,</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100"/>
              <w:spacing w:after="0" w:line="194" w:lineRule="exact"/>
              <w:rPr>
                <w:sz w:val="20"/>
                <w:szCs w:val="20"/>
                <w:color w:val="auto"/>
              </w:rPr>
            </w:pPr>
            <w:r>
              <w:rPr>
                <w:rFonts w:ascii="Arial" w:cs="Arial" w:eastAsia="Arial" w:hAnsi="Arial"/>
                <w:sz w:val="17"/>
                <w:szCs w:val="17"/>
                <w:color w:val="auto"/>
              </w:rPr>
              <w:t>April 27,</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54"/>
              <w:spacing w:after="0" w:line="194" w:lineRule="exact"/>
              <w:rPr>
                <w:sz w:val="20"/>
                <w:szCs w:val="20"/>
                <w:color w:val="auto"/>
              </w:rPr>
            </w:pPr>
            <w:r>
              <w:rPr>
                <w:rFonts w:ascii="Arial" w:cs="Arial" w:eastAsia="Arial" w:hAnsi="Arial"/>
                <w:sz w:val="17"/>
                <w:szCs w:val="17"/>
                <w:color w:val="auto"/>
              </w:rPr>
              <w:t>April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 per share numerator</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18,974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15,154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68,385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67,665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 per share denominator:</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Weighted average shares</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23,132,730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23,048,279</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22,990,544</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23,039,388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 potential dilution:</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300"/>
              <w:spacing w:after="0"/>
              <w:rPr>
                <w:sz w:val="20"/>
                <w:szCs w:val="20"/>
                <w:color w:val="auto"/>
              </w:rPr>
            </w:pPr>
            <w:r>
              <w:rPr>
                <w:rFonts w:ascii="Arial" w:cs="Arial" w:eastAsia="Arial" w:hAnsi="Arial"/>
                <w:sz w:val="17"/>
                <w:szCs w:val="17"/>
                <w:color w:val="auto"/>
              </w:rPr>
              <w:t>Stock options and nonvested stock and stock awards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403,035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554,054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338,686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665,767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Diluted weighted average shares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23,535,765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23,602,333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23,329,230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23,705,155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620" w:hanging="617"/>
        <w:spacing w:after="0"/>
        <w:tabs>
          <w:tab w:leader="none" w:pos="62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Commitments and Contingencies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2"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Related to its workers’ compensation insurance coverage, the Company is contingently liable pursuant to standby letters of credit as credit guarantees to certain insurers. As of April 27, 2012, the Company had $28,606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18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 the first quarter of 2012, the Company received proceeds of $3,000 from a lawsuit settlement and recorded the proceeds as a gain that is included in other store operating expenses in the accompanying Condensed Consolidated Statement of Income. Because the Company believed this settlement represented a gain contingency, the Company did not record such gain contingency until the settlement amount and timing were assured.</w:t>
      </w:r>
    </w:p>
    <w:p>
      <w:pPr>
        <w:spacing w:after="0" w:line="202" w:lineRule="exact"/>
        <w:rPr>
          <w:sz w:val="20"/>
          <w:szCs w:val="20"/>
          <w:color w:val="auto"/>
        </w:rPr>
      </w:pPr>
    </w:p>
    <w:p>
      <w:pPr>
        <w:jc w:val="both"/>
        <w:ind w:firstLine="310"/>
        <w:spacing w:after="0" w:line="308" w:lineRule="auto"/>
        <w:rPr>
          <w:sz w:val="20"/>
          <w:szCs w:val="20"/>
          <w:color w:val="auto"/>
        </w:rPr>
      </w:pPr>
      <w:r>
        <w:rPr>
          <w:rFonts w:ascii="Arial" w:cs="Arial" w:eastAsia="Arial" w:hAnsi="Arial"/>
          <w:sz w:val="15"/>
          <w:szCs w:val="15"/>
          <w:color w:val="auto"/>
        </w:rPr>
        <w:t>The Company is secondarily liable for lease payments under the terms of an operating lease that has been assigned to a third party. At April 27, 2012, the lease has a remaining life of approximately 1.4 years with annual lease payments of approximately $361 for a total guarantee of $511. The Company’s performance is required only if the assignee fails to perform its obligations as lessee. At this time, the Company has no reason to believe that the assignee will not perform and, therefore, no provision has been made in the Condensed Consolidated Balance Sheets for amounts to be paid in case of non-performance by the assignee.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Upon the sale of Logan’s Roadhouse, Inc. (“Logan’s”) in 2007, the Company reaffirmed its guarantee of the lease payments for two Logan’s restaurants. The lease term has expired for one of these operating leases. At April 27, 2012, the remaining operating lease had a remaining life of 7.9 years with an annual payment of approximately $108, for a total guarantee of $901. The Company’s performance is required only if Logan’s fails to perform its obligations as lessee. At this time, the Company has no reason to believe Logan’s will not perform, and therefore, no provision has been made in the Condensed Consolidated Balance Sheets for amounts to be paid as a result of non-performance by Logan’s.</w:t>
      </w:r>
    </w:p>
    <w:p>
      <w:pPr>
        <w:spacing w:after="0" w:line="206"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so that no liability has been recorded. In connection with the divestiture of Logan’s, the Company entered into various agreements to indemnify third parties against certain tax obligations, for any breaches of certain representations and warranties in the applicable transaction documents and for certain costs and expenses that may arise out of specified real estate matters, including potential relocation and legal costs. The Company believes that the probability of being required to make any indemnification payments to such third parties in connection with the divestiture of Logan’s is remote, and therefore, no provision has been recorded in the Condensed Consolidated Balance Sheets for potential tax indemnifications.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49" w:lineRule="exact"/>
        <w:rPr>
          <w:sz w:val="20"/>
          <w:szCs w:val="20"/>
          <w:color w:val="auto"/>
        </w:rPr>
      </w:pPr>
    </w:p>
    <w:p>
      <w:pPr>
        <w:jc w:val="both"/>
        <w:ind w:firstLine="310"/>
        <w:spacing w:after="0" w:line="260" w:lineRule="auto"/>
        <w:rPr>
          <w:sz w:val="20"/>
          <w:szCs w:val="20"/>
          <w:color w:val="auto"/>
        </w:rPr>
      </w:pPr>
      <w:r>
        <w:rPr>
          <w:rFonts w:ascii="Arial" w:cs="Arial" w:eastAsia="Arial" w:hAnsi="Arial"/>
          <w:sz w:val="17"/>
          <w:szCs w:val="17"/>
          <w:color w:val="auto"/>
        </w:rPr>
        <w:t>Cracker Barrel Old Country Store, Inc. and its subsidiaries (collectively, the “Company,” “our” or “we”) are principally engaged in the operation and development in the United States of the Cracker Barrel Old Country StoreÒ (“Cracker Barrel”) concept. At April 27, 2012, we operated 613 Cracker Barrel stores in 42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06" w:lineRule="exact"/>
        <w:rPr>
          <w:sz w:val="20"/>
          <w:szCs w:val="20"/>
          <w:color w:val="auto"/>
        </w:rPr>
      </w:pPr>
    </w:p>
    <w:p>
      <w:pPr>
        <w:jc w:val="both"/>
        <w:ind w:firstLine="620"/>
        <w:spacing w:after="0" w:line="290" w:lineRule="auto"/>
        <w:rPr>
          <w:sz w:val="20"/>
          <w:szCs w:val="20"/>
          <w:color w:val="auto"/>
        </w:rPr>
      </w:pPr>
      <w:r>
        <w:rPr>
          <w:rFonts w:ascii="Arial" w:cs="Arial" w:eastAsia="Arial" w:hAnsi="Arial"/>
          <w:sz w:val="15"/>
          <w:szCs w:val="15"/>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financial statements and the notes thereto included in the Company’s Annual Report on Form 10-K for the fiscal year ended July 29, 2011 (the “2011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those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2011 Form 10-K, which is incorporated herein by this reference, as well as the factors described under “Critical Accounting Estimates” on pages 29-34 of this report or, from time to time, in our filings with the Securities and Exchange Commission (“SEC”), press releases and other communications.</w:t>
      </w:r>
    </w:p>
    <w:p>
      <w:pPr>
        <w:spacing w:after="0" w:line="198"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because the statements speak only as of the report’s date. Except as may be required by law, we have no obligation, and do not intend, to publicly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Management believes that the Cracker Barrel brand remains one of the strongest and most differentiated brands in the restaurant industry and we plan to leverage that strength to grow guest traffic, sales and profits. Our strategic plan includes the following three key components:</w:t>
      </w:r>
    </w:p>
    <w:p>
      <w:pPr>
        <w:spacing w:after="0" w:line="189" w:lineRule="exact"/>
        <w:rPr>
          <w:sz w:val="20"/>
          <w:szCs w:val="20"/>
          <w:color w:val="auto"/>
        </w:rPr>
      </w:pPr>
    </w:p>
    <w:p>
      <w:pPr>
        <w:ind w:left="620" w:hanging="307"/>
        <w:spacing w:after="0" w:line="280"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Enhancing the core by focusing on our six priorities for 2012 as described below, increasing average unit volume in existing stores and enhancing the competitive advantage of our unique and differentiated brand through innovation and productivity.</w:t>
      </w:r>
    </w:p>
    <w:p>
      <w:pPr>
        <w:spacing w:after="0" w:line="189"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Expanding the footprint through a continued commitment to profitable new unit growth with a focus on best locations and flawless execution.</w:t>
      </w:r>
    </w:p>
    <w:p>
      <w:pPr>
        <w:spacing w:after="0" w:line="243" w:lineRule="exact"/>
        <w:rPr>
          <w:rFonts w:ascii="Arial" w:cs="Arial" w:eastAsia="Arial" w:hAnsi="Arial"/>
          <w:sz w:val="17"/>
          <w:szCs w:val="17"/>
          <w:color w:val="auto"/>
        </w:rPr>
      </w:pPr>
    </w:p>
    <w:p>
      <w:pPr>
        <w:ind w:left="620" w:right="3300" w:hanging="307"/>
        <w:spacing w:after="0" w:line="538"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Extending the brand beyond our physical stores to create long term value through e-commerce and licensing. Our six priorities for 2012 are:</w:t>
      </w:r>
    </w:p>
    <w:p>
      <w:pPr>
        <w:spacing w:after="0" w:line="1" w:lineRule="exact"/>
        <w:rPr>
          <w:rFonts w:ascii="Arial" w:cs="Arial" w:eastAsia="Arial" w:hAnsi="Arial"/>
          <w:sz w:val="17"/>
          <w:szCs w:val="17"/>
          <w:color w:val="auto"/>
        </w:rPr>
      </w:pPr>
    </w:p>
    <w:p>
      <w:pPr>
        <w:ind w:left="620" w:hanging="307"/>
        <w:spacing w:after="0" w:line="280"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New marketing messaging to better connect with our current and potential guests and reinforce the authentic value of the Cracker Barrel experience that has created such a powerful attraction to our brand.</w:t>
      </w:r>
    </w:p>
    <w:p>
      <w:pPr>
        <w:spacing w:after="0" w:line="189" w:lineRule="exact"/>
        <w:rPr>
          <w:rFonts w:ascii="Arial" w:cs="Arial" w:eastAsia="Arial" w:hAnsi="Arial"/>
          <w:sz w:val="17"/>
          <w:szCs w:val="17"/>
          <w:color w:val="auto"/>
        </w:rPr>
      </w:pPr>
    </w:p>
    <w:p>
      <w:pPr>
        <w:ind w:left="620" w:hanging="307"/>
        <w:spacing w:after="0" w:line="280"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Implementing refined menu and pricing strategies to increase the variety and everyday affordability of our menu in the face of ongoing challenges to our guests’ household budgets.</w:t>
      </w:r>
    </w:p>
    <w:p>
      <w:pPr>
        <w:spacing w:after="0" w:line="189"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Enhancing our restaurant operating platform to generate sustained improvements in the guest experience.</w:t>
      </w:r>
    </w:p>
    <w:p>
      <w:pPr>
        <w:spacing w:after="0" w:line="243" w:lineRule="exact"/>
        <w:rPr>
          <w:rFonts w:ascii="Arial" w:cs="Arial" w:eastAsia="Arial" w:hAnsi="Arial"/>
          <w:sz w:val="17"/>
          <w:szCs w:val="17"/>
          <w:color w:val="auto"/>
        </w:rPr>
      </w:pPr>
    </w:p>
    <w:p>
      <w:pPr>
        <w:ind w:left="620" w:hanging="307"/>
        <w:spacing w:after="0" w:line="280"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Driving retail sales growth by continuing to review and modify as needed our retail assortment to deliver value and further enhance the role of the retail store in our guests overall experience.</w:t>
      </w:r>
    </w:p>
    <w:p>
      <w:pPr>
        <w:spacing w:after="0" w:line="189"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Implementing initiatives to reduce costs to offset at least a portion of the impact of higher food commodity costs.</w:t>
      </w:r>
    </w:p>
    <w:p>
      <w:pPr>
        <w:spacing w:after="0" w:line="243" w:lineRule="exact"/>
        <w:rPr>
          <w:rFonts w:ascii="Arial" w:cs="Arial" w:eastAsia="Arial" w:hAnsi="Arial"/>
          <w:sz w:val="17"/>
          <w:szCs w:val="17"/>
          <w:color w:val="auto"/>
        </w:rPr>
      </w:pPr>
    </w:p>
    <w:p>
      <w:pPr>
        <w:ind w:left="620" w:right="1480" w:hanging="307"/>
        <w:spacing w:after="0" w:line="538"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Leveraging our strong cash flow generation to both reinvest in the business as well as increase our return of capital to our shareholders. During the quarter, we continued our progress on these six priorities.</w:t>
      </w:r>
    </w:p>
    <w:p>
      <w:pPr>
        <w:spacing w:after="0" w:line="1" w:lineRule="exact"/>
        <w:rPr>
          <w:rFonts w:ascii="Arial" w:cs="Arial" w:eastAsia="Arial" w:hAnsi="Arial"/>
          <w:sz w:val="17"/>
          <w:szCs w:val="17"/>
          <w:color w:val="auto"/>
        </w:rPr>
      </w:pPr>
    </w:p>
    <w:p>
      <w:pPr>
        <w:ind w:left="620" w:hanging="307"/>
        <w:spacing w:after="0" w:line="280"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continued our gains in comparable store traffic and restaurant and retail sales with both comparable store traffic and sales out-performing the Knapp-Track™ Index for the quarter. Additionally, for the second consecutive quarter, we achieved positive comparable restaurant traffic.</w:t>
      </w:r>
    </w:p>
    <w:p>
      <w:pPr>
        <w:spacing w:after="0" w:line="189" w:lineRule="exact"/>
        <w:rPr>
          <w:rFonts w:ascii="Arial" w:cs="Arial" w:eastAsia="Arial" w:hAnsi="Arial"/>
          <w:sz w:val="17"/>
          <w:szCs w:val="17"/>
          <w:color w:val="auto"/>
        </w:rPr>
      </w:pPr>
    </w:p>
    <w:p>
      <w:pPr>
        <w:ind w:left="620" w:hanging="307"/>
        <w:spacing w:after="0" w:line="280"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restructured and streamlined our field organization to better align our restaurant and retail operations under central leadership. We estimate that this restructuring will generate annual savings of approximately $5,000.</w:t>
      </w:r>
    </w:p>
    <w:p>
      <w:pPr>
        <w:spacing w:after="0" w:line="189" w:lineRule="exact"/>
        <w:rPr>
          <w:rFonts w:ascii="Arial" w:cs="Arial" w:eastAsia="Arial" w:hAnsi="Arial"/>
          <w:sz w:val="17"/>
          <w:szCs w:val="17"/>
          <w:color w:val="auto"/>
        </w:rPr>
      </w:pPr>
    </w:p>
    <w:p>
      <w:pPr>
        <w:ind w:left="620" w:hanging="307"/>
        <w:spacing w:after="0" w:line="312" w:lineRule="auto"/>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continue to generate strong cash flow. As a result, we were able to deliver on our commitment to enhance shareholder value by declaring a quarterly dividend of $0.40 per share, which represents a sixty percent increase in our quarterly dividend, and also by repurchasing shares during the quarter.</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following table highlights operating results by percentage relationships to total revenue for the quarter and nine-month period ended April 27, 2012 as compared to the same periods in the prior year:</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720" w:type="dxa"/>
            <w:vAlign w:val="bottom"/>
            <w:gridSpan w:val="4"/>
          </w:tcPr>
          <w:p>
            <w:pPr>
              <w:jc w:val="right"/>
              <w:ind w:right="940"/>
              <w:spacing w:after="0"/>
              <w:rPr>
                <w:sz w:val="20"/>
                <w:szCs w:val="20"/>
                <w:color w:val="auto"/>
              </w:rPr>
            </w:pPr>
            <w:r>
              <w:rPr>
                <w:rFonts w:ascii="Arial" w:cs="Arial" w:eastAsia="Arial" w:hAnsi="Arial"/>
                <w:sz w:val="17"/>
                <w:szCs w:val="17"/>
                <w:color w:val="auto"/>
              </w:rPr>
              <w:t>Quarter Ended</w:t>
            </w:r>
          </w:p>
        </w:tc>
        <w:tc>
          <w:tcPr>
            <w:tcW w:w="2720" w:type="dxa"/>
            <w:vAlign w:val="bottom"/>
            <w:gridSpan w:val="4"/>
          </w:tcPr>
          <w:p>
            <w:pPr>
              <w:jc w:val="right"/>
              <w:ind w:right="70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440"/>
              <w:spacing w:after="0" w:line="194" w:lineRule="exact"/>
              <w:rPr>
                <w:sz w:val="20"/>
                <w:szCs w:val="20"/>
                <w:color w:val="auto"/>
              </w:rPr>
            </w:pPr>
            <w:r>
              <w:rPr>
                <w:rFonts w:ascii="Arial" w:cs="Arial" w:eastAsia="Arial" w:hAnsi="Arial"/>
                <w:sz w:val="17"/>
                <w:szCs w:val="17"/>
                <w:color w:val="auto"/>
              </w:rPr>
              <w:t>April 27,</w:t>
            </w:r>
          </w:p>
        </w:tc>
        <w:tc>
          <w:tcPr>
            <w:tcW w:w="1120" w:type="dxa"/>
            <w:vAlign w:val="bottom"/>
            <w:tcBorders>
              <w:top w:val="single" w:sz="8" w:color="auto"/>
            </w:tcBorders>
          </w:tcPr>
          <w:p>
            <w:pPr>
              <w:jc w:val="right"/>
              <w:ind w:right="114"/>
              <w:spacing w:after="0" w:line="194" w:lineRule="exact"/>
              <w:rPr>
                <w:sz w:val="20"/>
                <w:szCs w:val="20"/>
                <w:color w:val="auto"/>
              </w:rPr>
            </w:pPr>
            <w:r>
              <w:rPr>
                <w:rFonts w:ascii="Arial" w:cs="Arial" w:eastAsia="Arial" w:hAnsi="Arial"/>
                <w:sz w:val="17"/>
                <w:szCs w:val="17"/>
                <w:color w:val="auto"/>
              </w:rPr>
              <w:t>April 29,</w:t>
            </w:r>
          </w:p>
        </w:tc>
        <w:tc>
          <w:tcPr>
            <w:tcW w:w="260" w:type="dxa"/>
            <w:vAlign w:val="bottom"/>
          </w:tcPr>
          <w:p>
            <w:pPr>
              <w:spacing w:after="0"/>
              <w:rPr>
                <w:sz w:val="16"/>
                <w:szCs w:val="16"/>
                <w:color w:val="auto"/>
              </w:rPr>
            </w:pPr>
          </w:p>
        </w:tc>
        <w:tc>
          <w:tcPr>
            <w:tcW w:w="1420" w:type="dxa"/>
            <w:vAlign w:val="bottom"/>
            <w:tcBorders>
              <w:top w:val="single" w:sz="8" w:color="auto"/>
            </w:tcBorders>
            <w:gridSpan w:val="2"/>
          </w:tcPr>
          <w:p>
            <w:pPr>
              <w:jc w:val="right"/>
              <w:ind w:right="500"/>
              <w:spacing w:after="0" w:line="194" w:lineRule="exact"/>
              <w:rPr>
                <w:sz w:val="20"/>
                <w:szCs w:val="20"/>
                <w:color w:val="auto"/>
              </w:rPr>
            </w:pPr>
            <w:r>
              <w:rPr>
                <w:rFonts w:ascii="Arial" w:cs="Arial" w:eastAsia="Arial" w:hAnsi="Arial"/>
                <w:sz w:val="17"/>
                <w:szCs w:val="17"/>
                <w:color w:val="auto"/>
              </w:rPr>
              <w:t>April 27,</w:t>
            </w:r>
          </w:p>
        </w:tc>
        <w:tc>
          <w:tcPr>
            <w:tcW w:w="1120" w:type="dxa"/>
            <w:vAlign w:val="bottom"/>
            <w:tcBorders>
              <w:top w:val="single" w:sz="8" w:color="auto"/>
            </w:tcBorders>
          </w:tcPr>
          <w:p>
            <w:pPr>
              <w:jc w:val="right"/>
              <w:ind w:right="114"/>
              <w:spacing w:after="0" w:line="194" w:lineRule="exact"/>
              <w:rPr>
                <w:sz w:val="20"/>
                <w:szCs w:val="20"/>
                <w:color w:val="auto"/>
              </w:rPr>
            </w:pPr>
            <w:r>
              <w:rPr>
                <w:rFonts w:ascii="Arial" w:cs="Arial" w:eastAsia="Arial" w:hAnsi="Arial"/>
                <w:sz w:val="17"/>
                <w:szCs w:val="17"/>
                <w:color w:val="auto"/>
              </w:rPr>
              <w:t>April 29,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2012</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2011</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2012</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Gross profit</w:t>
            </w:r>
          </w:p>
        </w:tc>
        <w:tc>
          <w:tcPr>
            <w:tcW w:w="1100" w:type="dxa"/>
            <w:vAlign w:val="bottom"/>
          </w:tcPr>
          <w:p>
            <w:pPr>
              <w:jc w:val="right"/>
              <w:spacing w:after="0"/>
              <w:rPr>
                <w:sz w:val="20"/>
                <w:szCs w:val="20"/>
                <w:color w:val="auto"/>
              </w:rPr>
            </w:pPr>
            <w:r>
              <w:rPr>
                <w:rFonts w:ascii="Arial" w:cs="Arial" w:eastAsia="Arial" w:hAnsi="Arial"/>
                <w:sz w:val="17"/>
                <w:szCs w:val="17"/>
                <w:color w:val="auto"/>
              </w:rPr>
              <w:t>68.8</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69.1</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67.5</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68.2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Labor and other related expenses</w:t>
            </w:r>
          </w:p>
        </w:tc>
        <w:tc>
          <w:tcPr>
            <w:tcW w:w="1100" w:type="dxa"/>
            <w:vAlign w:val="bottom"/>
          </w:tcPr>
          <w:p>
            <w:pPr>
              <w:jc w:val="right"/>
              <w:spacing w:after="0"/>
              <w:rPr>
                <w:sz w:val="20"/>
                <w:szCs w:val="20"/>
                <w:color w:val="auto"/>
              </w:rPr>
            </w:pPr>
            <w:r>
              <w:rPr>
                <w:rFonts w:ascii="Arial" w:cs="Arial" w:eastAsia="Arial" w:hAnsi="Arial"/>
                <w:sz w:val="17"/>
                <w:szCs w:val="17"/>
                <w:color w:val="auto"/>
              </w:rPr>
              <w:t>38.6</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39.0</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36.8</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store operating expenses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Store operating income</w:t>
            </w:r>
          </w:p>
        </w:tc>
        <w:tc>
          <w:tcPr>
            <w:tcW w:w="1100" w:type="dxa"/>
            <w:vAlign w:val="bottom"/>
          </w:tcPr>
          <w:p>
            <w:pPr>
              <w:jc w:val="right"/>
              <w:spacing w:after="0"/>
              <w:rPr>
                <w:sz w:val="20"/>
                <w:szCs w:val="20"/>
                <w:color w:val="auto"/>
              </w:rPr>
            </w:pPr>
            <w:r>
              <w:rPr>
                <w:rFonts w:ascii="Arial" w:cs="Arial" w:eastAsia="Arial" w:hAnsi="Arial"/>
                <w:sz w:val="17"/>
                <w:szCs w:val="17"/>
                <w:color w:val="auto"/>
              </w:rPr>
              <w:t>12.1</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10.8</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12.7</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1100" w:type="dxa"/>
            <w:vAlign w:val="bottom"/>
          </w:tcPr>
          <w:p>
            <w:pPr>
              <w:jc w:val="right"/>
              <w:spacing w:after="0"/>
              <w:rPr>
                <w:sz w:val="20"/>
                <w:szCs w:val="20"/>
                <w:color w:val="auto"/>
              </w:rPr>
            </w:pPr>
            <w:r>
              <w:rPr>
                <w:rFonts w:ascii="Arial" w:cs="Arial" w:eastAsia="Arial" w:hAnsi="Arial"/>
                <w:sz w:val="17"/>
                <w:szCs w:val="17"/>
                <w:color w:val="auto"/>
              </w:rPr>
              <w:t>5.7</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5.8</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5.7</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Impairment and store dispositions, net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(0.4)</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Operating income</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26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2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Interest expense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following tables highlight the components of total revenue in dollars and by percentage relationships to total revenue for the quarter and nine-month period ended April 27, 2012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gridSpan w:val="7"/>
          </w:tcPr>
          <w:p>
            <w:pPr>
              <w:ind w:left="620"/>
              <w:spacing w:after="0"/>
              <w:rPr>
                <w:sz w:val="20"/>
                <w:szCs w:val="20"/>
                <w:color w:val="auto"/>
              </w:rPr>
            </w:pPr>
            <w:r>
              <w:rPr>
                <w:rFonts w:ascii="Arial" w:cs="Arial" w:eastAsia="Arial" w:hAnsi="Arial"/>
                <w:sz w:val="17"/>
                <w:szCs w:val="17"/>
                <w:color w:val="auto"/>
              </w:rPr>
              <w:t>Quarter Ended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17"/>
                <w:szCs w:val="17"/>
                <w:color w:val="auto"/>
              </w:rPr>
              <w:t>Nine Months Ended</w:t>
            </w:r>
          </w:p>
        </w:tc>
        <w:tc>
          <w:tcPr>
            <w:tcW w:w="560" w:type="dxa"/>
            <w:vAlign w:val="bottom"/>
          </w:tcPr>
          <w:p>
            <w:pPr>
              <w:spacing w:after="0"/>
              <w:rPr>
                <w:sz w:val="19"/>
                <w:szCs w:val="19"/>
                <w:color w:val="auto"/>
              </w:rPr>
            </w:pPr>
          </w:p>
        </w:tc>
      </w:tr>
      <w:tr>
        <w:trPr>
          <w:trHeight w:val="194"/>
        </w:trPr>
        <w:tc>
          <w:tcPr>
            <w:tcW w:w="5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60"/>
              <w:spacing w:after="0" w:line="194" w:lineRule="exact"/>
              <w:rPr>
                <w:sz w:val="20"/>
                <w:szCs w:val="20"/>
                <w:color w:val="auto"/>
              </w:rPr>
            </w:pPr>
            <w:r>
              <w:rPr>
                <w:rFonts w:ascii="Arial" w:cs="Arial" w:eastAsia="Arial" w:hAnsi="Arial"/>
                <w:sz w:val="17"/>
                <w:szCs w:val="17"/>
                <w:color w:val="auto"/>
              </w:rPr>
              <w:t>April 27,</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160"/>
              <w:spacing w:after="0" w:line="194" w:lineRule="exact"/>
              <w:rPr>
                <w:sz w:val="20"/>
                <w:szCs w:val="20"/>
                <w:color w:val="auto"/>
              </w:rPr>
            </w:pPr>
            <w:r>
              <w:rPr>
                <w:rFonts w:ascii="Arial" w:cs="Arial" w:eastAsia="Arial" w:hAnsi="Arial"/>
                <w:sz w:val="17"/>
                <w:szCs w:val="17"/>
                <w:color w:val="auto"/>
                <w:w w:val="99"/>
              </w:rPr>
              <w:t>April 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center"/>
              <w:ind w:right="440"/>
              <w:spacing w:after="0" w:line="194" w:lineRule="exact"/>
              <w:rPr>
                <w:sz w:val="20"/>
                <w:szCs w:val="20"/>
                <w:color w:val="auto"/>
              </w:rPr>
            </w:pPr>
            <w:r>
              <w:rPr>
                <w:rFonts w:ascii="Arial" w:cs="Arial" w:eastAsia="Arial" w:hAnsi="Arial"/>
                <w:sz w:val="17"/>
                <w:szCs w:val="17"/>
                <w:color w:val="auto"/>
                <w:w w:val="99"/>
              </w:rPr>
              <w:t>April 27,</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94"/>
              <w:spacing w:after="0" w:line="194" w:lineRule="exact"/>
              <w:rPr>
                <w:sz w:val="20"/>
                <w:szCs w:val="20"/>
                <w:color w:val="auto"/>
              </w:rPr>
            </w:pPr>
            <w:r>
              <w:rPr>
                <w:rFonts w:ascii="Arial" w:cs="Arial" w:eastAsia="Arial" w:hAnsi="Arial"/>
                <w:sz w:val="17"/>
                <w:szCs w:val="17"/>
                <w:color w:val="auto"/>
              </w:rPr>
              <w:t>April 29,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5"/>
        </w:trPr>
        <w:tc>
          <w:tcPr>
            <w:tcW w:w="5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2012</w:t>
            </w:r>
          </w:p>
        </w:tc>
        <w:tc>
          <w:tcPr>
            <w:tcW w:w="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2011</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2012</w:t>
            </w: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94"/>
        </w:trPr>
        <w:tc>
          <w:tcPr>
            <w:tcW w:w="5420" w:type="dxa"/>
            <w:vAlign w:val="bottom"/>
            <w:gridSpan w:val="2"/>
          </w:tcPr>
          <w:p>
            <w:pPr>
              <w:ind w:left="580"/>
              <w:spacing w:after="0" w:line="194" w:lineRule="exact"/>
              <w:rPr>
                <w:sz w:val="20"/>
                <w:szCs w:val="20"/>
                <w:color w:val="auto"/>
              </w:rPr>
            </w:pPr>
            <w:r>
              <w:rPr>
                <w:rFonts w:ascii="Arial" w:cs="Arial" w:eastAsia="Arial" w:hAnsi="Arial"/>
                <w:sz w:val="17"/>
                <w:szCs w:val="17"/>
                <w:color w:val="auto"/>
              </w:rPr>
              <w:t>Revenue in dollars: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8"/>
        </w:trPr>
        <w:tc>
          <w:tcPr>
            <w:tcW w:w="5420" w:type="dxa"/>
            <w:vAlign w:val="bottom"/>
            <w:gridSpan w:val="2"/>
          </w:tcPr>
          <w:p>
            <w:pPr>
              <w:ind w:left="580"/>
              <w:spacing w:after="0"/>
              <w:rPr>
                <w:sz w:val="20"/>
                <w:szCs w:val="20"/>
                <w:color w:val="auto"/>
              </w:rPr>
            </w:pPr>
            <w:r>
              <w:rPr>
                <w:rFonts w:ascii="Arial" w:cs="Arial" w:eastAsia="Arial" w:hAnsi="Arial"/>
                <w:sz w:val="17"/>
                <w:szCs w:val="17"/>
                <w:color w:val="auto"/>
              </w:rPr>
              <w:t>Total Revenue: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7"/>
        </w:trPr>
        <w:tc>
          <w:tcPr>
            <w:tcW w:w="58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w w:val="87"/>
              </w:rPr>
              <w:t>500,025</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center"/>
              <w:ind w:left="334"/>
              <w:spacing w:after="0"/>
              <w:rPr>
                <w:sz w:val="20"/>
                <w:szCs w:val="20"/>
                <w:color w:val="auto"/>
              </w:rPr>
            </w:pPr>
            <w:r>
              <w:rPr>
                <w:rFonts w:ascii="Arial" w:cs="Arial" w:eastAsia="Arial" w:hAnsi="Arial"/>
                <w:sz w:val="17"/>
                <w:szCs w:val="17"/>
                <w:color w:val="auto"/>
                <w:w w:val="91"/>
              </w:rPr>
              <w:t>476,361</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1,485,065</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1,436,790</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7"/>
                <w:szCs w:val="17"/>
                <w:color w:val="auto"/>
              </w:rPr>
              <w:t>Retail</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480"/>
              <w:spacing w:after="0"/>
              <w:rPr>
                <w:sz w:val="20"/>
                <w:szCs w:val="20"/>
                <w:color w:val="auto"/>
              </w:rPr>
            </w:pPr>
            <w:r>
              <w:rPr>
                <w:rFonts w:ascii="Arial" w:cs="Arial" w:eastAsia="Arial" w:hAnsi="Arial"/>
                <w:sz w:val="17"/>
                <w:szCs w:val="17"/>
                <w:color w:val="auto"/>
                <w:w w:val="87"/>
              </w:rPr>
              <w:t>108,489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left="334"/>
              <w:spacing w:after="0"/>
              <w:rPr>
                <w:sz w:val="20"/>
                <w:szCs w:val="20"/>
                <w:color w:val="auto"/>
              </w:rPr>
            </w:pPr>
            <w:r>
              <w:rPr>
                <w:rFonts w:ascii="Arial" w:cs="Arial" w:eastAsia="Arial" w:hAnsi="Arial"/>
                <w:sz w:val="17"/>
                <w:szCs w:val="17"/>
                <w:color w:val="auto"/>
                <w:w w:val="91"/>
              </w:rPr>
              <w:t>106,164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395,120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384,703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6"/>
        </w:trPr>
        <w:tc>
          <w:tcPr>
            <w:tcW w:w="580" w:type="dxa"/>
            <w:vAlign w:val="bottom"/>
          </w:tcPr>
          <w:p>
            <w:pPr>
              <w:spacing w:after="0"/>
              <w:rPr>
                <w:sz w:val="19"/>
                <w:szCs w:val="19"/>
                <w:color w:val="auto"/>
              </w:rPr>
            </w:pPr>
          </w:p>
        </w:tc>
        <w:tc>
          <w:tcPr>
            <w:tcW w:w="4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w w:val="87"/>
              </w:rPr>
              <w:t>608,514</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center"/>
              <w:ind w:left="334"/>
              <w:spacing w:after="0"/>
              <w:rPr>
                <w:sz w:val="20"/>
                <w:szCs w:val="20"/>
                <w:color w:val="auto"/>
              </w:rPr>
            </w:pPr>
            <w:r>
              <w:rPr>
                <w:rFonts w:ascii="Arial" w:cs="Arial" w:eastAsia="Arial" w:hAnsi="Arial"/>
                <w:sz w:val="17"/>
                <w:szCs w:val="17"/>
                <w:color w:val="auto"/>
                <w:w w:val="91"/>
              </w:rPr>
              <w:t>582,525</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1,880,185</w:t>
            </w:r>
          </w:p>
        </w:tc>
        <w:tc>
          <w:tcPr>
            <w:tcW w:w="2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1,821,493</w:t>
            </w:r>
          </w:p>
        </w:tc>
        <w:tc>
          <w:tcPr>
            <w:tcW w:w="12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36"/>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7"/>
          </w:tcPr>
          <w:p>
            <w:pPr>
              <w:ind w:left="540"/>
              <w:spacing w:after="0"/>
              <w:rPr>
                <w:sz w:val="20"/>
                <w:szCs w:val="20"/>
                <w:color w:val="auto"/>
              </w:rPr>
            </w:pPr>
            <w:r>
              <w:rPr>
                <w:rFonts w:ascii="Arial" w:cs="Arial" w:eastAsia="Arial" w:hAnsi="Arial"/>
                <w:sz w:val="17"/>
                <w:szCs w:val="17"/>
                <w:color w:val="auto"/>
              </w:rPr>
              <w:t>Quarter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7"/>
                <w:szCs w:val="17"/>
                <w:color w:val="auto"/>
              </w:rPr>
              <w:t>Nine Months Ended</w:t>
            </w:r>
          </w:p>
        </w:tc>
        <w:tc>
          <w:tcPr>
            <w:tcW w:w="560" w:type="dxa"/>
            <w:vAlign w:val="bottom"/>
          </w:tcPr>
          <w:p>
            <w:pPr>
              <w:spacing w:after="0"/>
              <w:rPr>
                <w:sz w:val="24"/>
                <w:szCs w:val="24"/>
                <w:color w:val="auto"/>
              </w:rPr>
            </w:pPr>
          </w:p>
        </w:tc>
      </w:tr>
      <w:tr>
        <w:trPr>
          <w:trHeight w:val="194"/>
        </w:trPr>
        <w:tc>
          <w:tcPr>
            <w:tcW w:w="5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60"/>
              <w:spacing w:after="0" w:line="194" w:lineRule="exact"/>
              <w:rPr>
                <w:sz w:val="20"/>
                <w:szCs w:val="20"/>
                <w:color w:val="auto"/>
              </w:rPr>
            </w:pPr>
            <w:r>
              <w:rPr>
                <w:rFonts w:ascii="Arial" w:cs="Arial" w:eastAsia="Arial" w:hAnsi="Arial"/>
                <w:sz w:val="17"/>
                <w:szCs w:val="17"/>
                <w:color w:val="auto"/>
              </w:rPr>
              <w:t>April 27,</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74"/>
              <w:spacing w:after="0" w:line="194" w:lineRule="exact"/>
              <w:rPr>
                <w:sz w:val="20"/>
                <w:szCs w:val="20"/>
                <w:color w:val="auto"/>
              </w:rPr>
            </w:pPr>
            <w:r>
              <w:rPr>
                <w:rFonts w:ascii="Arial" w:cs="Arial" w:eastAsia="Arial" w:hAnsi="Arial"/>
                <w:sz w:val="17"/>
                <w:szCs w:val="17"/>
                <w:color w:val="auto"/>
                <w:w w:val="99"/>
              </w:rPr>
              <w:t>April 29,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center"/>
              <w:ind w:right="480"/>
              <w:spacing w:after="0" w:line="194" w:lineRule="exact"/>
              <w:rPr>
                <w:sz w:val="20"/>
                <w:szCs w:val="20"/>
                <w:color w:val="auto"/>
              </w:rPr>
            </w:pPr>
            <w:r>
              <w:rPr>
                <w:rFonts w:ascii="Arial" w:cs="Arial" w:eastAsia="Arial" w:hAnsi="Arial"/>
                <w:sz w:val="17"/>
                <w:szCs w:val="17"/>
                <w:color w:val="auto"/>
                <w:w w:val="99"/>
              </w:rPr>
              <w:t>April 27,</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74"/>
              <w:spacing w:after="0" w:line="194" w:lineRule="exact"/>
              <w:rPr>
                <w:sz w:val="20"/>
                <w:szCs w:val="20"/>
                <w:color w:val="auto"/>
              </w:rPr>
            </w:pPr>
            <w:r>
              <w:rPr>
                <w:rFonts w:ascii="Arial" w:cs="Arial" w:eastAsia="Arial" w:hAnsi="Arial"/>
                <w:sz w:val="17"/>
                <w:szCs w:val="17"/>
                <w:color w:val="auto"/>
                <w:w w:val="99"/>
              </w:rPr>
              <w:t>April 29,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5"/>
        </w:trPr>
        <w:tc>
          <w:tcPr>
            <w:tcW w:w="5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2012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89"/>
              </w:rPr>
              <w:t>2012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89"/>
              </w:rPr>
              <w:t>2011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94"/>
        </w:trPr>
        <w:tc>
          <w:tcPr>
            <w:tcW w:w="5420" w:type="dxa"/>
            <w:vAlign w:val="bottom"/>
            <w:gridSpan w:val="2"/>
          </w:tcPr>
          <w:p>
            <w:pPr>
              <w:ind w:left="580"/>
              <w:spacing w:after="0" w:line="194" w:lineRule="exact"/>
              <w:rPr>
                <w:sz w:val="20"/>
                <w:szCs w:val="20"/>
                <w:color w:val="auto"/>
              </w:rPr>
            </w:pPr>
            <w:r>
              <w:rPr>
                <w:rFonts w:ascii="Arial" w:cs="Arial" w:eastAsia="Arial" w:hAnsi="Arial"/>
                <w:sz w:val="17"/>
                <w:szCs w:val="17"/>
                <w:color w:val="auto"/>
              </w:rPr>
              <w:t>Revenue by percentage relationships: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8"/>
        </w:trPr>
        <w:tc>
          <w:tcPr>
            <w:tcW w:w="5420" w:type="dxa"/>
            <w:vAlign w:val="bottom"/>
            <w:gridSpan w:val="2"/>
          </w:tcPr>
          <w:p>
            <w:pPr>
              <w:ind w:left="580"/>
              <w:spacing w:after="0"/>
              <w:rPr>
                <w:sz w:val="20"/>
                <w:szCs w:val="20"/>
                <w:color w:val="auto"/>
              </w:rPr>
            </w:pPr>
            <w:r>
              <w:rPr>
                <w:rFonts w:ascii="Arial" w:cs="Arial" w:eastAsia="Arial" w:hAnsi="Arial"/>
                <w:sz w:val="17"/>
                <w:szCs w:val="17"/>
                <w:color w:val="auto"/>
              </w:rPr>
              <w:t>Total Revenue: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7"/>
        </w:trPr>
        <w:tc>
          <w:tcPr>
            <w:tcW w:w="58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w w:val="91"/>
              </w:rPr>
              <w:t>82.2%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95"/>
              </w:rPr>
              <w:t>81.8%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79.0%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78.9%</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7"/>
                <w:szCs w:val="17"/>
                <w:color w:val="auto"/>
              </w:rPr>
              <w:t>Retail</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w w:val="84"/>
              </w:rPr>
              <w:t>17.8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w w:val="90"/>
              </w:rPr>
              <w:t>18.2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6"/>
        </w:trPr>
        <w:tc>
          <w:tcPr>
            <w:tcW w:w="580" w:type="dxa"/>
            <w:vAlign w:val="bottom"/>
          </w:tcPr>
          <w:p>
            <w:pPr>
              <w:spacing w:after="0"/>
              <w:rPr>
                <w:sz w:val="21"/>
                <w:szCs w:val="21"/>
                <w:color w:val="auto"/>
              </w:rPr>
            </w:pPr>
          </w:p>
        </w:tc>
        <w:tc>
          <w:tcPr>
            <w:tcW w:w="4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revenue</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w w:val="93"/>
              </w:rPr>
              <w:t>100.0%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center"/>
              <w:ind w:left="354"/>
              <w:spacing w:after="0"/>
              <w:rPr>
                <w:sz w:val="20"/>
                <w:szCs w:val="20"/>
                <w:color w:val="auto"/>
              </w:rPr>
            </w:pPr>
            <w:r>
              <w:rPr>
                <w:rFonts w:ascii="Arial" w:cs="Arial" w:eastAsia="Arial" w:hAnsi="Arial"/>
                <w:sz w:val="17"/>
                <w:szCs w:val="17"/>
                <w:color w:val="auto"/>
                <w:w w:val="93"/>
              </w:rPr>
              <w:t>100.0%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c>
          <w:tcPr>
            <w:tcW w:w="560" w:type="dxa"/>
            <w:vAlign w:val="bottom"/>
          </w:tcPr>
          <w:p>
            <w:pPr>
              <w:spacing w:after="0"/>
              <w:rPr>
                <w:sz w:val="21"/>
                <w:szCs w:val="21"/>
                <w:color w:val="auto"/>
              </w:rPr>
            </w:pPr>
          </w:p>
        </w:tc>
      </w:tr>
      <w:tr>
        <w:trPr>
          <w:trHeight w:val="522"/>
        </w:trPr>
        <w:tc>
          <w:tcPr>
            <w:tcW w:w="580" w:type="dxa"/>
            <w:vAlign w:val="bottom"/>
          </w:tcPr>
          <w:p>
            <w:pPr>
              <w:spacing w:after="0"/>
              <w:rPr>
                <w:sz w:val="24"/>
                <w:szCs w:val="24"/>
                <w:color w:val="auto"/>
              </w:rPr>
            </w:pPr>
          </w:p>
        </w:tc>
        <w:tc>
          <w:tcPr>
            <w:tcW w:w="48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20</w:t>
            </w: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808080"/>
            </w:tcBorders>
          </w:tcPr>
          <w:p>
            <w:pPr>
              <w:spacing w:after="0"/>
              <w:rPr>
                <w:sz w:val="8"/>
                <w:szCs w:val="8"/>
                <w:color w:val="auto"/>
              </w:rPr>
            </w:pPr>
          </w:p>
        </w:tc>
        <w:tc>
          <w:tcPr>
            <w:tcW w:w="48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sets forth the number of stores in operation at the beginning and end of the quarters and nine-month periods ended April 27, 2012 and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April 29, 2011, respectively:</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480" w:type="dxa"/>
            <w:vAlign w:val="bottom"/>
            <w:gridSpan w:val="3"/>
          </w:tcPr>
          <w:p>
            <w:pPr>
              <w:jc w:val="right"/>
              <w:ind w:right="614"/>
              <w:spacing w:after="0"/>
              <w:rPr>
                <w:sz w:val="20"/>
                <w:szCs w:val="20"/>
                <w:color w:val="auto"/>
              </w:rPr>
            </w:pPr>
            <w:r>
              <w:rPr>
                <w:rFonts w:ascii="Arial" w:cs="Arial" w:eastAsia="Arial" w:hAnsi="Arial"/>
                <w:sz w:val="17"/>
                <w:szCs w:val="17"/>
                <w:color w:val="auto"/>
              </w:rPr>
              <w:t>Quarter Ended</w:t>
            </w:r>
          </w:p>
        </w:tc>
        <w:tc>
          <w:tcPr>
            <w:tcW w:w="200" w:type="dxa"/>
            <w:vAlign w:val="bottom"/>
          </w:tcPr>
          <w:p>
            <w:pPr>
              <w:spacing w:after="0"/>
              <w:rPr>
                <w:sz w:val="19"/>
                <w:szCs w:val="19"/>
                <w:color w:val="auto"/>
              </w:rPr>
            </w:pPr>
          </w:p>
        </w:tc>
        <w:tc>
          <w:tcPr>
            <w:tcW w:w="2620" w:type="dxa"/>
            <w:vAlign w:val="bottom"/>
            <w:gridSpan w:val="4"/>
          </w:tcPr>
          <w:p>
            <w:pPr>
              <w:ind w:left="60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120" w:type="dxa"/>
            <w:vAlign w:val="bottom"/>
            <w:tcBorders>
              <w:top w:val="single" w:sz="8" w:color="auto"/>
            </w:tcBorders>
          </w:tcPr>
          <w:p>
            <w:pPr>
              <w:jc w:val="right"/>
              <w:ind w:right="114"/>
              <w:spacing w:after="0" w:line="194" w:lineRule="exact"/>
              <w:rPr>
                <w:sz w:val="20"/>
                <w:szCs w:val="20"/>
                <w:color w:val="auto"/>
              </w:rPr>
            </w:pPr>
            <w:r>
              <w:rPr>
                <w:rFonts w:ascii="Arial" w:cs="Arial" w:eastAsia="Arial" w:hAnsi="Arial"/>
                <w:sz w:val="17"/>
                <w:szCs w:val="17"/>
                <w:color w:val="auto"/>
              </w:rPr>
              <w:t>April 27,</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4"/>
              <w:spacing w:after="0" w:line="194" w:lineRule="exact"/>
              <w:rPr>
                <w:sz w:val="20"/>
                <w:szCs w:val="20"/>
                <w:color w:val="auto"/>
              </w:rPr>
            </w:pPr>
            <w:r>
              <w:rPr>
                <w:rFonts w:ascii="Arial" w:cs="Arial" w:eastAsia="Arial" w:hAnsi="Arial"/>
                <w:sz w:val="17"/>
                <w:szCs w:val="17"/>
                <w:color w:val="auto"/>
              </w:rPr>
              <w:t>April 29,</w:t>
            </w:r>
          </w:p>
        </w:tc>
        <w:tc>
          <w:tcPr>
            <w:tcW w:w="200" w:type="dxa"/>
            <w:vAlign w:val="bottom"/>
          </w:tcPr>
          <w:p>
            <w:pPr>
              <w:spacing w:after="0"/>
              <w:rPr>
                <w:sz w:val="16"/>
                <w:szCs w:val="16"/>
                <w:color w:val="auto"/>
              </w:rPr>
            </w:pPr>
          </w:p>
        </w:tc>
        <w:tc>
          <w:tcPr>
            <w:tcW w:w="1140" w:type="dxa"/>
            <w:vAlign w:val="bottom"/>
            <w:tcBorders>
              <w:top w:val="single" w:sz="8" w:color="auto"/>
            </w:tcBorders>
          </w:tcPr>
          <w:p>
            <w:pPr>
              <w:jc w:val="right"/>
              <w:ind w:right="134"/>
              <w:spacing w:after="0" w:line="194" w:lineRule="exact"/>
              <w:rPr>
                <w:sz w:val="20"/>
                <w:szCs w:val="20"/>
                <w:color w:val="auto"/>
              </w:rPr>
            </w:pPr>
            <w:r>
              <w:rPr>
                <w:rFonts w:ascii="Arial" w:cs="Arial" w:eastAsia="Arial" w:hAnsi="Arial"/>
                <w:sz w:val="17"/>
                <w:szCs w:val="17"/>
                <w:color w:val="auto"/>
              </w:rPr>
              <w:t>April 27,</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4"/>
              <w:spacing w:after="0" w:line="194" w:lineRule="exact"/>
              <w:rPr>
                <w:sz w:val="20"/>
                <w:szCs w:val="20"/>
                <w:color w:val="auto"/>
              </w:rPr>
            </w:pPr>
            <w:r>
              <w:rPr>
                <w:rFonts w:ascii="Arial" w:cs="Arial" w:eastAsia="Arial" w:hAnsi="Arial"/>
                <w:sz w:val="17"/>
                <w:szCs w:val="17"/>
                <w:color w:val="auto"/>
              </w:rPr>
              <w:t>April 29,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120" w:type="dxa"/>
            <w:vAlign w:val="bottom"/>
          </w:tcPr>
          <w:p>
            <w:pPr>
              <w:jc w:val="right"/>
              <w:ind w:right="254"/>
              <w:spacing w:after="0"/>
              <w:rPr>
                <w:sz w:val="20"/>
                <w:szCs w:val="20"/>
                <w:color w:val="auto"/>
              </w:rPr>
            </w:pPr>
            <w:r>
              <w:rPr>
                <w:rFonts w:ascii="Arial" w:cs="Arial" w:eastAsia="Arial" w:hAnsi="Arial"/>
                <w:sz w:val="17"/>
                <w:szCs w:val="17"/>
                <w:color w:val="auto"/>
              </w:rPr>
              <w:t>2012</w:t>
            </w:r>
          </w:p>
        </w:tc>
        <w:tc>
          <w:tcPr>
            <w:tcW w:w="1360" w:type="dxa"/>
            <w:vAlign w:val="bottom"/>
            <w:gridSpan w:val="2"/>
          </w:tcPr>
          <w:p>
            <w:pPr>
              <w:jc w:val="right"/>
              <w:ind w:right="274"/>
              <w:spacing w:after="0"/>
              <w:rPr>
                <w:sz w:val="20"/>
                <w:szCs w:val="20"/>
                <w:color w:val="auto"/>
              </w:rPr>
            </w:pPr>
            <w:r>
              <w:rPr>
                <w:rFonts w:ascii="Arial" w:cs="Arial" w:eastAsia="Arial" w:hAnsi="Arial"/>
                <w:sz w:val="17"/>
                <w:szCs w:val="17"/>
                <w:color w:val="auto"/>
              </w:rPr>
              <w:t>2011</w:t>
            </w:r>
          </w:p>
        </w:tc>
        <w:tc>
          <w:tcPr>
            <w:tcW w:w="1340" w:type="dxa"/>
            <w:vAlign w:val="bottom"/>
            <w:gridSpan w:val="2"/>
          </w:tcPr>
          <w:p>
            <w:pPr>
              <w:jc w:val="right"/>
              <w:ind w:right="274"/>
              <w:spacing w:after="0"/>
              <w:rPr>
                <w:sz w:val="20"/>
                <w:szCs w:val="20"/>
                <w:color w:val="auto"/>
              </w:rPr>
            </w:pPr>
            <w:r>
              <w:rPr>
                <w:rFonts w:ascii="Arial" w:cs="Arial" w:eastAsia="Arial" w:hAnsi="Arial"/>
                <w:sz w:val="17"/>
                <w:szCs w:val="17"/>
                <w:color w:val="auto"/>
              </w:rPr>
              <w:t>2012</w:t>
            </w:r>
          </w:p>
        </w:tc>
        <w:tc>
          <w:tcPr>
            <w:tcW w:w="1360" w:type="dxa"/>
            <w:vAlign w:val="bottom"/>
            <w:gridSpan w:val="2"/>
          </w:tcPr>
          <w:p>
            <w:pPr>
              <w:jc w:val="right"/>
              <w:ind w:right="274"/>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Open at beginning of period</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Open during period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Open at the end of period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Average unit volumes include sales of all stores. The following table highlights average unit volumes for the quarter and nine-month periods ended April 27, 2012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4"/>
          </w:tcPr>
          <w:p>
            <w:pPr>
              <w:jc w:val="right"/>
              <w:ind w:right="594"/>
              <w:spacing w:after="0"/>
              <w:rPr>
                <w:sz w:val="20"/>
                <w:szCs w:val="20"/>
                <w:color w:val="auto"/>
              </w:rPr>
            </w:pPr>
            <w:r>
              <w:rPr>
                <w:rFonts w:ascii="Arial" w:cs="Arial" w:eastAsia="Arial" w:hAnsi="Arial"/>
                <w:sz w:val="17"/>
                <w:szCs w:val="17"/>
                <w:color w:val="auto"/>
              </w:rPr>
              <w:t>Quarter Ended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7"/>
                <w:szCs w:val="17"/>
                <w:color w:val="auto"/>
              </w:rPr>
              <w:t>Nine Months Ended</w:t>
            </w:r>
          </w:p>
        </w:tc>
      </w:tr>
      <w:tr>
        <w:trPr>
          <w:trHeight w:val="194"/>
        </w:trPr>
        <w:tc>
          <w:tcPr>
            <w:tcW w:w="4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14"/>
              <w:spacing w:after="0" w:line="194" w:lineRule="exact"/>
              <w:rPr>
                <w:sz w:val="20"/>
                <w:szCs w:val="20"/>
                <w:color w:val="auto"/>
              </w:rPr>
            </w:pPr>
            <w:r>
              <w:rPr>
                <w:rFonts w:ascii="Arial" w:cs="Arial" w:eastAsia="Arial" w:hAnsi="Arial"/>
                <w:sz w:val="17"/>
                <w:szCs w:val="17"/>
                <w:color w:val="auto"/>
              </w:rPr>
              <w:t>April 27,</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14"/>
              <w:spacing w:after="0" w:line="194" w:lineRule="exact"/>
              <w:rPr>
                <w:sz w:val="20"/>
                <w:szCs w:val="20"/>
                <w:color w:val="auto"/>
              </w:rPr>
            </w:pPr>
            <w:r>
              <w:rPr>
                <w:rFonts w:ascii="Arial" w:cs="Arial" w:eastAsia="Arial" w:hAnsi="Arial"/>
                <w:sz w:val="17"/>
                <w:szCs w:val="17"/>
                <w:color w:val="auto"/>
              </w:rPr>
              <w:t>April 29,</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40"/>
              <w:spacing w:after="0" w:line="194" w:lineRule="exact"/>
              <w:rPr>
                <w:sz w:val="20"/>
                <w:szCs w:val="20"/>
                <w:color w:val="auto"/>
              </w:rPr>
            </w:pPr>
            <w:r>
              <w:rPr>
                <w:rFonts w:ascii="Arial" w:cs="Arial" w:eastAsia="Arial" w:hAnsi="Arial"/>
                <w:sz w:val="17"/>
                <w:szCs w:val="17"/>
                <w:color w:val="auto"/>
                <w:w w:val="99"/>
              </w:rPr>
              <w:t>April 27,</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4"/>
              <w:spacing w:after="0" w:line="194" w:lineRule="exact"/>
              <w:rPr>
                <w:sz w:val="20"/>
                <w:szCs w:val="20"/>
                <w:color w:val="auto"/>
              </w:rPr>
            </w:pPr>
            <w:r>
              <w:rPr>
                <w:rFonts w:ascii="Arial" w:cs="Arial" w:eastAsia="Arial" w:hAnsi="Arial"/>
                <w:sz w:val="17"/>
                <w:szCs w:val="17"/>
                <w:color w:val="auto"/>
              </w:rPr>
              <w:t>April 29,</w:t>
            </w:r>
          </w:p>
        </w:tc>
        <w:tc>
          <w:tcPr>
            <w:tcW w:w="120" w:type="dxa"/>
            <w:vAlign w:val="bottom"/>
          </w:tcPr>
          <w:p>
            <w:pPr>
              <w:spacing w:after="0"/>
              <w:rPr>
                <w:sz w:val="16"/>
                <w:szCs w:val="16"/>
                <w:color w:val="auto"/>
              </w:rPr>
            </w:pPr>
          </w:p>
        </w:tc>
      </w:tr>
      <w:tr>
        <w:trPr>
          <w:trHeight w:val="225"/>
        </w:trPr>
        <w:tc>
          <w:tcPr>
            <w:tcW w:w="4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r>
      <w:tr>
        <w:trPr>
          <w:trHeight w:val="412"/>
        </w:trPr>
        <w:tc>
          <w:tcPr>
            <w:tcW w:w="4980" w:type="dxa"/>
            <w:vAlign w:val="bottom"/>
          </w:tcPr>
          <w:p>
            <w:pPr>
              <w:spacing w:after="0"/>
              <w:rPr>
                <w:sz w:val="20"/>
                <w:szCs w:val="20"/>
                <w:color w:val="auto"/>
              </w:rPr>
            </w:pPr>
            <w:r>
              <w:rPr>
                <w:rFonts w:ascii="Arial" w:cs="Arial" w:eastAsia="Arial" w:hAnsi="Arial"/>
                <w:sz w:val="17"/>
                <w:szCs w:val="17"/>
                <w:color w:val="auto"/>
              </w:rPr>
              <w:t>Revenue:</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7"/>
        </w:trPr>
        <w:tc>
          <w:tcPr>
            <w:tcW w:w="4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2,443.4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2,407.1</w:t>
            </w:r>
          </w:p>
        </w:tc>
      </w:tr>
      <w:tr>
        <w:trPr>
          <w:trHeight w:val="206"/>
        </w:trPr>
        <w:tc>
          <w:tcPr>
            <w:tcW w:w="4980" w:type="dxa"/>
            <w:vAlign w:val="bottom"/>
          </w:tcPr>
          <w:p>
            <w:pPr>
              <w:ind w:left="160"/>
              <w:spacing w:after="0"/>
              <w:rPr>
                <w:sz w:val="20"/>
                <w:szCs w:val="20"/>
                <w:color w:val="auto"/>
              </w:rPr>
            </w:pPr>
            <w:r>
              <w:rPr>
                <w:rFonts w:ascii="Arial" w:cs="Arial" w:eastAsia="Arial" w:hAnsi="Arial"/>
                <w:sz w:val="17"/>
                <w:szCs w:val="17"/>
                <w:color w:val="auto"/>
              </w:rPr>
              <w:t>Retail</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177.4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177.2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650.1</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644.5</w:t>
            </w:r>
          </w:p>
        </w:tc>
      </w:tr>
      <w:tr>
        <w:trPr>
          <w:trHeight w:val="26"/>
        </w:trPr>
        <w:tc>
          <w:tcPr>
            <w:tcW w:w="4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6"/>
        </w:trPr>
        <w:tc>
          <w:tcPr>
            <w:tcW w:w="4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revenue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3,093.5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3,051.6</w:t>
            </w:r>
          </w:p>
        </w:tc>
      </w:tr>
      <w:tr>
        <w:trPr>
          <w:trHeight w:val="20"/>
        </w:trPr>
        <w:tc>
          <w:tcPr>
            <w:tcW w:w="4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Revenue</w:t>
      </w:r>
    </w:p>
    <w:p>
      <w:pPr>
        <w:spacing w:after="0" w:line="249"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Total revenue for the third quarter and first nine months of 2012 increased 4.5% and 3.2%, respectively, compared to the same periods in the prior year. The following table highlights the comparable store sales results for the third quarter and first nine months of 2012 versus the same periods in the prior year:</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75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Third Quarter</w:t>
            </w:r>
          </w:p>
        </w:tc>
        <w:tc>
          <w:tcPr>
            <w:tcW w:w="140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Nine Month</w:t>
            </w:r>
          </w:p>
        </w:tc>
      </w:tr>
      <w:tr>
        <w:trPr>
          <w:trHeight w:val="225"/>
        </w:trPr>
        <w:tc>
          <w:tcPr>
            <w:tcW w:w="752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Increase</w:t>
            </w:r>
          </w:p>
        </w:tc>
        <w:tc>
          <w:tcPr>
            <w:tcW w:w="140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Period Increase</w:t>
            </w:r>
          </w:p>
        </w:tc>
      </w:tr>
      <w:tr>
        <w:trPr>
          <w:trHeight w:val="206"/>
        </w:trPr>
        <w:tc>
          <w:tcPr>
            <w:tcW w:w="7520" w:type="dxa"/>
            <w:vAlign w:val="bottom"/>
          </w:tcPr>
          <w:p>
            <w:pPr>
              <w:spacing w:after="0"/>
              <w:rPr>
                <w:sz w:val="20"/>
                <w:szCs w:val="20"/>
                <w:color w:val="auto"/>
              </w:rPr>
            </w:pPr>
            <w:r>
              <w:rPr>
                <w:rFonts w:ascii="Arial" w:cs="Arial" w:eastAsia="Arial" w:hAnsi="Arial"/>
                <w:sz w:val="17"/>
                <w:szCs w:val="17"/>
                <w:color w:val="auto"/>
              </w:rPr>
              <w:t>Comparable store sales:</w:t>
            </w:r>
          </w:p>
        </w:tc>
        <w:tc>
          <w:tcPr>
            <w:tcW w:w="11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7"/>
        </w:trPr>
        <w:tc>
          <w:tcPr>
            <w:tcW w:w="7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136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3.1%</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w w:val="97"/>
              </w:rPr>
              <w:t>1.7%</w:t>
            </w:r>
          </w:p>
        </w:tc>
      </w:tr>
      <w:tr>
        <w:trPr>
          <w:trHeight w:val="206"/>
        </w:trPr>
        <w:tc>
          <w:tcPr>
            <w:tcW w:w="7520" w:type="dxa"/>
            <w:vAlign w:val="bottom"/>
          </w:tcPr>
          <w:p>
            <w:pPr>
              <w:ind w:left="160"/>
              <w:spacing w:after="0"/>
              <w:rPr>
                <w:sz w:val="20"/>
                <w:szCs w:val="20"/>
                <w:color w:val="auto"/>
              </w:rPr>
            </w:pPr>
            <w:r>
              <w:rPr>
                <w:rFonts w:ascii="Arial" w:cs="Arial" w:eastAsia="Arial" w:hAnsi="Arial"/>
                <w:sz w:val="17"/>
                <w:szCs w:val="17"/>
                <w:color w:val="auto"/>
              </w:rPr>
              <w:t>Retail</w:t>
            </w:r>
          </w:p>
        </w:tc>
        <w:tc>
          <w:tcPr>
            <w:tcW w:w="1100" w:type="dxa"/>
            <w:vAlign w:val="bottom"/>
          </w:tcPr>
          <w:p>
            <w:pPr>
              <w:ind w:left="880"/>
              <w:spacing w:after="0"/>
              <w:rPr>
                <w:sz w:val="20"/>
                <w:szCs w:val="20"/>
                <w:color w:val="auto"/>
              </w:rPr>
            </w:pPr>
            <w:r>
              <w:rPr>
                <w:rFonts w:ascii="Arial" w:cs="Arial" w:eastAsia="Arial" w:hAnsi="Arial"/>
                <w:sz w:val="17"/>
                <w:szCs w:val="17"/>
                <w:color w:val="auto"/>
                <w:w w:val="84"/>
              </w:rPr>
              <w:t>0.3</w:t>
            </w:r>
          </w:p>
        </w:tc>
        <w:tc>
          <w:tcPr>
            <w:tcW w:w="260" w:type="dxa"/>
            <w:vAlign w:val="bottom"/>
          </w:tcPr>
          <w:p>
            <w:pPr>
              <w:spacing w:after="0"/>
              <w:rPr>
                <w:sz w:val="17"/>
                <w:szCs w:val="17"/>
                <w:color w:val="auto"/>
              </w:rPr>
            </w:pPr>
          </w:p>
        </w:tc>
        <w:tc>
          <w:tcPr>
            <w:tcW w:w="1220" w:type="dxa"/>
            <w:vAlign w:val="bottom"/>
          </w:tcPr>
          <w:p>
            <w:pPr>
              <w:ind w:left="1000"/>
              <w:spacing w:after="0"/>
              <w:rPr>
                <w:sz w:val="20"/>
                <w:szCs w:val="20"/>
                <w:color w:val="auto"/>
              </w:rPr>
            </w:pPr>
            <w:r>
              <w:rPr>
                <w:rFonts w:ascii="Arial" w:cs="Arial" w:eastAsia="Arial" w:hAnsi="Arial"/>
                <w:sz w:val="17"/>
                <w:szCs w:val="17"/>
                <w:color w:val="auto"/>
                <w:w w:val="84"/>
              </w:rPr>
              <w:t>1.1</w:t>
            </w:r>
          </w:p>
        </w:tc>
        <w:tc>
          <w:tcPr>
            <w:tcW w:w="180" w:type="dxa"/>
            <w:vAlign w:val="bottom"/>
          </w:tcPr>
          <w:p>
            <w:pPr>
              <w:spacing w:after="0"/>
              <w:rPr>
                <w:sz w:val="17"/>
                <w:szCs w:val="17"/>
                <w:color w:val="auto"/>
              </w:rPr>
            </w:pPr>
          </w:p>
        </w:tc>
      </w:tr>
      <w:tr>
        <w:trPr>
          <w:trHeight w:val="206"/>
        </w:trPr>
        <w:tc>
          <w:tcPr>
            <w:tcW w:w="7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Restaurant and retail</w:t>
            </w:r>
          </w:p>
        </w:tc>
        <w:tc>
          <w:tcPr>
            <w:tcW w:w="1100" w:type="dxa"/>
            <w:vAlign w:val="bottom"/>
            <w:shd w:val="clear" w:color="auto" w:fill="CCEEFF"/>
          </w:tcPr>
          <w:p>
            <w:pPr>
              <w:ind w:left="880"/>
              <w:spacing w:after="0"/>
              <w:rPr>
                <w:sz w:val="20"/>
                <w:szCs w:val="20"/>
                <w:color w:val="auto"/>
              </w:rPr>
            </w:pPr>
            <w:r>
              <w:rPr>
                <w:rFonts w:ascii="Arial" w:cs="Arial" w:eastAsia="Arial" w:hAnsi="Arial"/>
                <w:sz w:val="17"/>
                <w:szCs w:val="17"/>
                <w:color w:val="auto"/>
                <w:w w:val="84"/>
              </w:rPr>
              <w:t>2.6</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7"/>
                <w:szCs w:val="17"/>
                <w:color w:val="auto"/>
                <w:w w:val="84"/>
              </w:rPr>
              <w:t>1.5</w:t>
            </w:r>
          </w:p>
        </w:tc>
        <w:tc>
          <w:tcPr>
            <w:tcW w:w="180" w:type="dxa"/>
            <w:vAlign w:val="bottom"/>
            <w:shd w:val="clear" w:color="auto" w:fill="CCEEFF"/>
          </w:tcPr>
          <w:p>
            <w:pPr>
              <w:spacing w:after="0"/>
              <w:rPr>
                <w:sz w:val="17"/>
                <w:szCs w:val="17"/>
                <w:color w:val="auto"/>
              </w:rPr>
            </w:pPr>
          </w:p>
        </w:tc>
      </w:tr>
    </w:tbl>
    <w:p>
      <w:pPr>
        <w:spacing w:after="0" w:line="220"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For the third quarter of 2012, our comparable store restaurant sales increase consisted of a 2.5% average check increase for the quarter (including a 2.4% average menu price increase) and a 0.6% guest traffic increase. We believe that the comparable store retail sales increase resulted from a more appealing retail merchandise selection than in the prior year and the increase in guest traffic.</w:t>
      </w:r>
    </w:p>
    <w:p>
      <w:pPr>
        <w:spacing w:after="0" w:line="202"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For the first nine months of 2012, our comparable store restaurant sales increase consisted of a 2.4% average check increase for the nine months (including a 2.2% average menu price increase) and a 0.7% guest traffic decrease. We believe that the comparable store retail sales increase resulted from a more appealing retail merchandise selection than in the prior year partially offset by the decrease in guest traffic.</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Sales from newly opened stores accounted for the balance of the total revenue increases in the third quarter and first nine months of 2012 as compared to the same periods in the prior year.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Goods Sold</w:t>
      </w:r>
    </w:p>
    <w:p>
      <w:pPr>
        <w:spacing w:after="0" w:line="249" w:lineRule="exact"/>
        <w:rPr>
          <w:sz w:val="20"/>
          <w:szCs w:val="20"/>
          <w:color w:val="auto"/>
        </w:rPr>
      </w:pPr>
    </w:p>
    <w:p>
      <w:pPr>
        <w:jc w:val="both"/>
        <w:ind w:firstLine="774"/>
        <w:spacing w:after="0" w:line="280" w:lineRule="auto"/>
        <w:rPr>
          <w:sz w:val="20"/>
          <w:szCs w:val="20"/>
          <w:color w:val="auto"/>
        </w:rPr>
      </w:pPr>
      <w:r>
        <w:rPr>
          <w:rFonts w:ascii="Arial" w:cs="Arial" w:eastAsia="Arial" w:hAnsi="Arial"/>
          <w:sz w:val="17"/>
          <w:szCs w:val="17"/>
          <w:color w:val="auto"/>
        </w:rPr>
        <w:t>The following table highlights the components of cost of goods sold in dollar amounts for the quarter and nine-month period ended April 27, 2012 as compared to the same periods in the prior year:</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3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gridSpan w:val="4"/>
          </w:tcPr>
          <w:p>
            <w:pPr>
              <w:jc w:val="right"/>
              <w:ind w:right="694"/>
              <w:spacing w:after="0"/>
              <w:rPr>
                <w:sz w:val="20"/>
                <w:szCs w:val="20"/>
                <w:color w:val="auto"/>
              </w:rPr>
            </w:pPr>
            <w:r>
              <w:rPr>
                <w:rFonts w:ascii="Arial" w:cs="Arial" w:eastAsia="Arial" w:hAnsi="Arial"/>
                <w:sz w:val="17"/>
                <w:szCs w:val="17"/>
                <w:color w:val="auto"/>
              </w:rPr>
              <w:t>Quarter Ended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ind w:left="380"/>
              <w:spacing w:after="0"/>
              <w:rPr>
                <w:sz w:val="20"/>
                <w:szCs w:val="20"/>
                <w:color w:val="auto"/>
              </w:rPr>
            </w:pPr>
            <w:r>
              <w:rPr>
                <w:rFonts w:ascii="Arial" w:cs="Arial" w:eastAsia="Arial" w:hAnsi="Arial"/>
                <w:sz w:val="17"/>
                <w:szCs w:val="17"/>
                <w:color w:val="auto"/>
              </w:rPr>
              <w:t>Nine Months Ended</w:t>
            </w:r>
          </w:p>
        </w:tc>
      </w:tr>
      <w:tr>
        <w:trPr>
          <w:trHeight w:val="194"/>
        </w:trPr>
        <w:tc>
          <w:tcPr>
            <w:tcW w:w="3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27,</w:t>
            </w: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94"/>
              <w:spacing w:after="0" w:line="194" w:lineRule="exact"/>
              <w:rPr>
                <w:sz w:val="20"/>
                <w:szCs w:val="20"/>
                <w:color w:val="auto"/>
              </w:rPr>
            </w:pPr>
            <w:r>
              <w:rPr>
                <w:rFonts w:ascii="Arial" w:cs="Arial" w:eastAsia="Arial" w:hAnsi="Arial"/>
                <w:sz w:val="17"/>
                <w:szCs w:val="17"/>
                <w:color w:val="auto"/>
              </w:rPr>
              <w:t>April 29,</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27,</w:t>
            </w: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29,</w:t>
            </w:r>
          </w:p>
        </w:tc>
        <w:tc>
          <w:tcPr>
            <w:tcW w:w="120" w:type="dxa"/>
            <w:vAlign w:val="bottom"/>
          </w:tcPr>
          <w:p>
            <w:pPr>
              <w:spacing w:after="0"/>
              <w:rPr>
                <w:sz w:val="16"/>
                <w:szCs w:val="16"/>
                <w:color w:val="auto"/>
              </w:rPr>
            </w:pPr>
          </w:p>
        </w:tc>
      </w:tr>
      <w:tr>
        <w:trPr>
          <w:trHeight w:val="225"/>
        </w:trPr>
        <w:tc>
          <w:tcPr>
            <w:tcW w:w="3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2011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r>
      <w:tr>
        <w:trPr>
          <w:trHeight w:val="206"/>
        </w:trPr>
        <w:tc>
          <w:tcPr>
            <w:tcW w:w="3500" w:type="dxa"/>
            <w:vAlign w:val="bottom"/>
          </w:tcPr>
          <w:p>
            <w:pPr>
              <w:spacing w:after="0"/>
              <w:rPr>
                <w:sz w:val="20"/>
                <w:szCs w:val="20"/>
                <w:color w:val="auto"/>
              </w:rPr>
            </w:pPr>
            <w:r>
              <w:rPr>
                <w:rFonts w:ascii="Arial" w:cs="Arial" w:eastAsia="Arial" w:hAnsi="Arial"/>
                <w:sz w:val="17"/>
                <w:szCs w:val="17"/>
                <w:color w:val="auto"/>
              </w:rPr>
              <w:t>Cost of Goods Sold:</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7"/>
        </w:trPr>
        <w:tc>
          <w:tcPr>
            <w:tcW w:w="35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135,301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127,975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401,453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377,557</w:t>
            </w:r>
          </w:p>
        </w:tc>
        <w:tc>
          <w:tcPr>
            <w:tcW w:w="120" w:type="dxa"/>
            <w:vAlign w:val="bottom"/>
            <w:shd w:val="clear" w:color="auto" w:fill="CCEEFF"/>
          </w:tcPr>
          <w:p>
            <w:pPr>
              <w:spacing w:after="0"/>
              <w:rPr>
                <w:sz w:val="18"/>
                <w:szCs w:val="18"/>
                <w:color w:val="auto"/>
              </w:rPr>
            </w:pPr>
          </w:p>
        </w:tc>
      </w:tr>
      <w:tr>
        <w:trPr>
          <w:trHeight w:val="212"/>
        </w:trPr>
        <w:tc>
          <w:tcPr>
            <w:tcW w:w="3500" w:type="dxa"/>
            <w:vAlign w:val="bottom"/>
          </w:tcPr>
          <w:p>
            <w:pPr>
              <w:ind w:left="160"/>
              <w:spacing w:after="0"/>
              <w:rPr>
                <w:sz w:val="20"/>
                <w:szCs w:val="20"/>
                <w:color w:val="auto"/>
              </w:rPr>
            </w:pPr>
            <w:r>
              <w:rPr>
                <w:rFonts w:ascii="Arial" w:cs="Arial" w:eastAsia="Arial" w:hAnsi="Arial"/>
                <w:sz w:val="17"/>
                <w:szCs w:val="17"/>
                <w:color w:val="auto"/>
              </w:rPr>
              <w:t>Retail</w:t>
            </w:r>
          </w:p>
        </w:tc>
        <w:tc>
          <w:tcPr>
            <w:tcW w:w="1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54,314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51,799</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209,860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201,360</w:t>
            </w:r>
          </w:p>
        </w:tc>
        <w:tc>
          <w:tcPr>
            <w:tcW w:w="120" w:type="dxa"/>
            <w:vAlign w:val="bottom"/>
          </w:tcPr>
          <w:p>
            <w:pPr>
              <w:spacing w:after="0"/>
              <w:rPr>
                <w:sz w:val="18"/>
                <w:szCs w:val="18"/>
                <w:color w:val="auto"/>
              </w:rPr>
            </w:pPr>
          </w:p>
        </w:tc>
      </w:tr>
      <w:tr>
        <w:trPr>
          <w:trHeight w:val="226"/>
        </w:trPr>
        <w:tc>
          <w:tcPr>
            <w:tcW w:w="35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Cost of Goods Sold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189,615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179,774</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611,313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578,917</w:t>
            </w:r>
          </w:p>
        </w:tc>
        <w:tc>
          <w:tcPr>
            <w:tcW w:w="120" w:type="dxa"/>
            <w:vAlign w:val="bottom"/>
            <w:shd w:val="clear" w:color="auto" w:fill="CCEEFF"/>
          </w:tcPr>
          <w:p>
            <w:pPr>
              <w:spacing w:after="0"/>
              <w:rPr>
                <w:sz w:val="19"/>
                <w:szCs w:val="19"/>
                <w:color w:val="auto"/>
              </w:rPr>
            </w:pP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following table highlights restaurant cost of goods sold as percentage of restaurant revenue: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720" w:type="dxa"/>
            <w:vAlign w:val="bottom"/>
            <w:gridSpan w:val="4"/>
          </w:tcPr>
          <w:p>
            <w:pPr>
              <w:jc w:val="right"/>
              <w:ind w:right="1020"/>
              <w:spacing w:after="0"/>
              <w:rPr>
                <w:sz w:val="20"/>
                <w:szCs w:val="20"/>
                <w:color w:val="auto"/>
              </w:rPr>
            </w:pPr>
            <w:r>
              <w:rPr>
                <w:rFonts w:ascii="Arial" w:cs="Arial" w:eastAsia="Arial" w:hAnsi="Arial"/>
                <w:sz w:val="17"/>
                <w:szCs w:val="17"/>
                <w:color w:val="auto"/>
              </w:rPr>
              <w:t>Quarter Ended</w:t>
            </w:r>
          </w:p>
        </w:tc>
        <w:tc>
          <w:tcPr>
            <w:tcW w:w="2720" w:type="dxa"/>
            <w:vAlign w:val="bottom"/>
            <w:gridSpan w:val="4"/>
          </w:tcPr>
          <w:p>
            <w:pPr>
              <w:jc w:val="right"/>
              <w:ind w:right="760"/>
              <w:spacing w:after="0"/>
              <w:rPr>
                <w:sz w:val="20"/>
                <w:szCs w:val="20"/>
                <w:color w:val="auto"/>
              </w:rPr>
            </w:pPr>
            <w:r>
              <w:rPr>
                <w:rFonts w:ascii="Arial" w:cs="Arial" w:eastAsia="Arial" w:hAnsi="Arial"/>
                <w:sz w:val="17"/>
                <w:szCs w:val="17"/>
                <w:color w:val="auto"/>
              </w:rPr>
              <w:t>Nine Months Ended</w:t>
            </w:r>
          </w:p>
        </w:tc>
      </w:tr>
      <w:tr>
        <w:trPr>
          <w:trHeight w:val="194"/>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40"/>
              <w:spacing w:after="0" w:line="194" w:lineRule="exact"/>
              <w:rPr>
                <w:sz w:val="20"/>
                <w:szCs w:val="20"/>
                <w:color w:val="auto"/>
              </w:rPr>
            </w:pPr>
            <w:r>
              <w:rPr>
                <w:rFonts w:ascii="Arial" w:cs="Arial" w:eastAsia="Arial" w:hAnsi="Arial"/>
                <w:sz w:val="17"/>
                <w:szCs w:val="17"/>
                <w:color w:val="auto"/>
                <w:w w:val="99"/>
              </w:rPr>
              <w:t>April 27,</w:t>
            </w:r>
          </w:p>
        </w:tc>
        <w:tc>
          <w:tcPr>
            <w:tcW w:w="112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7"/>
                <w:szCs w:val="17"/>
                <w:color w:val="auto"/>
                <w:w w:val="99"/>
              </w:rPr>
              <w:t>April 29,</w:t>
            </w:r>
          </w:p>
        </w:tc>
        <w:tc>
          <w:tcPr>
            <w:tcW w:w="260" w:type="dxa"/>
            <w:vAlign w:val="bottom"/>
          </w:tcPr>
          <w:p>
            <w:pPr>
              <w:spacing w:after="0"/>
              <w:rPr>
                <w:sz w:val="16"/>
                <w:szCs w:val="16"/>
                <w:color w:val="auto"/>
              </w:rPr>
            </w:pPr>
          </w:p>
        </w:tc>
        <w:tc>
          <w:tcPr>
            <w:tcW w:w="1420" w:type="dxa"/>
            <w:vAlign w:val="bottom"/>
            <w:tcBorders>
              <w:top w:val="single" w:sz="8" w:color="auto"/>
            </w:tcBorders>
            <w:gridSpan w:val="2"/>
          </w:tcPr>
          <w:p>
            <w:pPr>
              <w:jc w:val="center"/>
              <w:ind w:right="280"/>
              <w:spacing w:after="0" w:line="194" w:lineRule="exact"/>
              <w:rPr>
                <w:sz w:val="20"/>
                <w:szCs w:val="20"/>
                <w:color w:val="auto"/>
              </w:rPr>
            </w:pPr>
            <w:r>
              <w:rPr>
                <w:rFonts w:ascii="Arial" w:cs="Arial" w:eastAsia="Arial" w:hAnsi="Arial"/>
                <w:sz w:val="17"/>
                <w:szCs w:val="17"/>
                <w:color w:val="auto"/>
                <w:w w:val="99"/>
              </w:rPr>
              <w:t>April 27,</w:t>
            </w:r>
          </w:p>
        </w:tc>
        <w:tc>
          <w:tcPr>
            <w:tcW w:w="112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7"/>
                <w:szCs w:val="17"/>
                <w:color w:val="auto"/>
                <w:w w:val="99"/>
              </w:rPr>
              <w:t>April 29,</w:t>
            </w:r>
          </w:p>
        </w:tc>
        <w:tc>
          <w:tcPr>
            <w:tcW w:w="18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18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Restaurant Cost of Goods Sold</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26.9%</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26.3%</w:t>
            </w: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ind w:firstLine="310"/>
        <w:spacing w:after="0" w:line="262" w:lineRule="auto"/>
        <w:rPr>
          <w:sz w:val="20"/>
          <w:szCs w:val="20"/>
          <w:color w:val="auto"/>
        </w:rPr>
      </w:pPr>
      <w:r>
        <w:rPr>
          <w:rFonts w:ascii="Arial" w:cs="Arial" w:eastAsia="Arial" w:hAnsi="Arial"/>
          <w:sz w:val="17"/>
          <w:szCs w:val="17"/>
          <w:color w:val="auto"/>
        </w:rPr>
        <w:t>The increases in restaurant cost of goods sold as a percentage of restaurant revenue in the third quarter and first nine months of 2012 as compared to the same periods in the prior year were primarily the result of food commodity inflation partially offset by our menu price increases referenced above. Commodity inflation was 4.5% and 5.2%, respectively, in the third quarter and first nine months of 2012. We presently expect the rate of commodity inflation to be approximately 5.0% to 5.5% for the current year.</w:t>
      </w:r>
    </w:p>
    <w:p>
      <w:pPr>
        <w:spacing w:after="0" w:line="20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following table highlights retail cost of goods sold as percentage of retail revenue: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720" w:type="dxa"/>
            <w:vAlign w:val="bottom"/>
            <w:gridSpan w:val="4"/>
          </w:tcPr>
          <w:p>
            <w:pPr>
              <w:jc w:val="right"/>
              <w:ind w:right="1020"/>
              <w:spacing w:after="0"/>
              <w:rPr>
                <w:sz w:val="20"/>
                <w:szCs w:val="20"/>
                <w:color w:val="auto"/>
              </w:rPr>
            </w:pPr>
            <w:r>
              <w:rPr>
                <w:rFonts w:ascii="Arial" w:cs="Arial" w:eastAsia="Arial" w:hAnsi="Arial"/>
                <w:sz w:val="17"/>
                <w:szCs w:val="17"/>
                <w:color w:val="auto"/>
              </w:rPr>
              <w:t>Quarter Ended</w:t>
            </w:r>
          </w:p>
        </w:tc>
        <w:tc>
          <w:tcPr>
            <w:tcW w:w="2720" w:type="dxa"/>
            <w:vAlign w:val="bottom"/>
            <w:gridSpan w:val="4"/>
          </w:tcPr>
          <w:p>
            <w:pPr>
              <w:jc w:val="right"/>
              <w:ind w:right="760"/>
              <w:spacing w:after="0"/>
              <w:rPr>
                <w:sz w:val="20"/>
                <w:szCs w:val="20"/>
                <w:color w:val="auto"/>
              </w:rPr>
            </w:pPr>
            <w:r>
              <w:rPr>
                <w:rFonts w:ascii="Arial" w:cs="Arial" w:eastAsia="Arial" w:hAnsi="Arial"/>
                <w:sz w:val="17"/>
                <w:szCs w:val="17"/>
                <w:color w:val="auto"/>
              </w:rPr>
              <w:t>Nine Months Ended</w:t>
            </w:r>
          </w:p>
        </w:tc>
      </w:tr>
      <w:tr>
        <w:trPr>
          <w:trHeight w:val="194"/>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40"/>
              <w:spacing w:after="0" w:line="194" w:lineRule="exact"/>
              <w:rPr>
                <w:sz w:val="20"/>
                <w:szCs w:val="20"/>
                <w:color w:val="auto"/>
              </w:rPr>
            </w:pPr>
            <w:r>
              <w:rPr>
                <w:rFonts w:ascii="Arial" w:cs="Arial" w:eastAsia="Arial" w:hAnsi="Arial"/>
                <w:sz w:val="17"/>
                <w:szCs w:val="17"/>
                <w:color w:val="auto"/>
                <w:w w:val="99"/>
              </w:rPr>
              <w:t>April 27,</w:t>
            </w:r>
          </w:p>
        </w:tc>
        <w:tc>
          <w:tcPr>
            <w:tcW w:w="112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7"/>
                <w:szCs w:val="17"/>
                <w:color w:val="auto"/>
                <w:w w:val="99"/>
              </w:rPr>
              <w:t>April 29,</w:t>
            </w:r>
          </w:p>
        </w:tc>
        <w:tc>
          <w:tcPr>
            <w:tcW w:w="260" w:type="dxa"/>
            <w:vAlign w:val="bottom"/>
          </w:tcPr>
          <w:p>
            <w:pPr>
              <w:spacing w:after="0"/>
              <w:rPr>
                <w:sz w:val="16"/>
                <w:szCs w:val="16"/>
                <w:color w:val="auto"/>
              </w:rPr>
            </w:pPr>
          </w:p>
        </w:tc>
        <w:tc>
          <w:tcPr>
            <w:tcW w:w="1420" w:type="dxa"/>
            <w:vAlign w:val="bottom"/>
            <w:tcBorders>
              <w:top w:val="single" w:sz="8" w:color="auto"/>
            </w:tcBorders>
            <w:gridSpan w:val="2"/>
          </w:tcPr>
          <w:p>
            <w:pPr>
              <w:jc w:val="center"/>
              <w:ind w:right="280"/>
              <w:spacing w:after="0" w:line="194" w:lineRule="exact"/>
              <w:rPr>
                <w:sz w:val="20"/>
                <w:szCs w:val="20"/>
                <w:color w:val="auto"/>
              </w:rPr>
            </w:pPr>
            <w:r>
              <w:rPr>
                <w:rFonts w:ascii="Arial" w:cs="Arial" w:eastAsia="Arial" w:hAnsi="Arial"/>
                <w:sz w:val="17"/>
                <w:szCs w:val="17"/>
                <w:color w:val="auto"/>
                <w:w w:val="99"/>
              </w:rPr>
              <w:t>April 27,</w:t>
            </w:r>
          </w:p>
        </w:tc>
        <w:tc>
          <w:tcPr>
            <w:tcW w:w="112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7"/>
                <w:szCs w:val="17"/>
                <w:color w:val="auto"/>
                <w:w w:val="99"/>
              </w:rPr>
              <w:t>April 29,</w:t>
            </w:r>
          </w:p>
        </w:tc>
        <w:tc>
          <w:tcPr>
            <w:tcW w:w="18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18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Retail Cost of Goods Sold</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52.3%</w:t>
            </w: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increase in retail cost of goods sold as a percentage of retail revenue in the third quarter of 2012 as compared to the third quarter of the prior year resulted primarily from higher purchase costs for certain retail merchandise, higher freight costs and higher markdowns.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32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Third Quarter</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32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Increase (Decrease) as a</w:t>
            </w:r>
          </w:p>
        </w:tc>
      </w:tr>
      <w:tr>
        <w:trPr>
          <w:trHeight w:val="225"/>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Retail Revenue</w:t>
            </w:r>
          </w:p>
        </w:tc>
        <w:tc>
          <w:tcPr>
            <w:tcW w:w="16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Cost of purchases</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0.7%</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Freight costs</w:t>
            </w:r>
          </w:p>
        </w:tc>
        <w:tc>
          <w:tcPr>
            <w:tcW w:w="2320" w:type="dxa"/>
            <w:vAlign w:val="bottom"/>
            <w:gridSpan w:val="2"/>
          </w:tcPr>
          <w:p>
            <w:pPr>
              <w:jc w:val="right"/>
              <w:ind w:right="20"/>
              <w:spacing w:after="0"/>
              <w:rPr>
                <w:sz w:val="20"/>
                <w:szCs w:val="20"/>
                <w:color w:val="auto"/>
              </w:rPr>
            </w:pPr>
            <w:r>
              <w:rPr>
                <w:rFonts w:ascii="Arial" w:cs="Arial" w:eastAsia="Arial" w:hAnsi="Arial"/>
                <w:sz w:val="17"/>
                <w:szCs w:val="17"/>
                <w:color w:val="auto"/>
              </w:rPr>
              <w:t>0.2%</w:t>
            </w: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Markdowns</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r>
    </w:tbl>
    <w:p>
      <w:pPr>
        <w:spacing w:after="0" w:line="220"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increase in retail cost of goods sold as a percentage of retail revenue in the first nine months of 2012 as compared to the same period in the prior year resulted primarily from a change in retail inventory valuation reserves and higher purchase costs for certain retail merchandise.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32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Nine Months</w:t>
            </w:r>
          </w:p>
        </w:tc>
        <w:tc>
          <w:tcPr>
            <w:tcW w:w="1140" w:type="dxa"/>
            <w:vAlign w:val="bottom"/>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32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Increase (Decrease) as a</w:t>
            </w:r>
          </w:p>
        </w:tc>
        <w:tc>
          <w:tcPr>
            <w:tcW w:w="1140" w:type="dxa"/>
            <w:vAlign w:val="bottom"/>
          </w:tcPr>
          <w:p>
            <w:pPr>
              <w:spacing w:after="0"/>
              <w:rPr>
                <w:sz w:val="17"/>
                <w:szCs w:val="17"/>
                <w:color w:val="auto"/>
              </w:rPr>
            </w:pPr>
          </w:p>
        </w:tc>
      </w:tr>
      <w:tr>
        <w:trPr>
          <w:trHeight w:val="225"/>
        </w:trPr>
        <w:tc>
          <w:tcPr>
            <w:tcW w:w="11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Retail Revenue</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116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Retail inventory valuation reserves</w:t>
            </w:r>
          </w:p>
        </w:tc>
        <w:tc>
          <w:tcPr>
            <w:tcW w:w="56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0.4%</w:t>
            </w:r>
          </w:p>
        </w:tc>
        <w:tc>
          <w:tcPr>
            <w:tcW w:w="1140" w:type="dxa"/>
            <w:vAlign w:val="bottom"/>
          </w:tcPr>
          <w:p>
            <w:pPr>
              <w:spacing w:after="0"/>
              <w:rPr>
                <w:sz w:val="17"/>
                <w:szCs w:val="17"/>
                <w:color w:val="auto"/>
              </w:rPr>
            </w:pPr>
          </w:p>
        </w:tc>
      </w:tr>
      <w:tr>
        <w:trPr>
          <w:trHeight w:val="217"/>
        </w:trPr>
        <w:tc>
          <w:tcPr>
            <w:tcW w:w="1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Cost of purchases</w:t>
            </w:r>
          </w:p>
        </w:tc>
        <w:tc>
          <w:tcPr>
            <w:tcW w:w="5680" w:type="dxa"/>
            <w:vAlign w:val="bottom"/>
            <w:gridSpan w:val="3"/>
          </w:tcPr>
          <w:p>
            <w:pPr>
              <w:jc w:val="right"/>
              <w:ind w:right="20"/>
              <w:spacing w:after="0"/>
              <w:rPr>
                <w:sz w:val="20"/>
                <w:szCs w:val="20"/>
                <w:color w:val="auto"/>
              </w:rPr>
            </w:pPr>
            <w:r>
              <w:rPr>
                <w:rFonts w:ascii="Arial" w:cs="Arial" w:eastAsia="Arial" w:hAnsi="Arial"/>
                <w:sz w:val="17"/>
                <w:szCs w:val="17"/>
                <w:color w:val="auto"/>
              </w:rPr>
              <w:t>0.3%</w:t>
            </w:r>
          </w:p>
        </w:tc>
        <w:tc>
          <w:tcPr>
            <w:tcW w:w="1140" w:type="dxa"/>
            <w:vAlign w:val="bottom"/>
          </w:tcPr>
          <w:p>
            <w:pPr>
              <w:spacing w:after="0"/>
              <w:rPr>
                <w:sz w:val="18"/>
                <w:szCs w:val="18"/>
                <w:color w:val="auto"/>
              </w:rPr>
            </w:pPr>
          </w:p>
        </w:tc>
      </w:tr>
      <w:tr>
        <w:trPr>
          <w:trHeight w:val="520"/>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60" w:type="dxa"/>
            <w:vAlign w:val="bottom"/>
          </w:tcPr>
          <w:p>
            <w:pPr>
              <w:jc w:val="right"/>
              <w:ind w:right="2100"/>
              <w:spacing w:after="0"/>
              <w:rPr>
                <w:sz w:val="20"/>
                <w:szCs w:val="20"/>
                <w:color w:val="auto"/>
              </w:rPr>
            </w:pPr>
            <w:r>
              <w:rPr>
                <w:rFonts w:ascii="Arial" w:cs="Arial" w:eastAsia="Arial" w:hAnsi="Arial"/>
                <w:sz w:val="14"/>
                <w:szCs w:val="14"/>
                <w:color w:val="auto"/>
              </w:rPr>
              <w:t>22</w:t>
            </w: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8"/>
        </w:trPr>
        <w:tc>
          <w:tcPr>
            <w:tcW w:w="1160" w:type="dxa"/>
            <w:vAlign w:val="bottom"/>
            <w:tcBorders>
              <w:bottom w:val="single" w:sz="8" w:color="808080"/>
            </w:tcBorders>
          </w:tcPr>
          <w:p>
            <w:pPr>
              <w:spacing w:after="0"/>
              <w:rPr>
                <w:sz w:val="8"/>
                <w:szCs w:val="8"/>
                <w:color w:val="auto"/>
              </w:rPr>
            </w:pPr>
          </w:p>
        </w:tc>
        <w:tc>
          <w:tcPr>
            <w:tcW w:w="3440" w:type="dxa"/>
            <w:vAlign w:val="bottom"/>
            <w:tcBorders>
              <w:bottom w:val="single" w:sz="8" w:color="808080"/>
            </w:tcBorders>
          </w:tcPr>
          <w:p>
            <w:pPr>
              <w:spacing w:after="0"/>
              <w:rPr>
                <w:sz w:val="8"/>
                <w:szCs w:val="8"/>
                <w:color w:val="auto"/>
              </w:rPr>
            </w:pPr>
          </w:p>
        </w:tc>
        <w:tc>
          <w:tcPr>
            <w:tcW w:w="336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In April 2012, we restructured and streamlined our field organization to better align our restaurant and retail operations under central leadership. The restructuring of the field organization and related changes in our headquarters resulted in the elimination of approximately 20 positions. As a result, we incurred severance charges of $1,660, which are recorded in general and administrative expenses (see sub-section below entitled “General and Administrative Expenses”). We estimate that this restructuring will generate annual pre-tax savings of approximately $5,000, of which approximately $3,500 will be realized as a reduction to general and administrative expenses and approximately $1,500 will be realized as a reduction to labor and related expenses.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 and Related Expenses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Labor and related expenses include all direct and indirect labor and related costs incurred in store operations. Labor and related expenses as a percentage of total revenue decreased during the third quarter of 2012 to 38.6% as compared to 39.0% in the third quarter of the prior year. This percentage change resulted primarily from the following:</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7"/>
                <w:szCs w:val="17"/>
                <w:color w:val="auto"/>
                <w:w w:val="92"/>
              </w:rPr>
              <w:t>Third Quarter</w:t>
            </w:r>
          </w:p>
        </w:tc>
      </w:tr>
      <w:tr>
        <w:trPr>
          <w:trHeight w:val="20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Increase (Decrease) as a</w:t>
            </w:r>
          </w:p>
        </w:tc>
      </w:tr>
      <w:tr>
        <w:trPr>
          <w:trHeight w:val="225"/>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Store hourly labor</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(0.4%)</w:t>
            </w:r>
          </w:p>
        </w:tc>
      </w:tr>
      <w:tr>
        <w:trPr>
          <w:trHeight w:val="206"/>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Employee health care expenses</w:t>
            </w:r>
          </w:p>
        </w:tc>
        <w:tc>
          <w:tcPr>
            <w:tcW w:w="2280" w:type="dxa"/>
            <w:vAlign w:val="bottom"/>
            <w:gridSpan w:val="2"/>
          </w:tcPr>
          <w:p>
            <w:pPr>
              <w:jc w:val="right"/>
              <w:ind w:right="20"/>
              <w:spacing w:after="0"/>
              <w:rPr>
                <w:sz w:val="20"/>
                <w:szCs w:val="20"/>
                <w:color w:val="auto"/>
              </w:rPr>
            </w:pPr>
            <w:r>
              <w:rPr>
                <w:rFonts w:ascii="Arial" w:cs="Arial" w:eastAsia="Arial" w:hAnsi="Arial"/>
                <w:sz w:val="17"/>
                <w:szCs w:val="17"/>
                <w:color w:val="auto"/>
              </w:rPr>
              <w:t>(0.3%)</w:t>
            </w:r>
          </w:p>
        </w:tc>
      </w:tr>
      <w:tr>
        <w:trPr>
          <w:trHeight w:val="20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Store bonus expense</w:t>
            </w:r>
          </w:p>
        </w:tc>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0.4%</w:t>
            </w:r>
          </w:p>
        </w:tc>
      </w:tr>
    </w:tbl>
    <w:p>
      <w:pPr>
        <w:spacing w:after="0" w:line="22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Labor and other related expenses as a percentage of total revenue decreased to 36.8% in the first nine months of 2012 as compared to 37.1% in the first nine months of 2011. This percentage change resulted primarily from the following:</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320" w:type="dxa"/>
            <w:vAlign w:val="bottom"/>
            <w:gridSpan w:val="2"/>
          </w:tcPr>
          <w:p>
            <w:pPr>
              <w:jc w:val="center"/>
              <w:ind w:right="260"/>
              <w:spacing w:after="0"/>
              <w:rPr>
                <w:sz w:val="20"/>
                <w:szCs w:val="20"/>
                <w:color w:val="auto"/>
              </w:rPr>
            </w:pPr>
            <w:r>
              <w:rPr>
                <w:rFonts w:ascii="Arial" w:cs="Arial" w:eastAsia="Arial" w:hAnsi="Arial"/>
                <w:sz w:val="17"/>
                <w:szCs w:val="17"/>
                <w:color w:val="auto"/>
                <w:w w:val="95"/>
              </w:rPr>
              <w:t>Nine Month Period</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32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Increase (Decrease) as a</w:t>
            </w:r>
          </w:p>
        </w:tc>
      </w:tr>
      <w:tr>
        <w:trPr>
          <w:trHeight w:val="225"/>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Store hourly labor</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(0.3%)</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Employee health care expenses</w:t>
            </w:r>
          </w:p>
        </w:tc>
        <w:tc>
          <w:tcPr>
            <w:tcW w:w="2320" w:type="dxa"/>
            <w:vAlign w:val="bottom"/>
            <w:gridSpan w:val="2"/>
          </w:tcPr>
          <w:p>
            <w:pPr>
              <w:jc w:val="right"/>
              <w:ind w:right="20"/>
              <w:spacing w:after="0"/>
              <w:rPr>
                <w:sz w:val="20"/>
                <w:szCs w:val="20"/>
                <w:color w:val="auto"/>
              </w:rPr>
            </w:pPr>
            <w:r>
              <w:rPr>
                <w:rFonts w:ascii="Arial" w:cs="Arial" w:eastAsia="Arial" w:hAnsi="Arial"/>
                <w:sz w:val="17"/>
                <w:szCs w:val="17"/>
                <w:color w:val="auto"/>
              </w:rPr>
              <w:t>(0.2%)</w:t>
            </w: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Payroll taxes</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w:t>
            </w:r>
          </w:p>
        </w:tc>
      </w:tr>
    </w:tbl>
    <w:p>
      <w:pPr>
        <w:spacing w:after="0" w:line="220" w:lineRule="exact"/>
        <w:rPr>
          <w:sz w:val="20"/>
          <w:szCs w:val="20"/>
          <w:color w:val="auto"/>
        </w:rPr>
      </w:pPr>
    </w:p>
    <w:p>
      <w:pPr>
        <w:jc w:val="both"/>
        <w:ind w:firstLine="620"/>
        <w:spacing w:after="0" w:line="349" w:lineRule="auto"/>
        <w:rPr>
          <w:sz w:val="20"/>
          <w:szCs w:val="20"/>
          <w:color w:val="auto"/>
        </w:rPr>
      </w:pPr>
      <w:r>
        <w:rPr>
          <w:rFonts w:ascii="Arial" w:cs="Arial" w:eastAsia="Arial" w:hAnsi="Arial"/>
          <w:sz w:val="15"/>
          <w:szCs w:val="15"/>
          <w:color w:val="auto"/>
        </w:rPr>
        <w:t>The decrease in store hourly labor costs as a percentage of total revenue for the third quarter and first nine months of 2012 as compared to the same periods in the prior year resulted from improved productivity due to our enhanced labor management system and menu price increases being higher than wage inflation.</w:t>
      </w:r>
    </w:p>
    <w:p>
      <w:pPr>
        <w:spacing w:after="0" w:line="144"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Employee health care expenses in the calendar 2011 plan year were lower due to improvements in claims experience. As a result of these improvements, we negotiated a retrospectively rated group policy during the first quarter of 2012. This policy is retroactive to January 1, 2011 and provides for a reimbursement of health insurance premiums based on actual claims experience through the end of the calendar year.</w:t>
      </w:r>
    </w:p>
    <w:p>
      <w:pPr>
        <w:spacing w:after="0" w:line="202"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 terms of this policy resulted in recording a receivable for reimbursement of approximately $2,500 during the first quarter of 2012 and approximately $1,500 during each of the second and third quarters of 2012 for certain health insurance premiums paid during calendar 2011. During the third quarter and first nine months of 2012, this receivable was partially offset by higher claims experience than in the prior year. We expect to receive the remaining reimbursement for these health insurance premiums during the fourth quarter of 2012.</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Higher store bonus expense reflected better performance against financial objectives in the third quarter of 2012 as compared to the prior year third quarter.</w:t>
      </w:r>
    </w:p>
    <w:p>
      <w:pPr>
        <w:spacing w:after="0" w:line="266"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increase in payroll taxes for the first nine months of 2012 as compared to the same period in the prior year resulted from increases in state unemployment tax rates.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Store Operating Expenses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Other store operating expenses include all store-level operating costs, the major components of which are utilities, operating supplies, repairs and maintenance, depreciation and amortization, advertising, rent, credit card fees, real and personal property taxes and general insurance.</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Other store operating expenses as a percentage of total revenue decreased to 18.1% in the third quarter of 2012 as compared to 19.3% in the third quarter of the prior year. This percentage change resulted primarily from the following:</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320" w:type="dxa"/>
            <w:vAlign w:val="bottom"/>
            <w:gridSpan w:val="2"/>
          </w:tcPr>
          <w:p>
            <w:pPr>
              <w:jc w:val="center"/>
              <w:ind w:right="260"/>
              <w:spacing w:after="0"/>
              <w:rPr>
                <w:sz w:val="20"/>
                <w:szCs w:val="20"/>
                <w:color w:val="auto"/>
              </w:rPr>
            </w:pPr>
            <w:r>
              <w:rPr>
                <w:rFonts w:ascii="Arial" w:cs="Arial" w:eastAsia="Arial" w:hAnsi="Arial"/>
                <w:sz w:val="17"/>
                <w:szCs w:val="17"/>
                <w:color w:val="auto"/>
                <w:w w:val="92"/>
              </w:rPr>
              <w:t>Third Quarter</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320" w:type="dxa"/>
            <w:vAlign w:val="bottom"/>
            <w:gridSpan w:val="2"/>
          </w:tcPr>
          <w:p>
            <w:pPr>
              <w:jc w:val="center"/>
              <w:ind w:right="260"/>
              <w:spacing w:after="0"/>
              <w:rPr>
                <w:sz w:val="20"/>
                <w:szCs w:val="20"/>
                <w:color w:val="auto"/>
              </w:rPr>
            </w:pPr>
            <w:r>
              <w:rPr>
                <w:rFonts w:ascii="Arial" w:cs="Arial" w:eastAsia="Arial" w:hAnsi="Arial"/>
                <w:sz w:val="17"/>
                <w:szCs w:val="17"/>
                <w:color w:val="auto"/>
                <w:w w:val="86"/>
              </w:rPr>
              <w:t>Increase (Decrease) as a</w:t>
            </w:r>
          </w:p>
        </w:tc>
      </w:tr>
      <w:tr>
        <w:trPr>
          <w:trHeight w:val="225"/>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Advertising expense</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(0.5%)</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Utilities expense</w:t>
            </w:r>
          </w:p>
        </w:tc>
        <w:tc>
          <w:tcPr>
            <w:tcW w:w="2320" w:type="dxa"/>
            <w:vAlign w:val="bottom"/>
            <w:gridSpan w:val="2"/>
          </w:tcPr>
          <w:p>
            <w:pPr>
              <w:jc w:val="right"/>
              <w:ind w:right="20"/>
              <w:spacing w:after="0"/>
              <w:rPr>
                <w:sz w:val="20"/>
                <w:szCs w:val="20"/>
                <w:color w:val="auto"/>
              </w:rPr>
            </w:pPr>
            <w:r>
              <w:rPr>
                <w:rFonts w:ascii="Arial" w:cs="Arial" w:eastAsia="Arial" w:hAnsi="Arial"/>
                <w:sz w:val="17"/>
                <w:szCs w:val="17"/>
                <w:color w:val="auto"/>
              </w:rPr>
              <w:t>(0.2%)</w:t>
            </w: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Supplies expense</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Credit card fees</w:t>
            </w:r>
          </w:p>
        </w:tc>
        <w:tc>
          <w:tcPr>
            <w:tcW w:w="232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General insurance expense</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r>
    </w:tbl>
    <w:p>
      <w:pPr>
        <w:spacing w:after="0" w:line="22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Other store operating expenses as a percentage of total revenue decreased to 18.0% in the first nine months of 2012 as compared to 18.4% in the first nine months of 2011. This percentage change resulted primarily from the following:</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320" w:type="dxa"/>
            <w:vAlign w:val="bottom"/>
            <w:gridSpan w:val="2"/>
          </w:tcPr>
          <w:p>
            <w:pPr>
              <w:jc w:val="center"/>
              <w:ind w:right="260"/>
              <w:spacing w:after="0"/>
              <w:rPr>
                <w:sz w:val="20"/>
                <w:szCs w:val="20"/>
                <w:color w:val="auto"/>
              </w:rPr>
            </w:pPr>
            <w:r>
              <w:rPr>
                <w:rFonts w:ascii="Arial" w:cs="Arial" w:eastAsia="Arial" w:hAnsi="Arial"/>
                <w:sz w:val="17"/>
                <w:szCs w:val="17"/>
                <w:color w:val="auto"/>
                <w:w w:val="95"/>
              </w:rPr>
              <w:t>Nine Month Period</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320" w:type="dxa"/>
            <w:vAlign w:val="bottom"/>
            <w:gridSpan w:val="2"/>
          </w:tcPr>
          <w:p>
            <w:pPr>
              <w:jc w:val="center"/>
              <w:ind w:right="260"/>
              <w:spacing w:after="0"/>
              <w:rPr>
                <w:sz w:val="20"/>
                <w:szCs w:val="20"/>
                <w:color w:val="auto"/>
              </w:rPr>
            </w:pPr>
            <w:r>
              <w:rPr>
                <w:rFonts w:ascii="Arial" w:cs="Arial" w:eastAsia="Arial" w:hAnsi="Arial"/>
                <w:sz w:val="17"/>
                <w:szCs w:val="17"/>
                <w:color w:val="auto"/>
                <w:w w:val="86"/>
              </w:rPr>
              <w:t>Increase (Decrease) as a</w:t>
            </w:r>
          </w:p>
        </w:tc>
      </w:tr>
      <w:tr>
        <w:trPr>
          <w:trHeight w:val="225"/>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Litigation settlement</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Credit card fees</w:t>
            </w:r>
          </w:p>
        </w:tc>
        <w:tc>
          <w:tcPr>
            <w:tcW w:w="232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Maintenance expense</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Utilities expense</w:t>
            </w:r>
          </w:p>
        </w:tc>
        <w:tc>
          <w:tcPr>
            <w:tcW w:w="232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Advertising expense</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0.2%</w:t>
            </w:r>
          </w:p>
        </w:tc>
      </w:tr>
    </w:tbl>
    <w:p>
      <w:pPr>
        <w:spacing w:after="0" w:line="220" w:lineRule="exact"/>
        <w:rPr>
          <w:sz w:val="20"/>
          <w:szCs w:val="20"/>
          <w:color w:val="auto"/>
        </w:rPr>
      </w:pPr>
    </w:p>
    <w:p>
      <w:pPr>
        <w:jc w:val="both"/>
        <w:ind w:firstLine="620"/>
        <w:spacing w:after="0" w:line="308" w:lineRule="auto"/>
        <w:rPr>
          <w:sz w:val="20"/>
          <w:szCs w:val="20"/>
          <w:color w:val="auto"/>
        </w:rPr>
      </w:pPr>
      <w:r>
        <w:rPr>
          <w:rFonts w:ascii="Arial" w:cs="Arial" w:eastAsia="Arial" w:hAnsi="Arial"/>
          <w:sz w:val="15"/>
          <w:szCs w:val="15"/>
          <w:color w:val="auto"/>
        </w:rPr>
        <w:t>The decrease in advertising expense in the third quarter of 2012 and the increase in advertising expense in the first nine months of 2012 as compared to the same periods in the prior year resulted primarily from a change in our advertising strategy implemented in the second quarter of 2012. As a result of this change in strategy, we spent more on television and radio advertising in the first half of 2012 than in the prior year, and we spent less in the third quarter of 2012 as compared to the same period in the prior year. For the year, we expect our total advertising spending as a percentage of total revenue to be similar to the prior year.</w:t>
      </w:r>
    </w:p>
    <w:p>
      <w:pPr>
        <w:spacing w:after="0" w:line="17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decrease in utilities expense in the third quarter and first nine months of 2012 as compared to the same periods in the prior year resulted primarily from lower natural gas costs.</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We believe that the decrease in supplies expense in the third quarter of 2012 as compared to the same period in the prior year resulted primarily from our efforts to control this expense.</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decrease in general insurance expense in the third quarter of 2012 as compared to the same period in the prior year resulted primarily from favorable claims experience.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decrease in credit card fees in the third quarter and first nine months of 2012 as compared to the same periods in the prior year resulted from a reduction in debit card fee rates due to a change in Federal law governing such fees.</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We believe that the decrease in maintenance expense in the first nine months of 2012 as compared to the prior year resulted primarily from our efforts to control this expense.</w:t>
      </w:r>
    </w:p>
    <w:p>
      <w:pPr>
        <w:spacing w:after="0" w:line="18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 the first quarter of 2012, we received proceeds from a litigation settlement and recorded the proceeds as a gain in other store operating expenses since the settlement related to a matter previously recorded in other store operating expenses. Because we believed this settlement represented a gain contingency, we did not record the gain until the settlement amount and timing were assured.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and Administrative Expenses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General and administrative expenses as a percentage of total revenue decreased to 5.7% as compared to 5.8% in the third quarter of the prior year. This percentage change resulted primarily from the following:</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Third Quarter</w:t>
            </w:r>
          </w:p>
        </w:tc>
      </w:tr>
      <w:tr>
        <w:trPr>
          <w:trHeight w:val="20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Increase (Decrease) as a</w:t>
            </w:r>
          </w:p>
        </w:tc>
      </w:tr>
      <w:tr>
        <w:trPr>
          <w:trHeight w:val="225"/>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Payroll and related expenses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(0.4%)</w:t>
            </w:r>
          </w:p>
        </w:tc>
      </w:tr>
      <w:tr>
        <w:trPr>
          <w:trHeight w:val="206"/>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Incentive compensation</w:t>
            </w:r>
          </w:p>
        </w:tc>
        <w:tc>
          <w:tcPr>
            <w:tcW w:w="2280" w:type="dxa"/>
            <w:vAlign w:val="bottom"/>
            <w:gridSpan w:val="2"/>
          </w:tcPr>
          <w:p>
            <w:pPr>
              <w:jc w:val="right"/>
              <w:ind w:right="80"/>
              <w:spacing w:after="0"/>
              <w:rPr>
                <w:sz w:val="20"/>
                <w:szCs w:val="20"/>
                <w:color w:val="auto"/>
              </w:rPr>
            </w:pPr>
            <w:r>
              <w:rPr>
                <w:rFonts w:ascii="Arial" w:cs="Arial" w:eastAsia="Arial" w:hAnsi="Arial"/>
                <w:sz w:val="17"/>
                <w:szCs w:val="17"/>
                <w:color w:val="auto"/>
              </w:rPr>
              <w:t>0.2%</w:t>
            </w:r>
          </w:p>
        </w:tc>
      </w:tr>
      <w:tr>
        <w:trPr>
          <w:trHeight w:val="20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Severance related to April 2012 restructuring</w:t>
            </w:r>
          </w:p>
        </w:tc>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0.2%</w:t>
            </w:r>
          </w:p>
        </w:tc>
      </w:tr>
    </w:tbl>
    <w:p>
      <w:pPr>
        <w:spacing w:after="0" w:line="220"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General and administrative expenses as a percentage of total revenue remained flat at 5.7% in the first nine months of 2012 as compared to the same period in the prior year primarily as a result of the following:</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320" w:type="dxa"/>
            <w:vAlign w:val="bottom"/>
            <w:gridSpan w:val="2"/>
          </w:tcPr>
          <w:p>
            <w:pPr>
              <w:jc w:val="center"/>
              <w:ind w:right="260"/>
              <w:spacing w:after="0"/>
              <w:rPr>
                <w:sz w:val="20"/>
                <w:szCs w:val="20"/>
                <w:color w:val="auto"/>
              </w:rPr>
            </w:pPr>
            <w:r>
              <w:rPr>
                <w:rFonts w:ascii="Arial" w:cs="Arial" w:eastAsia="Arial" w:hAnsi="Arial"/>
                <w:sz w:val="17"/>
                <w:szCs w:val="17"/>
                <w:color w:val="auto"/>
                <w:w w:val="95"/>
              </w:rPr>
              <w:t>Nine Month Period</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320" w:type="dxa"/>
            <w:vAlign w:val="bottom"/>
            <w:gridSpan w:val="2"/>
          </w:tcPr>
          <w:p>
            <w:pPr>
              <w:jc w:val="center"/>
              <w:ind w:right="260"/>
              <w:spacing w:after="0"/>
              <w:rPr>
                <w:sz w:val="20"/>
                <w:szCs w:val="20"/>
                <w:color w:val="auto"/>
              </w:rPr>
            </w:pPr>
            <w:r>
              <w:rPr>
                <w:rFonts w:ascii="Arial" w:cs="Arial" w:eastAsia="Arial" w:hAnsi="Arial"/>
                <w:sz w:val="17"/>
                <w:szCs w:val="17"/>
                <w:color w:val="auto"/>
                <w:w w:val="86"/>
              </w:rPr>
              <w:t>Increase (Decrease) as a</w:t>
            </w:r>
          </w:p>
        </w:tc>
      </w:tr>
      <w:tr>
        <w:trPr>
          <w:trHeight w:val="225"/>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Payroll and related expenses</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(0.4%)</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Expenses related to December 2011 proxy contest</w:t>
            </w:r>
          </w:p>
        </w:tc>
        <w:tc>
          <w:tcPr>
            <w:tcW w:w="2320" w:type="dxa"/>
            <w:vAlign w:val="bottom"/>
            <w:gridSpan w:val="2"/>
          </w:tcPr>
          <w:p>
            <w:pPr>
              <w:jc w:val="right"/>
              <w:ind w:right="80"/>
              <w:spacing w:after="0"/>
              <w:rPr>
                <w:sz w:val="20"/>
                <w:szCs w:val="20"/>
                <w:color w:val="auto"/>
              </w:rPr>
            </w:pPr>
            <w:r>
              <w:rPr>
                <w:rFonts w:ascii="Arial" w:cs="Arial" w:eastAsia="Arial" w:hAnsi="Arial"/>
                <w:sz w:val="17"/>
                <w:szCs w:val="17"/>
                <w:color w:val="auto"/>
              </w:rPr>
              <w:t>0.3%</w:t>
            </w: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Manager meeting conference expense</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w:t>
            </w:r>
          </w:p>
        </w:tc>
      </w:tr>
      <w:tr>
        <w:trPr>
          <w:trHeight w:val="217"/>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Severance related to April 2012 restructuring</w:t>
            </w:r>
          </w:p>
        </w:tc>
        <w:tc>
          <w:tcPr>
            <w:tcW w:w="2320" w:type="dxa"/>
            <w:vAlign w:val="bottom"/>
            <w:gridSpan w:val="2"/>
          </w:tcPr>
          <w:p>
            <w:pPr>
              <w:jc w:val="right"/>
              <w:ind w:right="80"/>
              <w:spacing w:after="0"/>
              <w:rPr>
                <w:sz w:val="20"/>
                <w:szCs w:val="20"/>
                <w:color w:val="auto"/>
              </w:rPr>
            </w:pPr>
            <w:r>
              <w:rPr>
                <w:rFonts w:ascii="Arial" w:cs="Arial" w:eastAsia="Arial" w:hAnsi="Arial"/>
                <w:sz w:val="17"/>
                <w:szCs w:val="17"/>
                <w:color w:val="auto"/>
              </w:rPr>
              <w:t>0.1%</w:t>
            </w:r>
          </w:p>
        </w:tc>
      </w:tr>
    </w:tbl>
    <w:p>
      <w:pPr>
        <w:spacing w:after="0" w:line="20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Lower payroll and related expenses in the third quarter and first nine months of 2012 as compared to the same periods in the prior year resulted primarily from the elimination of approximately 60 management and staff positions in July 2011.</w:t>
      </w:r>
    </w:p>
    <w:p>
      <w:pPr>
        <w:spacing w:after="0" w:line="18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Higher incentive compensation in the third quarter of 2012 as compared to the prior year third quarter resulted primarily from better performance against financial objectives.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the third quarter of 2012, we incurred severance charges of $1,660 related to our April restructuring (see sub-section above entitled “Restructuring”).</w:t>
      </w:r>
    </w:p>
    <w:p>
      <w:pPr>
        <w:spacing w:after="0" w:line="255"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In the first quarter of 2012, we held a manager meeting conference for the first time in several years which was attended by our store operations management team. The purpose of this meeting was to review priorities for 2012 and conduct manager training.</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60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060" w:type="dxa"/>
            <w:vAlign w:val="bottom"/>
            <w:gridSpan w:val="3"/>
          </w:tcPr>
          <w:p>
            <w:pPr>
              <w:spacing w:after="0"/>
              <w:rPr>
                <w:sz w:val="20"/>
                <w:szCs w:val="20"/>
                <w:color w:val="auto"/>
              </w:rPr>
            </w:pPr>
            <w:r>
              <w:rPr>
                <w:rFonts w:ascii="Arial" w:cs="Arial" w:eastAsia="Arial" w:hAnsi="Arial"/>
                <w:sz w:val="17"/>
                <w:szCs w:val="17"/>
                <w:b w:val="1"/>
                <w:bCs w:val="1"/>
                <w:color w:val="auto"/>
              </w:rPr>
              <w:t>Impairment and Store Dispositions, Net</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780" w:type="dxa"/>
            <w:vAlign w:val="bottom"/>
            <w:gridSpan w:val="6"/>
          </w:tcPr>
          <w:p>
            <w:pPr>
              <w:jc w:val="right"/>
              <w:ind w:right="1020"/>
              <w:spacing w:after="0"/>
              <w:rPr>
                <w:sz w:val="20"/>
                <w:szCs w:val="20"/>
                <w:color w:val="auto"/>
              </w:rPr>
            </w:pPr>
            <w:r>
              <w:rPr>
                <w:rFonts w:ascii="Arial" w:cs="Arial" w:eastAsia="Arial" w:hAnsi="Arial"/>
                <w:sz w:val="17"/>
                <w:szCs w:val="17"/>
                <w:color w:val="auto"/>
              </w:rPr>
              <w:t>Quarter Ended</w:t>
            </w:r>
          </w:p>
        </w:tc>
        <w:tc>
          <w:tcPr>
            <w:tcW w:w="160" w:type="dxa"/>
            <w:vAlign w:val="bottom"/>
          </w:tcPr>
          <w:p>
            <w:pPr>
              <w:spacing w:after="0"/>
              <w:rPr>
                <w:sz w:val="24"/>
                <w:szCs w:val="24"/>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9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April 27,</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29,</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100"/>
              <w:spacing w:after="0" w:line="194" w:lineRule="exact"/>
              <w:rPr>
                <w:sz w:val="20"/>
                <w:szCs w:val="20"/>
                <w:color w:val="auto"/>
              </w:rPr>
            </w:pPr>
            <w:r>
              <w:rPr>
                <w:rFonts w:ascii="Arial" w:cs="Arial" w:eastAsia="Arial" w:hAnsi="Arial"/>
                <w:sz w:val="17"/>
                <w:szCs w:val="17"/>
                <w:color w:val="auto"/>
              </w:rPr>
              <w:t>April 27,</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4"/>
              <w:spacing w:after="0" w:line="194" w:lineRule="exact"/>
              <w:rPr>
                <w:sz w:val="20"/>
                <w:szCs w:val="20"/>
                <w:color w:val="auto"/>
              </w:rPr>
            </w:pPr>
            <w:r>
              <w:rPr>
                <w:rFonts w:ascii="Arial" w:cs="Arial" w:eastAsia="Arial" w:hAnsi="Arial"/>
                <w:sz w:val="17"/>
                <w:szCs w:val="17"/>
                <w:color w:val="auto"/>
              </w:rPr>
              <w:t>April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2012</w:t>
            </w: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Impairment</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tcPr>
          <w:p>
            <w:pPr>
              <w:spacing w:after="0"/>
              <w:rPr>
                <w:sz w:val="20"/>
                <w:szCs w:val="20"/>
                <w:color w:val="auto"/>
              </w:rPr>
            </w:pPr>
            <w:r>
              <w:rPr>
                <w:rFonts w:ascii="Arial" w:cs="Arial" w:eastAsia="Arial" w:hAnsi="Arial"/>
                <w:sz w:val="17"/>
                <w:szCs w:val="17"/>
                <w:color w:val="auto"/>
              </w:rPr>
              <w:t>Gains on disposition of stores</w:t>
            </w:r>
          </w:p>
        </w:tc>
        <w:tc>
          <w:tcPr>
            <w:tcW w:w="9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(4,133)</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(4,133)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Store closing costs</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gridSpan w:val="2"/>
          </w:tcPr>
          <w:p>
            <w:pPr>
              <w:spacing w:after="0"/>
              <w:rPr>
                <w:sz w:val="20"/>
                <w:szCs w:val="20"/>
                <w:color w:val="auto"/>
              </w:rPr>
            </w:pPr>
            <w:r>
              <w:rPr>
                <w:rFonts w:ascii="Arial" w:cs="Arial" w:eastAsia="Arial" w:hAnsi="Arial"/>
                <w:sz w:val="17"/>
                <w:szCs w:val="17"/>
                <w:color w:val="auto"/>
              </w:rPr>
              <w:t>Total</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(1,958)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During the quarter and nine-month periods ended April 27, 2012, we did not incur any impairment charges, store closing costs or gains on disposition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stores.</w:t>
      </w:r>
    </w:p>
    <w:p>
      <w:pPr>
        <w:spacing w:after="0" w:line="233"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During the quarter ended April 29, 2011, we determined that a leased store was impaired, resulting in an impairment charge of $2,175. This leased store was impaired because of declining operating performance and resulting negative cash flow projections. During the quarter ended April 29, 2011, we sold two closed stores. Additionally, one of our stores was acquired by the State of Florida for road expansion pursuant to eminent domain. These transactions resulted in a net gain of $4,133.</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Interest expense for the third quarter of 2012 was $11,173 as compared to $11,619 in the same period in the prior year. Interest expense for the first nine months of 2012 was $33,333 as compared to $35,163 in the same period in the prior year. Both decreases resulted primarily from lower debt outstanding and lower ongoing fees because of our debt refinancing which was completed in July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4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Provision for income taxes as a percentage of income before income taxes was 32.1% and 22.6%, respectively, in the third quarters of 2012 and 2011. The provision for income taxes as a percentage of income before income taxes was 30.0% and 28.0%, respectively, in the first nine months of 2012 and 2011. The increase in the effective tax rate from the third quarter of 2011 as compared to the third quarter of 2012 resulted primarily from a higher provision for uncertain tax positions than in the prior year. The increase in the effective tax rate from the first nine months of 2011 to the first nine months of 2012 resulted primarily from a higher provision for uncertain tax positions partially offset by employer tax credits.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49" w:lineRule="exact"/>
        <w:rPr>
          <w:sz w:val="20"/>
          <w:szCs w:val="20"/>
          <w:color w:val="auto"/>
        </w:rPr>
      </w:pPr>
    </w:p>
    <w:p>
      <w:pPr>
        <w:jc w:val="both"/>
        <w:ind w:firstLine="310"/>
        <w:spacing w:after="0" w:line="262" w:lineRule="auto"/>
        <w:rPr>
          <w:sz w:val="20"/>
          <w:szCs w:val="20"/>
          <w:color w:val="auto"/>
        </w:rPr>
      </w:pPr>
      <w:r>
        <w:rPr>
          <w:rFonts w:ascii="Arial" w:cs="Arial" w:eastAsia="Arial" w:hAnsi="Arial"/>
          <w:sz w:val="17"/>
          <w:szCs w:val="17"/>
          <w:color w:val="auto"/>
        </w:rPr>
        <w:t>Our primary sources of liquidity are cash generated from our operations and our borrowing capacity under our $500,000 revolving credit facility (the “Revolving Credit Facility”). Our internally generated cash, along with cash on hand at July 29, 2011, our borrowings under our Revolving Credit Facility and proceeds from exercises of share-based compensation awards, were sufficient to finance all of our growth, dividend payments, share repurchases, working capital needs and other cash payment obligations in the first nine months of 2012.</w:t>
      </w:r>
    </w:p>
    <w:p>
      <w:pPr>
        <w:spacing w:after="0" w:line="205"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believe that cash at April 27, 2012, along with cash generated from our operating activities, the borrowing capacity under our Revolving Credit Facility and proceeds from exercises of share-based compensation awards will be sufficient to finance our continuing operations, our continuing expansion plans, our principal payments on our debt, our share repurchase plans and our expected dividend payments for at least the next twelve months and thereafter for the foreseeable future.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Generated from Operations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Our operating activities provided net cash of $141,885 for the first nine months of 2012, which represented an increase from the $89,178 net cash provided during the same period a year ago. This increase reflected lower annual bonus payments made this year for the prior year’s performance and the timing of payments for accounts payable and estimated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Borrowing Capacity and Debt Covenants</w:t>
      </w:r>
    </w:p>
    <w:p>
      <w:pPr>
        <w:spacing w:after="0" w:line="24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Our $750,000 credit facility (the “Credit Facility”) consists of a term loan (aggregate outstanding at April 27, 2012 was $231,250) and our Revolving Credit Facility. At April 27, 2012, we had $318,750 of outstanding borrowings under the Revolving Credit Facility and we had $28,606 of standby letters of credit related to securing reserved claims under workers’ compensation insurance which reduce our borrowing availability under the Revolving Credit Facility. At April 27, 2012, we had $152,644 in borrowing availability under our Revolving Credit Facility. See Note 4 to our Condensed Consolidated Financial Statements for further information on our long-term debt. On May 3, 2012, we made $18,750 in optional principal prepayments under our term loan and paid down $6,250 on the Revolving Credit Facility.</w:t>
      </w:r>
    </w:p>
    <w:p>
      <w:pPr>
        <w:spacing w:after="0" w:line="210"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The Credit Facility contains customary financial covenants, which include maintenance of a maximum consolidated total leverage ratio and a minimum consolidated interest coverage ratio. We presently are and currently expect to remain in compliance with the Credit Facility’s financial covenants.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249"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Capital expenditures (purchase of property and equipment), net of proceeds from insurance recoveries were $56,766 for the first nine months of 2012 as compared to $59,284 during the same period a year ago. Our capital expenditures consisted primarily of costs of new store locations and capital expenditures for maintenance programs. We estimate that our capital expenditures during 2012 will be between $85,000 and $90,000. This estimate includes certain costs related to the acquisition of sites and construction of new stores that have opened or are expected to open during 2012, as well as for acquisition and construction costs for store locations to be opened in future years and capital expenditures for maintenance programs. We intend to fund our capital expenditures with cash flows from operations and borrowings under our Revolving Credit Facility, as necessary.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 Dividends and Proceeds from the Exercise of Share-Based Compensation Awards</w:t>
      </w:r>
    </w:p>
    <w:p>
      <w:pPr>
        <w:spacing w:after="0" w:line="249" w:lineRule="exact"/>
        <w:rPr>
          <w:sz w:val="20"/>
          <w:szCs w:val="20"/>
          <w:color w:val="auto"/>
        </w:rPr>
      </w:pPr>
    </w:p>
    <w:p>
      <w:pPr>
        <w:jc w:val="both"/>
        <w:ind w:firstLine="620"/>
        <w:spacing w:after="0" w:line="308" w:lineRule="auto"/>
        <w:rPr>
          <w:sz w:val="20"/>
          <w:szCs w:val="20"/>
          <w:color w:val="auto"/>
        </w:rPr>
      </w:pPr>
      <w:r>
        <w:rPr>
          <w:rFonts w:ascii="Arial" w:cs="Arial" w:eastAsia="Arial" w:hAnsi="Arial"/>
          <w:sz w:val="15"/>
          <w:szCs w:val="15"/>
          <w:color w:val="auto"/>
        </w:rPr>
        <w:t>Subject to a maximum amount of $65,000, we have been authorized by our Board of Directors to repurchase shares from time to time during 2012 through a combination of open market purchases, privately negotiated acquisitions, accelerated share repurchase transactions and/or other derivative transactions at the discretion of management. Our current criteria for share repurchases are that they be accretive to expected net income per share and are within the limits imposed by our Credit Facility. During the first nine months of 2012, we repurchased 220,400 shares of our common stock in the open market at an aggregate cost of $12,279.</w:t>
      </w:r>
    </w:p>
    <w:p>
      <w:pPr>
        <w:spacing w:after="0" w:line="173" w:lineRule="exact"/>
        <w:rPr>
          <w:sz w:val="20"/>
          <w:szCs w:val="20"/>
          <w:color w:val="auto"/>
        </w:rPr>
      </w:pPr>
    </w:p>
    <w:p>
      <w:pPr>
        <w:jc w:val="both"/>
        <w:ind w:firstLine="620"/>
        <w:spacing w:after="0" w:line="276" w:lineRule="auto"/>
        <w:rPr>
          <w:sz w:val="20"/>
          <w:szCs w:val="20"/>
          <w:color w:val="auto"/>
        </w:rPr>
      </w:pPr>
      <w:r>
        <w:rPr>
          <w:rFonts w:ascii="Arial" w:cs="Arial" w:eastAsia="Arial" w:hAnsi="Arial"/>
          <w:sz w:val="16"/>
          <w:szCs w:val="16"/>
          <w:color w:val="auto"/>
        </w:rPr>
        <w:t>Our Credit Facility imposes restrictions on the amount of dividends we are permitted to pay and the amount of shares we are permitted to repurchase. In April 2012, we amended our Credit Facility to provide more flexibility with regard to the dividends we are permitted to pay as well as the amount of shares we are able to repurchase. Under the amended Credit Facility, if there is no default existing and the total of our availability under our Revolving Credit Facility plus our cash and cash equivalents on hand is at least $100,000 (the “liquidity requirements”), we may declare and pay cash dividends on shares of our common stock if the aggregate amount of dividends paid during any fiscal year is less than 20% of Consolidated EBITDA from continuing operations (as defined in the Credit Facility) (the “20% limitation”) during the immediately preceding fiscal year. In any event, as long as the liquidity requirements are met, dividends may be declared and paid in any fiscal year up to the amount of dividends permitted and paid in the preceding fiscal year without regard to the 20% limitation.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During the first nine months of 2012, we paid dividends of $0.72 per share. During the third quarter of 2012, we declared a dividend of $0.25 per share that was paid on May 7, 2012. Additionally, during the third quarter of 2012, we declared a dividend of $0.40 per share payable on August 6, 2012 to shareholders of record on July 20, 2012.</w:t>
      </w:r>
    </w:p>
    <w:p>
      <w:pPr>
        <w:spacing w:after="0" w:line="202"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During the first nine months of 2012, we received proceeds of $16,729 from the exercise of share-based compensation awards and the corresponding issuance of 605,193 shares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4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We had positive working capital of $11,766 at April 27, 2012 versus negative working capital of $21,188 at July 29, 2011. Working capital increased from July 29, 2011 primarily because of cash generated from operations and proceeds received from share-based compensation exercises partially offset by an increase in current maturities on our term loan, lower retail inventories, the increase in our dividend payable because of the additional $0.40 per share dividend declared and a net decrease in working capital related to the increase in sales of our gift cards. At July 29, 2011, current maturities on our term loan were lower because of an optional prepayment of our required principal payments which were due in 2012. Consistent with prior year, in the fourth quarter of 2012, we made an optional prepayment of our required principal payments which were due in 2013.</w:t>
      </w:r>
    </w:p>
    <w:p>
      <w:pPr>
        <w:spacing w:after="0" w:line="210"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In the restaurant industry, virtually all sales are either for cash or third-party credit or debit card. Like many other restaurant companies, we are able to, and often do, operate with negative working capital. Restaurant inventories purchased through our principal food distributor are on terms of net zero days, while restaurant inventories purchased locally generally are financed from normal trade credit. Because of our retail gift shops, which have a lower product turnover than the restaurant business, we carry larger inventories than many other companies in the restaurant industry. Retail inventories purchased domestically generally are financed from normal trade credit, while imported retail inventories generally are purchased through wire transfers.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Other than various operating leases, we have no other material off-balance sheet arrangements. Refer to the sub-section entitled “Off-Balance Sheet Arrangements” under the section entitled “Liquidity and Capital Resources” presented in the MD&amp;A of our 2011 Form 10-K for additional information regarding our operating leases.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Commitments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There have been no material changes in our material commitments other than in the ordinary course of business since the end of 2011. Refer to the sub-section entitled “Material Commitments” under the section entitled “Liquidity and Capital Resources” presented in the MD&amp;A of our 2011 Form 10-K for additional information regarding our material commitments.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Accounting Pronouncements Adopted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Fair Value Measurement and Disclosure Requirements</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In May 2011, the Financial Accounting Standards Board (“FASB”) issued amended accounting guidance which provides additional guidance on how to determine fair value under existing standards and expands existing disclosure requirements on a prospective basis. The guidance is effective for fiscal years and interim periods beginning after December 15, 2011. The adoption of this accounting guidance in the third quarter of 2012 did not have a significant impact on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Accounting Pronouncements Not Yet Adopted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Presentation of Comprehensive Income</w:t>
      </w:r>
    </w:p>
    <w:p>
      <w:pPr>
        <w:spacing w:after="0" w:line="249" w:lineRule="exact"/>
        <w:rPr>
          <w:sz w:val="20"/>
          <w:szCs w:val="20"/>
          <w:color w:val="auto"/>
        </w:rPr>
      </w:pPr>
    </w:p>
    <w:p>
      <w:pPr>
        <w:jc w:val="both"/>
        <w:ind w:firstLine="620"/>
        <w:spacing w:after="0" w:line="275" w:lineRule="auto"/>
        <w:rPr>
          <w:sz w:val="20"/>
          <w:szCs w:val="20"/>
          <w:color w:val="auto"/>
        </w:rPr>
      </w:pPr>
      <w:r>
        <w:rPr>
          <w:rFonts w:ascii="Arial" w:cs="Arial" w:eastAsia="Arial" w:hAnsi="Arial"/>
          <w:sz w:val="16"/>
          <w:szCs w:val="16"/>
          <w:color w:val="auto"/>
        </w:rPr>
        <w:t>In June 2011, the FASB issued amended accounting guidance which requires companies to present total comprehensive income and its components and the components of net income in either a single continuous statement of comprehensive income or in two consecutive statements reporting net income and comprehensive income. This requirement eliminates the option to present components of comprehensive income as part of the statement of changes in shareholders’ equity. This guidance affects only the presentation of comprehensive income and does not change the components of comprehensive income. In December 2011, the FASB further amended this guidance to indefinitely defer the effective date of the requirement to present reclassification adjustments for each component of accumulated other comprehensive income in both net income and in other comprehensive income on the face of the financial statements. All other provisions of this guidance are effective for fiscal years beginning after December 15, 2011 on a retrospective basis. We do not expect that the adoption of this accounting guidance in the first quarter of 2013 will have a significant impact on our consolidated financial statements.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Disclosures about Offsetting Assets and Liabilities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In December 2011, the FASB issued accounting guidance which requires companies to disclose information about the nature of their rights of setoff and related arrangements associated with their financial instruments and derivative instruments to enable users of financial statements to understand the effect of those arrangements on their financial position. Each company will be required to provide both net and gross information in the notes to its financial statements for relevant assets and liabilities that are eligible for offset. This guidance is effective for fiscal years beginning on or after January 1, 2013 on a retrospective basis. We do not expect that the adoption of this accounting guidance in the first quarter of 2014 will have a significant impact on our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Estimates</w:t>
      </w:r>
    </w:p>
    <w:p>
      <w:pPr>
        <w:spacing w:after="0" w:line="249"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9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Our significant accounting policies are discussed in Note 2 to the Consolidated Financial Statements contained in the 2011 Form 10-K. Judgments and uncertainties affecting the application of those policies may result in materially different amounts being reported under different conditions or using different assumptions.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Critical accounting estimates are those that:</w:t>
      </w:r>
    </w:p>
    <w:p>
      <w:pPr>
        <w:spacing w:after="0" w:line="243" w:lineRule="exact"/>
        <w:rPr>
          <w:sz w:val="20"/>
          <w:szCs w:val="20"/>
          <w:color w:val="auto"/>
        </w:rPr>
      </w:pPr>
    </w:p>
    <w:p>
      <w:pPr>
        <w:ind w:left="940" w:hanging="304"/>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management believes are most important to the accurate portrayal of both our financial condition and operating results and</w:t>
      </w:r>
    </w:p>
    <w:p>
      <w:pPr>
        <w:spacing w:after="0" w:line="21" w:lineRule="exact"/>
        <w:rPr>
          <w:rFonts w:ascii="Arial" w:cs="Arial" w:eastAsia="Arial" w:hAnsi="Arial"/>
          <w:sz w:val="17"/>
          <w:szCs w:val="17"/>
          <w:color w:val="auto"/>
        </w:rPr>
      </w:pPr>
    </w:p>
    <w:p>
      <w:pPr>
        <w:ind w:left="940" w:hanging="304"/>
        <w:spacing w:after="0" w:line="267" w:lineRule="auto"/>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management’s most difficult, subjective or complex judgments, often as a result of the need to make estimates about the effect of matters that are inherently uncertain.</w:t>
      </w:r>
    </w:p>
    <w:p>
      <w:pPr>
        <w:spacing w:after="0" w:line="200"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We consider the following accounting estimates to be most critical in understanding the judgments that are involved in preparing our Consolidated Financial Statements:</w:t>
      </w:r>
    </w:p>
    <w:p>
      <w:pPr>
        <w:spacing w:after="0" w:line="189" w:lineRule="exact"/>
        <w:rPr>
          <w:sz w:val="20"/>
          <w:szCs w:val="20"/>
          <w:color w:val="auto"/>
        </w:rPr>
      </w:pPr>
    </w:p>
    <w:p>
      <w:pPr>
        <w:ind w:left="940" w:hanging="304"/>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Impairment of Long-Lived Assets and Provision for Asset Dispositions</w:t>
      </w:r>
    </w:p>
    <w:p>
      <w:pPr>
        <w:spacing w:after="0" w:line="21" w:lineRule="exact"/>
        <w:rPr>
          <w:rFonts w:ascii="Arial" w:cs="Arial" w:eastAsia="Arial" w:hAnsi="Arial"/>
          <w:sz w:val="17"/>
          <w:szCs w:val="17"/>
          <w:color w:val="auto"/>
        </w:rPr>
      </w:pPr>
    </w:p>
    <w:p>
      <w:pPr>
        <w:ind w:left="940" w:hanging="304"/>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Insurance Reserves</w:t>
      </w:r>
    </w:p>
    <w:p>
      <w:pPr>
        <w:spacing w:after="0" w:line="11" w:lineRule="exact"/>
        <w:rPr>
          <w:rFonts w:ascii="Arial" w:cs="Arial" w:eastAsia="Arial" w:hAnsi="Arial"/>
          <w:sz w:val="17"/>
          <w:szCs w:val="17"/>
          <w:color w:val="auto"/>
        </w:rPr>
      </w:pPr>
    </w:p>
    <w:p>
      <w:pPr>
        <w:ind w:left="940" w:hanging="304"/>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Retail Inventory Valuation</w:t>
      </w:r>
    </w:p>
    <w:p>
      <w:pPr>
        <w:spacing w:after="0" w:line="11" w:lineRule="exact"/>
        <w:rPr>
          <w:rFonts w:ascii="Arial" w:cs="Arial" w:eastAsia="Arial" w:hAnsi="Arial"/>
          <w:sz w:val="17"/>
          <w:szCs w:val="17"/>
          <w:color w:val="auto"/>
        </w:rPr>
      </w:pPr>
    </w:p>
    <w:p>
      <w:pPr>
        <w:ind w:left="940" w:hanging="304"/>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Tax Provision</w:t>
      </w:r>
    </w:p>
    <w:p>
      <w:pPr>
        <w:spacing w:after="0" w:line="11" w:lineRule="exact"/>
        <w:rPr>
          <w:rFonts w:ascii="Arial" w:cs="Arial" w:eastAsia="Arial" w:hAnsi="Arial"/>
          <w:sz w:val="17"/>
          <w:szCs w:val="17"/>
          <w:color w:val="auto"/>
        </w:rPr>
      </w:pPr>
    </w:p>
    <w:p>
      <w:pPr>
        <w:ind w:left="940" w:hanging="304"/>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Share-Based Compensation</w:t>
      </w:r>
    </w:p>
    <w:p>
      <w:pPr>
        <w:spacing w:after="0" w:line="11" w:lineRule="exact"/>
        <w:rPr>
          <w:rFonts w:ascii="Arial" w:cs="Arial" w:eastAsia="Arial" w:hAnsi="Arial"/>
          <w:sz w:val="17"/>
          <w:szCs w:val="17"/>
          <w:color w:val="auto"/>
        </w:rPr>
      </w:pPr>
    </w:p>
    <w:p>
      <w:pPr>
        <w:ind w:left="940" w:hanging="304"/>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Unredeemed Gift Cards</w:t>
      </w:r>
    </w:p>
    <w:p>
      <w:pPr>
        <w:spacing w:after="0" w:line="11" w:lineRule="exact"/>
        <w:rPr>
          <w:rFonts w:ascii="Arial" w:cs="Arial" w:eastAsia="Arial" w:hAnsi="Arial"/>
          <w:sz w:val="17"/>
          <w:szCs w:val="17"/>
          <w:color w:val="auto"/>
        </w:rPr>
      </w:pPr>
    </w:p>
    <w:p>
      <w:pPr>
        <w:ind w:left="940" w:hanging="304"/>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Legal Proceedings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Management has reviewed these critical accounting estimates and related disclosures with the Audit Committee of our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 and Provision for Asset Dispositions</w:t>
      </w:r>
    </w:p>
    <w:p>
      <w:pPr>
        <w:spacing w:after="0" w:line="249" w:lineRule="exact"/>
        <w:rPr>
          <w:sz w:val="20"/>
          <w:szCs w:val="20"/>
          <w:color w:val="auto"/>
        </w:rPr>
      </w:pPr>
    </w:p>
    <w:p>
      <w:pPr>
        <w:jc w:val="both"/>
        <w:ind w:firstLine="620"/>
        <w:spacing w:after="0" w:line="276"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97"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have not made any material changes in our methodology for assessing impairments during the first nine months of 2012 and we do not believe that there is a reasonable likelihood that there will be a material change in the estimates or assumptions used by us in the future to assess impairment on long-lived assets. However, if actual results are not consistent with our estimates and assumptions used in estimating future cash flows and fair values of long-lived assets, we may be exposed to losses that could be material.</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Reserves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self-insure a significant portion of our expected workers’ compensation and general liability insurance programs. We purchase insurance for individual workers’ compensation claims that exceed $250, $500 or $1,000 depending on the state in which the claim originates. We purchase insurance for individual general liability claims that exceed $500.</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The reserves and losses in the actuarial study represent a range of possible outcomes within which no given estimate is more likely than any other estimate. As such, we record the losses at the lower end of that range and discount them to present value using a risk-free interest rate based on projected timing of payments. Beginning in the second quarter of 2011, we began performing limited scope actuarial studies on a quarterly basis to verify and/or modify our reserves.</w:t>
      </w:r>
    </w:p>
    <w:p>
      <w:pPr>
        <w:spacing w:after="0" w:line="210"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A significant portion of our health insurance program is self-insured. For our calendar 2012 and 2011 plans, benefits for any individual (employee or dependents) in the self-insured group health program are limited to not more than $20 in any given plan year, and, in certain cases, to not more than $8 in any given year. We record a liability for the self-insured portion of our group health program for all unpaid claims based upon a loss development analysis derived from actual group health claims payment experience. Beginning in the first quarter of 2012, the fully-insured portion of our health insurance program contains a retrospective feature which could increase or decrease premiums based on actual claims experience.</w:t>
      </w:r>
    </w:p>
    <w:p>
      <w:pPr>
        <w:spacing w:after="0" w:line="206"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nine months of 2012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Inventory Valuation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205"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During the quarters ended April 27, 2012 and April 29, 2011, we performed physical inventory counts in approximately 43% and 61%, respectively, of our stores. Actual shrinkage was recorded for those stores that were counted. An estimate of shrinkage is recorded for the time period between physical inventory counts by using a three-year average of the physical inventories’ results on a store-by-store basis.</w:t>
      </w:r>
    </w:p>
    <w:p>
      <w:pPr>
        <w:spacing w:after="0" w:line="212"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nine months of 2012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Provision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must make estimates of certain items that comprise our income tax provision. These estimates include effective state and local income tax rates, employer tax credits for items such as FICA taxes paid on employee tip income, Work Opportunity and Welfare to Work credits, as well as estimates related to certain depreciation and capitalization policies. Our estimates are made based on current tax laws, the best available information at the time of the provision and historical experience.</w:t>
      </w:r>
    </w:p>
    <w:p>
      <w:pPr>
        <w:spacing w:after="0" w:line="205"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8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14 to our Consolidated Financial Statements contained in the 2011 Form 10-K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Our share-based compensation consists of nonvested stock, performance-based stock units (“PBSUs”) and stock options. Share-based compensation expense is measured at the grant date based on the fair value of the award. We recognize share-based compensation expense on a straight-line basis over the requisite service period, which is generally the award’s vesting period, or the date on which retirement is achieved, if shorter.</w:t>
      </w:r>
    </w:p>
    <w:p>
      <w:pPr>
        <w:spacing w:after="0" w:line="202"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Compensation expense for performance-based awards is recognized when it is probable that the performance criteria will be met. At each reporting period, we reassess the probability of achieving the performance targets and the performance period required to meet those targets. Determining whether the performance targets will be achieved involves judgment and the estimate of expense may be revised periodically based on the probability of achieving the performance targets. Revisions are reflected in the period in which the estimate is changed. If any performance goals are not met, no compensation expense is ultimately recognized and, to the extent previously recognized, compensation expense is reversed.</w:t>
      </w:r>
    </w:p>
    <w:p>
      <w:pPr>
        <w:spacing w:after="0" w:line="206"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If a share-based compensation award is modified after the grant date, incremental compensation expense is recognized in an amount equal to the excess of the fair value of the modified award over the fair value of the original award immediately before the modification. Incremental compensation expense for vested awards is recognized immediately. For unvested awards, the sum of the incremental compensation expense and the remaining unrecognized compensation expense for the original award on the modification date is recognized over the modified service period.</w:t>
      </w:r>
    </w:p>
    <w:p>
      <w:pPr>
        <w:spacing w:after="0" w:line="205"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Our nonvested stock grants generally vest over two to five years. Generally, the fair value of each nonvested stock grant is equal to the market price of our common stock at the date of grant reduced by the present value of expected dividends to be paid prior to the vesting period, discounted using an appropriate risk-free interest rate. Certain nonvested stock grants accrue dividends and their fair value is equal to the market price of our stock at the date of grant.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right="20" w:firstLine="620"/>
        <w:spacing w:after="0" w:line="257" w:lineRule="auto"/>
        <w:rPr>
          <w:sz w:val="20"/>
          <w:szCs w:val="20"/>
          <w:color w:val="auto"/>
        </w:rPr>
      </w:pPr>
      <w:r>
        <w:rPr>
          <w:rFonts w:ascii="Arial" w:cs="Arial" w:eastAsia="Arial" w:hAnsi="Arial"/>
          <w:sz w:val="17"/>
          <w:szCs w:val="17"/>
          <w:color w:val="auto"/>
        </w:rPr>
        <w:t>In 2011, we adopted annual long-term incentive plans that award PBSUs to our executives instead of stock options. Subject to the requisite service being provided and the achievement of a specified level of operating income during the performance period, the PBSUs will be awarded and will vest at the end of the applicable three-year performance period for each annual plan. The number of PBSUs that will ultimately be awarded is based on various performance factors, including a market condition, total shareholder return, which is defined as increases in our stock price plus dividends paid during the performance period. The target number of shares will be awarded if there is no change in shareholder value during the performance period, and the maximum number of shares that may be awarded is 150% of target. The probability of the actual shares expected to be awarded is considered in the grant date valuation; therefore, the expense will not be adjusted to reflect the actual units awarded. If the performance goal is not met, no PBSUs will be awarded and to the extent previously recognized, compensation expense will be reversed.</w:t>
      </w:r>
    </w:p>
    <w:p>
      <w:pPr>
        <w:spacing w:after="0" w:line="210"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The fair value of the PBSUs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183" w:lineRule="exact"/>
        <w:rPr>
          <w:sz w:val="20"/>
          <w:szCs w:val="20"/>
          <w:color w:val="auto"/>
        </w:rPr>
      </w:pPr>
    </w:p>
    <w:p>
      <w:pPr>
        <w:ind w:left="620" w:hanging="307"/>
        <w:spacing w:after="0" w:line="260"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expected volatility is a blend of implied volatility based on market-traded options on our stock and historical volatility of our stock over the period commensurate with the three-year performance period.</w:t>
      </w: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risk-free interest rate is based on the U.S. Treasury rate assumption commensurate with the three-year performance period.</w:t>
      </w:r>
    </w:p>
    <w:p>
      <w:pPr>
        <w:spacing w:after="0" w:line="11" w:lineRule="exact"/>
        <w:rPr>
          <w:rFonts w:ascii="Arial" w:cs="Arial" w:eastAsia="Arial" w:hAnsi="Arial"/>
          <w:sz w:val="17"/>
          <w:szCs w:val="17"/>
          <w:color w:val="auto"/>
        </w:rPr>
      </w:pPr>
    </w:p>
    <w:p>
      <w:pPr>
        <w:ind w:left="620" w:hanging="307"/>
        <w:spacing w:after="0" w:line="267"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expected dividend yield is based on our current dividend yield as the best estimate of projected dividend yield for periods within the three-year performance period.</w:t>
      </w:r>
    </w:p>
    <w:p>
      <w:pPr>
        <w:spacing w:after="0" w:line="200" w:lineRule="exact"/>
        <w:rPr>
          <w:sz w:val="20"/>
          <w:szCs w:val="20"/>
          <w:color w:val="auto"/>
        </w:rPr>
      </w:pPr>
    </w:p>
    <w:p>
      <w:pPr>
        <w:jc w:val="both"/>
        <w:ind w:firstLine="620"/>
        <w:spacing w:after="0" w:line="299" w:lineRule="auto"/>
        <w:rPr>
          <w:sz w:val="20"/>
          <w:szCs w:val="20"/>
          <w:color w:val="auto"/>
        </w:rPr>
      </w:pPr>
      <w:r>
        <w:rPr>
          <w:rFonts w:ascii="Arial" w:cs="Arial" w:eastAsia="Arial" w:hAnsi="Arial"/>
          <w:sz w:val="15"/>
          <w:szCs w:val="15"/>
          <w:color w:val="auto"/>
        </w:rPr>
        <w:t>The fair value of each stock option award granted was estimated on the date of grant using a binomial lattice-based option valuation model. This model incorporates the several key assumptions including expected volatility, risk-free rate of return, expected dividend yield and the option’s expected life. Additionally, we use historical data to estimate option exercise and employee termination, and these assumptions are updated annually. The expected volatility, option exercise and termination assumptions involve management’s best estimates at that time, all of which affect the fair value of the option calculated by the binomial lattice-based option valuation model and, ultimately, the expense that will be recognized over the life of the option. We update the historical and implied components of the expected volatility assumption when new grants are made. The expected life is a by-product of the lattice model and is updated when new grants are made.</w:t>
      </w:r>
    </w:p>
    <w:p>
      <w:pPr>
        <w:spacing w:after="0" w:line="182"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Compensation expense is recognized for only the portion of options that are expected to vest. Therefore, an estimated forfeiture rate derived from historical employee termination behavior, grouped by job classification, is applied against share-based compensation expense. The forfeiture rate is applied on a straight-line basis over the service (vesting) period for each separately vesting portion of the award as if the award were, in-substance, multiple awards. We update the estimated forfeiture rate to actual at each reporting period and adjust compensation expense accordingly so that the amount of compensation expense recognized at any date is at least equal to the portion of the grant-date value of the award that is vested at that date.</w:t>
      </w:r>
    </w:p>
    <w:p>
      <w:pPr>
        <w:spacing w:after="0" w:line="206"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have not made any material changes in our estimates or assumptions used to determine share-based compensation during the first nine months of 2012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Unredeemed Gift Cards</w:t>
      </w:r>
    </w:p>
    <w:p>
      <w:pPr>
        <w:spacing w:after="0" w:line="249"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Unredeemed gift cards represent liabilities related to unearned income and are recorded at their expected redemption value. No revenue is recognized in connection with the point-of-sale transaction when gift cards are sold. For those states that exempt gift cards from their escheat laws, we make estimates of the ultimate unredeemed (“breakage”) gift cards in the period of the original sale and amortize this breakage over the redemption period that other gift cards historically have been redeemed by reducing the liability and recording revenue accordingly. For those states that do not exempt gift cards from their escheat laws, we record breakage in the period that gift cards are remitted to the state and reduce our liability accordingly. Any amounts remitted to states under escheat or similar laws reduce our deferred revenue liability and have no effect on revenue or expense while any amounts that we are permitted to retain are recorded as revenue. Changes in redemption behavior or management’s judgments regarding redemption trends in the future may produce materially different amounts of deferred revenue to be reported.</w:t>
      </w:r>
    </w:p>
    <w:p>
      <w:pPr>
        <w:spacing w:after="0" w:line="210"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We have not made any material changes in the methodology used to record the deferred revenue liability for unredeemed gift cards during the first nine months of 2012 and do not believe there is a reasonable likelihood that there will be material changes in the future estimates or assumptions used to record this liability. However, if actual results are not consistent with our estimates or assumptions, we may be exposed to losses or gains that could be material.</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49"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We are party to various legal and regulatory proceedings and claims incidental to our business in the ordinary course. In the opinion of management, however, based upon information currently available, the ultimate liability with respect to these actions will not materially affect our consolidated results of operations or financial position. We review outstanding claims and proceedings internally and with external counsel as necessary to assess the probability of loss and for the ability to estimate loss. These assessments are re-evaluated each quarter or as new information becomes available to determine whether a reserve should be established or if any existing reserve should be adjusted. The actual cost of resolving a claim or proceeding ultimately may be substantially different from the amount of the recorded reserve. In addition, because it is not permissible under GAAP to establish a litigation reserve until the loss is both probable and estimable, in some cases there may be insufficient time to establish a reserve prior to the actual incurrence of the loss (upon verdict and judgment at trial, for example, or in the case of a quickly negotiated settlement).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49" w:lineRule="exact"/>
        <w:rPr>
          <w:sz w:val="20"/>
          <w:szCs w:val="20"/>
          <w:color w:val="auto"/>
        </w:rPr>
      </w:pPr>
    </w:p>
    <w:p>
      <w:pPr>
        <w:jc w:val="both"/>
        <w:ind w:right="20" w:firstLine="620"/>
        <w:spacing w:after="0" w:line="280" w:lineRule="auto"/>
        <w:rPr>
          <w:sz w:val="20"/>
          <w:szCs w:val="20"/>
          <w:color w:val="auto"/>
        </w:rPr>
      </w:pPr>
      <w:r>
        <w:rPr>
          <w:rFonts w:ascii="Arial" w:cs="Arial" w:eastAsia="Arial" w:hAnsi="Arial"/>
          <w:sz w:val="17"/>
          <w:szCs w:val="17"/>
          <w:color w:val="auto"/>
        </w:rPr>
        <w:t>Part II, Item 7A of the 2011 Form 10-K is incorporated in this item of this Quarterly Report on Form 10-Q by this reference. There have been no material changes in our quantitative and qualitative market risks since July 29, 2011.</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49" w:lineRule="exact"/>
        <w:rPr>
          <w:sz w:val="20"/>
          <w:szCs w:val="20"/>
          <w:color w:val="auto"/>
        </w:rPr>
      </w:pPr>
    </w:p>
    <w:p>
      <w:pPr>
        <w:jc w:val="both"/>
        <w:ind w:right="20" w:firstLine="620"/>
        <w:spacing w:after="0" w:line="260" w:lineRule="auto"/>
        <w:rPr>
          <w:sz w:val="20"/>
          <w:szCs w:val="20"/>
          <w:color w:val="auto"/>
        </w:rPr>
      </w:pPr>
      <w:r>
        <w:rPr>
          <w:rFonts w:ascii="Arial" w:cs="Arial" w:eastAsia="Arial" w:hAnsi="Arial"/>
          <w:sz w:val="17"/>
          <w:szCs w:val="17"/>
          <w:color w:val="auto"/>
        </w:rPr>
        <w:t>Our management, with the participation of our principal executive and principal financial officers, including the Chief Executive Officer and the Chief Financial Officer,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April 27, 2012, our disclosure controls and procedures were effective for the purposes set forth in the definition thereof in Exchange Act Rule 13a-15(e).</w:t>
      </w:r>
    </w:p>
    <w:p>
      <w:pPr>
        <w:spacing w:after="0" w:line="206"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There have been no changes (including corrective actions with regard to significant deficiencies and material weaknesses) during the quarter ended April 27, 2012 in our internal control over financial reporting (as defined in Exchange Act Rule 13a-15(f)) that have materially affected, or are reasonably likely to materially affect, our internal control over financial reporting.</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have been no material changes in the risk factors previously disclosed in “Item 1A. Risk Factors” of our 2011 Form 10-K.</w:t>
      </w:r>
    </w:p>
    <w:p>
      <w:pPr>
        <w:spacing w:after="0" w:line="23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Unregistered Sales of Equity Securities</w:t>
      </w:r>
    </w:p>
    <w:p>
      <w:pPr>
        <w:spacing w:after="0" w:line="243" w:lineRule="exact"/>
        <w:rPr>
          <w:sz w:val="20"/>
          <w:szCs w:val="20"/>
          <w:color w:val="auto"/>
        </w:rPr>
      </w:pPr>
    </w:p>
    <w:p>
      <w:pPr>
        <w:ind w:left="620" w:right="20"/>
        <w:spacing w:after="0" w:line="280" w:lineRule="auto"/>
        <w:rPr>
          <w:sz w:val="20"/>
          <w:szCs w:val="20"/>
          <w:color w:val="auto"/>
        </w:rPr>
      </w:pPr>
      <w:r>
        <w:rPr>
          <w:rFonts w:ascii="Arial" w:cs="Arial" w:eastAsia="Arial" w:hAnsi="Arial"/>
          <w:sz w:val="17"/>
          <w:szCs w:val="17"/>
          <w:color w:val="auto"/>
        </w:rPr>
        <w:t>There were no equity securities sold by the Company during the period covered by this Form 10-Q that were not registered under the Securities Act of 1933, as amended.</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Issuer Purchases of Equity Securities</w:t>
      </w:r>
    </w:p>
    <w:p>
      <w:pPr>
        <w:spacing w:after="0" w:line="243" w:lineRule="exact"/>
        <w:rPr>
          <w:sz w:val="20"/>
          <w:szCs w:val="20"/>
          <w:color w:val="auto"/>
        </w:rPr>
      </w:pPr>
    </w:p>
    <w:p>
      <w:pPr>
        <w:ind w:left="620"/>
        <w:spacing w:after="0" w:line="280" w:lineRule="auto"/>
        <w:rPr>
          <w:sz w:val="20"/>
          <w:szCs w:val="20"/>
          <w:color w:val="auto"/>
        </w:rPr>
      </w:pPr>
      <w:r>
        <w:rPr>
          <w:rFonts w:ascii="Arial" w:cs="Arial" w:eastAsia="Arial" w:hAnsi="Arial"/>
          <w:sz w:val="17"/>
          <w:szCs w:val="17"/>
          <w:color w:val="auto"/>
        </w:rPr>
        <w:t>The following table sets forth information with respect to purchases of shares of the Company’s common stock made during the quarter ended April 27, 2012 by or on behalf of the Company or any “affiliated purchaser,” as defined by Rule 10b-18(a)(3) of the Exchange Act: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Total Number of</w:t>
            </w:r>
          </w:p>
        </w:tc>
        <w:tc>
          <w:tcPr>
            <w:tcW w:w="37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ind w:left="320"/>
              <w:spacing w:after="0"/>
              <w:rPr>
                <w:sz w:val="20"/>
                <w:szCs w:val="20"/>
                <w:color w:val="auto"/>
              </w:rPr>
            </w:pPr>
            <w:r>
              <w:rPr>
                <w:rFonts w:ascii="Arial" w:cs="Arial" w:eastAsia="Arial" w:hAnsi="Arial"/>
                <w:sz w:val="17"/>
                <w:szCs w:val="17"/>
                <w:color w:val="auto"/>
              </w:rPr>
              <w:t>Shares</w:t>
            </w:r>
          </w:p>
        </w:tc>
        <w:tc>
          <w:tcPr>
            <w:tcW w:w="37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Purchased as</w:t>
            </w:r>
          </w:p>
        </w:tc>
        <w:tc>
          <w:tcPr>
            <w:tcW w:w="37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Part of Publicly</w:t>
            </w:r>
          </w:p>
        </w:tc>
        <w:tc>
          <w:tcPr>
            <w:tcW w:w="3760" w:type="dxa"/>
            <w:vAlign w:val="bottom"/>
          </w:tcPr>
          <w:p>
            <w:pPr>
              <w:jc w:val="center"/>
              <w:spacing w:after="0"/>
              <w:rPr>
                <w:sz w:val="20"/>
                <w:szCs w:val="20"/>
                <w:color w:val="auto"/>
              </w:rPr>
            </w:pPr>
            <w:r>
              <w:rPr>
                <w:rFonts w:ascii="Arial" w:cs="Arial" w:eastAsia="Arial" w:hAnsi="Arial"/>
                <w:sz w:val="17"/>
                <w:szCs w:val="17"/>
                <w:color w:val="auto"/>
                <w:w w:val="96"/>
              </w:rPr>
              <w:t>Maximum Number of</w:t>
            </w:r>
          </w:p>
        </w:tc>
      </w:tr>
      <w:tr>
        <w:trPr>
          <w:trHeight w:val="206"/>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color w:val="auto"/>
                <w:w w:val="93"/>
              </w:rPr>
              <w:t>Total Number</w:t>
            </w:r>
          </w:p>
        </w:tc>
        <w:tc>
          <w:tcPr>
            <w:tcW w:w="1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Average Price</w:t>
            </w: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Announced</w:t>
            </w:r>
          </w:p>
        </w:tc>
        <w:tc>
          <w:tcPr>
            <w:tcW w:w="3760" w:type="dxa"/>
            <w:vAlign w:val="bottom"/>
          </w:tcPr>
          <w:p>
            <w:pPr>
              <w:jc w:val="center"/>
              <w:spacing w:after="0"/>
              <w:rPr>
                <w:sz w:val="20"/>
                <w:szCs w:val="20"/>
                <w:color w:val="auto"/>
              </w:rPr>
            </w:pPr>
            <w:r>
              <w:rPr>
                <w:rFonts w:ascii="Arial" w:cs="Arial" w:eastAsia="Arial" w:hAnsi="Arial"/>
                <w:sz w:val="17"/>
                <w:szCs w:val="17"/>
                <w:color w:val="auto"/>
                <w:w w:val="91"/>
              </w:rPr>
              <w:t>Shares that May Yet Be</w:t>
            </w:r>
          </w:p>
        </w:tc>
      </w:tr>
      <w:tr>
        <w:trPr>
          <w:trHeight w:val="206"/>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color w:val="auto"/>
                <w:w w:val="87"/>
              </w:rPr>
              <w:t>of Shares</w:t>
            </w:r>
          </w:p>
        </w:tc>
        <w:tc>
          <w:tcPr>
            <w:tcW w:w="1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Paid Per</w:t>
            </w: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Plans or</w:t>
            </w:r>
          </w:p>
        </w:tc>
        <w:tc>
          <w:tcPr>
            <w:tcW w:w="3760" w:type="dxa"/>
            <w:vAlign w:val="bottom"/>
          </w:tcPr>
          <w:p>
            <w:pPr>
              <w:jc w:val="center"/>
              <w:spacing w:after="0"/>
              <w:rPr>
                <w:sz w:val="20"/>
                <w:szCs w:val="20"/>
                <w:color w:val="auto"/>
              </w:rPr>
            </w:pPr>
            <w:r>
              <w:rPr>
                <w:rFonts w:ascii="Arial" w:cs="Arial" w:eastAsia="Arial" w:hAnsi="Arial"/>
                <w:sz w:val="17"/>
                <w:szCs w:val="17"/>
                <w:color w:val="auto"/>
                <w:w w:val="89"/>
              </w:rPr>
              <w:t>Purchased Under the</w:t>
            </w:r>
          </w:p>
        </w:tc>
      </w:tr>
      <w:tr>
        <w:trPr>
          <w:trHeight w:val="225"/>
        </w:trPr>
        <w:tc>
          <w:tcPr>
            <w:tcW w:w="20" w:type="dxa"/>
            <w:vAlign w:val="bottom"/>
          </w:tcPr>
          <w:p>
            <w:pPr>
              <w:spacing w:after="0"/>
              <w:rPr>
                <w:sz w:val="19"/>
                <w:szCs w:val="19"/>
                <w:color w:val="auto"/>
              </w:rPr>
            </w:pPr>
          </w:p>
        </w:tc>
        <w:tc>
          <w:tcPr>
            <w:tcW w:w="3540" w:type="dxa"/>
            <w:vAlign w:val="bottom"/>
          </w:tcPr>
          <w:p>
            <w:pPr>
              <w:ind w:left="440"/>
              <w:spacing w:after="0"/>
              <w:rPr>
                <w:sz w:val="20"/>
                <w:szCs w:val="20"/>
                <w:color w:val="auto"/>
              </w:rPr>
            </w:pPr>
            <w:r>
              <w:rPr>
                <w:rFonts w:ascii="Arial" w:cs="Arial" w:eastAsia="Arial" w:hAnsi="Arial"/>
                <w:sz w:val="17"/>
                <w:szCs w:val="17"/>
                <w:color w:val="auto"/>
              </w:rPr>
              <w:t>Period</w:t>
            </w:r>
          </w:p>
        </w:tc>
        <w:tc>
          <w:tcPr>
            <w:tcW w:w="10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Purchased</w:t>
            </w:r>
          </w:p>
        </w:tc>
        <w:tc>
          <w:tcPr>
            <w:tcW w:w="1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0"/>
              </w:rPr>
              <w:t>Share (1)</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Programs</w:t>
            </w:r>
          </w:p>
        </w:tc>
        <w:tc>
          <w:tcPr>
            <w:tcW w:w="3760" w:type="dxa"/>
            <w:vAlign w:val="bottom"/>
          </w:tcPr>
          <w:p>
            <w:pPr>
              <w:jc w:val="center"/>
              <w:spacing w:after="0"/>
              <w:rPr>
                <w:sz w:val="20"/>
                <w:szCs w:val="20"/>
                <w:color w:val="auto"/>
              </w:rPr>
            </w:pPr>
            <w:r>
              <w:rPr>
                <w:rFonts w:ascii="Arial" w:cs="Arial" w:eastAsia="Arial" w:hAnsi="Arial"/>
                <w:sz w:val="17"/>
                <w:szCs w:val="17"/>
                <w:color w:val="auto"/>
                <w:w w:val="90"/>
              </w:rPr>
              <w:t>Plans or Programs</w:t>
            </w:r>
          </w:p>
        </w:tc>
      </w:tr>
      <w:tr>
        <w:trPr>
          <w:trHeight w:val="206"/>
        </w:trPr>
        <w:tc>
          <w:tcPr>
            <w:tcW w:w="20" w:type="dxa"/>
            <w:vAlign w:val="bottom"/>
          </w:tcPr>
          <w:p>
            <w:pPr>
              <w:spacing w:after="0"/>
              <w:rPr>
                <w:sz w:val="17"/>
                <w:szCs w:val="17"/>
                <w:color w:val="auto"/>
              </w:rPr>
            </w:pPr>
          </w:p>
        </w:tc>
        <w:tc>
          <w:tcPr>
            <w:tcW w:w="35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1/28/12 – 2/24/12</w:t>
            </w:r>
          </w:p>
        </w:tc>
        <w:tc>
          <w:tcPr>
            <w:tcW w:w="10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Indeterminate (2)</w:t>
            </w:r>
          </w:p>
        </w:tc>
      </w:tr>
      <w:tr>
        <w:trPr>
          <w:trHeight w:val="206"/>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2/25/12 – 3/23/12</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220,400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55.71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220,400</w:t>
            </w:r>
          </w:p>
        </w:tc>
        <w:tc>
          <w:tcPr>
            <w:tcW w:w="3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Indeterminate (2)</w:t>
            </w:r>
          </w:p>
        </w:tc>
      </w:tr>
      <w:tr>
        <w:trPr>
          <w:trHeight w:val="206"/>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3/24/12 – 4/27/12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3760" w:type="dxa"/>
            <w:vAlign w:val="bottom"/>
          </w:tcPr>
          <w:p>
            <w:pPr>
              <w:jc w:val="center"/>
              <w:spacing w:after="0"/>
              <w:rPr>
                <w:sz w:val="20"/>
                <w:szCs w:val="20"/>
                <w:color w:val="auto"/>
              </w:rPr>
            </w:pPr>
            <w:r>
              <w:rPr>
                <w:rFonts w:ascii="Arial" w:cs="Arial" w:eastAsia="Arial" w:hAnsi="Arial"/>
                <w:sz w:val="17"/>
                <w:szCs w:val="17"/>
                <w:color w:val="auto"/>
                <w:w w:val="92"/>
              </w:rPr>
              <w:t>Indeterminate (2)</w:t>
            </w:r>
          </w:p>
        </w:tc>
      </w:tr>
      <w:tr>
        <w:trPr>
          <w:trHeight w:val="206"/>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Total for the quarter</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220,400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55.71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220,400</w:t>
            </w:r>
          </w:p>
        </w:tc>
        <w:tc>
          <w:tcPr>
            <w:tcW w:w="376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Indeterminate (2)</w:t>
            </w:r>
          </w:p>
        </w:tc>
      </w:tr>
    </w:tbl>
    <w:p>
      <w:pPr>
        <w:spacing w:after="0" w:line="220" w:lineRule="exact"/>
        <w:rPr>
          <w:sz w:val="20"/>
          <w:szCs w:val="20"/>
          <w:color w:val="auto"/>
        </w:rPr>
      </w:pPr>
    </w:p>
    <w:p>
      <w:pPr>
        <w:ind w:left="1700" w:hanging="303"/>
        <w:spacing w:after="0"/>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Average price paid per share is calculated on a settlement basis and includes commissions and fees.</w:t>
      </w:r>
    </w:p>
    <w:p>
      <w:pPr>
        <w:spacing w:after="0" w:line="21" w:lineRule="exact"/>
        <w:rPr>
          <w:rFonts w:ascii="Arial" w:cs="Arial" w:eastAsia="Arial" w:hAnsi="Arial"/>
          <w:sz w:val="17"/>
          <w:szCs w:val="17"/>
          <w:color w:val="auto"/>
        </w:rPr>
      </w:pPr>
    </w:p>
    <w:p>
      <w:pPr>
        <w:ind w:left="1700" w:hanging="303"/>
        <w:spacing w:after="0" w:line="267" w:lineRule="auto"/>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Subject to a maximum amount of $65,000, we have been authorized by our Board of Directors, on September 13, 2011, to repurchase shares during 2012. See Note 7 to our Consolidated Financial Statements contained in the 2011 Form 10-K.</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 in Control and Severance Agreements with Certain Named Executive Officers</w:t>
      </w:r>
    </w:p>
    <w:p>
      <w:pPr>
        <w:spacing w:after="0" w:line="243" w:lineRule="exact"/>
        <w:rPr>
          <w:sz w:val="20"/>
          <w:szCs w:val="20"/>
          <w:color w:val="auto"/>
        </w:rPr>
      </w:pPr>
    </w:p>
    <w:p>
      <w:pPr>
        <w:jc w:val="both"/>
        <w:ind w:firstLine="465"/>
        <w:spacing w:after="0" w:line="257" w:lineRule="auto"/>
        <w:rPr>
          <w:sz w:val="20"/>
          <w:szCs w:val="20"/>
          <w:color w:val="auto"/>
        </w:rPr>
      </w:pPr>
      <w:r>
        <w:rPr>
          <w:rFonts w:ascii="Arial" w:cs="Arial" w:eastAsia="Arial" w:hAnsi="Arial"/>
          <w:sz w:val="17"/>
          <w:szCs w:val="17"/>
          <w:color w:val="auto"/>
        </w:rPr>
        <w:t>On May 22, 2012, the Company entered into change in control and severance agreements with the following three named executive officers (as such term is defined by Item 5.02 of Form 8-K): Douglas E. Barber, Edward A. Greene and Lawrence E. Hyatt. Under these agreements, which have a three-year term, these three named executive officers will receive severance benefits of 12-18 months’ base salary, depending on their position, plus one additional week of base salary for each year of service greater than 15 (all up to a maximum total payment of 18 months’ salary), as a result of termination of their employment by the Company other than for “cause” (as defined in the agreements). In addition, if (i) the Company undergoes a change in control (as defined in the agreements) and (ii) the named executive officer is terminated without cause or terminates his/her employment for “good reason” (as defined in the agreements) within two years after such an event, then the named executive officer will receive the following:</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ind w:left="1000" w:hanging="300"/>
        <w:spacing w:after="0" w:line="280"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3.00 (for Douglas E. Barber) or 2.00 (for all other signatory named executive officers) times the sum of (i) their average base salary during the three years prior to termination and (ii) their average bonus payments during the three years prior to termination;</w:t>
      </w:r>
    </w:p>
    <w:p>
      <w:pPr>
        <w:spacing w:after="0" w:line="189" w:lineRule="exact"/>
        <w:rPr>
          <w:rFonts w:ascii="Arial" w:cs="Arial" w:eastAsia="Arial" w:hAnsi="Arial"/>
          <w:sz w:val="17"/>
          <w:szCs w:val="17"/>
          <w:color w:val="auto"/>
        </w:rPr>
      </w:pPr>
    </w:p>
    <w:p>
      <w:pPr>
        <w:ind w:left="1000" w:hanging="300"/>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18 months’ continuation of benefits under COBRA, reimbursed by the Company; and</w:t>
      </w:r>
    </w:p>
    <w:p>
      <w:pPr>
        <w:spacing w:after="0" w:line="243" w:lineRule="exact"/>
        <w:rPr>
          <w:rFonts w:ascii="Arial" w:cs="Arial" w:eastAsia="Arial" w:hAnsi="Arial"/>
          <w:sz w:val="17"/>
          <w:szCs w:val="17"/>
          <w:color w:val="auto"/>
        </w:rPr>
      </w:pPr>
    </w:p>
    <w:p>
      <w:pPr>
        <w:ind w:left="1000" w:hanging="300"/>
        <w:spacing w:after="0" w:line="280"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Acceleration of all unvested equity awards (stock options, stock appreciation rights, restricted stock, restricted stock units, performance shares, market stock units).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None of the applicable officers has a right under these change in control agreements or otherwise to receive any gross-up payment to reimburse such executive officer for any excise tax under Sections 280G and 4999 of the Internal Revenue Code of 1986, as amended. Additionally, these agreements obligate the Company’s named executive officers (i) not to work as an employee or consultant for any "multi-unit restaurant business that offers full service family or casual dining" for a period of one year following the severance event and (ii) not to solicit the employees or customers of the Company for a period of 18 months following the severance event.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Exhibit Index immediately following the signature page hereto.</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200" w:type="dxa"/>
            <w:vAlign w:val="bottom"/>
            <w:gridSpan w:val="4"/>
          </w:tcPr>
          <w:p>
            <w:pPr>
              <w:ind w:left="2260"/>
              <w:spacing w:after="0"/>
              <w:rPr>
                <w:sz w:val="20"/>
                <w:szCs w:val="20"/>
                <w:color w:val="auto"/>
              </w:rPr>
            </w:pPr>
            <w:r>
              <w:rPr>
                <w:rFonts w:ascii="Arial" w:cs="Arial" w:eastAsia="Arial" w:hAnsi="Arial"/>
                <w:sz w:val="17"/>
                <w:szCs w:val="17"/>
                <w:b w:val="1"/>
                <w:bCs w:val="1"/>
                <w:color w:val="auto"/>
              </w:rPr>
              <w:t>CRACKER BARREL OLD COUNTRY STORE, INC.</w:t>
            </w:r>
          </w:p>
        </w:tc>
      </w:tr>
      <w:tr>
        <w:trPr>
          <w:trHeight w:val="376"/>
        </w:trPr>
        <w:tc>
          <w:tcPr>
            <w:tcW w:w="3220" w:type="dxa"/>
            <w:vAlign w:val="bottom"/>
            <w:gridSpan w:val="3"/>
          </w:tcPr>
          <w:p>
            <w:pPr>
              <w:spacing w:after="0"/>
              <w:rPr>
                <w:sz w:val="20"/>
                <w:szCs w:val="20"/>
                <w:color w:val="auto"/>
              </w:rPr>
            </w:pPr>
            <w:r>
              <w:rPr>
                <w:rFonts w:ascii="Arial" w:cs="Arial" w:eastAsia="Arial" w:hAnsi="Arial"/>
                <w:sz w:val="17"/>
                <w:szCs w:val="17"/>
                <w:color w:val="auto"/>
              </w:rPr>
              <w:t>Date: 5/22/12</w:t>
            </w:r>
          </w:p>
        </w:tc>
        <w:tc>
          <w:tcPr>
            <w:tcW w:w="2840" w:type="dxa"/>
            <w:vAlign w:val="bottom"/>
          </w:tcPr>
          <w:p>
            <w:pPr>
              <w:ind w:left="2260"/>
              <w:spacing w:after="0"/>
              <w:rPr>
                <w:sz w:val="20"/>
                <w:szCs w:val="20"/>
                <w:color w:val="auto"/>
              </w:rPr>
            </w:pPr>
            <w:r>
              <w:rPr>
                <w:rFonts w:ascii="Arial" w:cs="Arial" w:eastAsia="Arial" w:hAnsi="Arial"/>
                <w:sz w:val="17"/>
                <w:szCs w:val="17"/>
                <w:color w:val="auto"/>
              </w:rPr>
              <w:t>By:</w:t>
            </w:r>
          </w:p>
        </w:tc>
        <w:tc>
          <w:tcPr>
            <w:tcW w:w="5360" w:type="dxa"/>
            <w:vAlign w:val="bottom"/>
            <w:gridSpan w:val="3"/>
          </w:tcPr>
          <w:p>
            <w:pPr>
              <w:spacing w:after="0"/>
              <w:rPr>
                <w:sz w:val="20"/>
                <w:szCs w:val="20"/>
                <w:color w:val="auto"/>
              </w:rPr>
            </w:pPr>
            <w:r>
              <w:rPr>
                <w:rFonts w:ascii="Arial" w:cs="Arial" w:eastAsia="Arial" w:hAnsi="Arial"/>
                <w:sz w:val="17"/>
                <w:szCs w:val="17"/>
                <w:color w:val="auto"/>
              </w:rPr>
              <w:t>/s/Lawrence E. Hyatt</w:t>
            </w:r>
          </w:p>
        </w:tc>
      </w:tr>
      <w:tr>
        <w:trPr>
          <w:trHeight w:val="20"/>
        </w:trPr>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24"/>
        </w:trPr>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360" w:type="dxa"/>
            <w:vAlign w:val="bottom"/>
            <w:gridSpan w:val="3"/>
          </w:tcPr>
          <w:p>
            <w:pPr>
              <w:spacing w:after="0"/>
              <w:rPr>
                <w:sz w:val="20"/>
                <w:szCs w:val="20"/>
                <w:color w:val="auto"/>
              </w:rPr>
            </w:pPr>
            <w:r>
              <w:rPr>
                <w:rFonts w:ascii="Arial" w:cs="Arial" w:eastAsia="Arial" w:hAnsi="Arial"/>
                <w:sz w:val="17"/>
                <w:szCs w:val="17"/>
                <w:color w:val="auto"/>
              </w:rPr>
              <w:t>Lawrence E. Hyatt, Senior Vice President and Chief Financial Officer</w:t>
            </w:r>
          </w:p>
        </w:tc>
      </w:tr>
      <w:tr>
        <w:trPr>
          <w:trHeight w:val="376"/>
        </w:trPr>
        <w:tc>
          <w:tcPr>
            <w:tcW w:w="3220" w:type="dxa"/>
            <w:vAlign w:val="bottom"/>
            <w:gridSpan w:val="3"/>
          </w:tcPr>
          <w:p>
            <w:pPr>
              <w:spacing w:after="0"/>
              <w:rPr>
                <w:sz w:val="20"/>
                <w:szCs w:val="20"/>
                <w:color w:val="auto"/>
              </w:rPr>
            </w:pPr>
            <w:r>
              <w:rPr>
                <w:rFonts w:ascii="Arial" w:cs="Arial" w:eastAsia="Arial" w:hAnsi="Arial"/>
                <w:sz w:val="17"/>
                <w:szCs w:val="17"/>
                <w:color w:val="auto"/>
              </w:rPr>
              <w:t>Date: 5/22/12</w:t>
            </w:r>
          </w:p>
        </w:tc>
        <w:tc>
          <w:tcPr>
            <w:tcW w:w="2840" w:type="dxa"/>
            <w:vAlign w:val="bottom"/>
          </w:tcPr>
          <w:p>
            <w:pPr>
              <w:ind w:left="2260"/>
              <w:spacing w:after="0"/>
              <w:rPr>
                <w:sz w:val="20"/>
                <w:szCs w:val="20"/>
                <w:color w:val="auto"/>
              </w:rPr>
            </w:pPr>
            <w:r>
              <w:rPr>
                <w:rFonts w:ascii="Arial" w:cs="Arial" w:eastAsia="Arial" w:hAnsi="Arial"/>
                <w:sz w:val="17"/>
                <w:szCs w:val="17"/>
                <w:color w:val="auto"/>
              </w:rPr>
              <w:t>By:</w:t>
            </w:r>
          </w:p>
        </w:tc>
        <w:tc>
          <w:tcPr>
            <w:tcW w:w="5360" w:type="dxa"/>
            <w:vAlign w:val="bottom"/>
            <w:gridSpan w:val="3"/>
          </w:tcPr>
          <w:p>
            <w:pPr>
              <w:spacing w:after="0"/>
              <w:rPr>
                <w:sz w:val="20"/>
                <w:szCs w:val="20"/>
                <w:color w:val="auto"/>
              </w:rPr>
            </w:pPr>
            <w:r>
              <w:rPr>
                <w:rFonts w:ascii="Arial" w:cs="Arial" w:eastAsia="Arial" w:hAnsi="Arial"/>
                <w:sz w:val="17"/>
                <w:szCs w:val="17"/>
                <w:color w:val="auto"/>
              </w:rPr>
              <w:t>/s/P. Douglas Couvillion</w:t>
            </w:r>
          </w:p>
        </w:tc>
      </w:tr>
      <w:tr>
        <w:trPr>
          <w:trHeight w:val="20"/>
        </w:trPr>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13"/>
        </w:trPr>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7"/>
                <w:szCs w:val="17"/>
                <w:color w:val="auto"/>
                <w:w w:val="97"/>
              </w:rPr>
              <w:t>P. Douglas Couvillion, Vice President, Corporate Controller and Principal</w:t>
            </w:r>
          </w:p>
        </w:tc>
      </w:tr>
      <w:tr>
        <w:trPr>
          <w:trHeight w:val="217"/>
        </w:trPr>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360" w:type="dxa"/>
            <w:vAlign w:val="bottom"/>
            <w:gridSpan w:val="3"/>
          </w:tcPr>
          <w:p>
            <w:pPr>
              <w:ind w:left="160"/>
              <w:spacing w:after="0"/>
              <w:rPr>
                <w:sz w:val="20"/>
                <w:szCs w:val="20"/>
                <w:color w:val="auto"/>
              </w:rPr>
            </w:pPr>
            <w:r>
              <w:rPr>
                <w:rFonts w:ascii="Arial" w:cs="Arial" w:eastAsia="Arial" w:hAnsi="Arial"/>
                <w:sz w:val="17"/>
                <w:szCs w:val="17"/>
                <w:color w:val="auto"/>
              </w:rPr>
              <w:t>Accounting Officer</w:t>
            </w:r>
          </w:p>
        </w:tc>
      </w:tr>
      <w:tr>
        <w:trPr>
          <w:trHeight w:val="532"/>
        </w:trPr>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40" w:type="dxa"/>
            <w:vAlign w:val="bottom"/>
          </w:tcPr>
          <w:p>
            <w:pPr>
              <w:jc w:val="right"/>
              <w:ind w:right="198"/>
              <w:spacing w:after="0"/>
              <w:rPr>
                <w:sz w:val="20"/>
                <w:szCs w:val="20"/>
                <w:color w:val="auto"/>
              </w:rPr>
            </w:pPr>
            <w:r>
              <w:rPr>
                <w:rFonts w:ascii="Arial" w:cs="Arial" w:eastAsia="Arial" w:hAnsi="Arial"/>
                <w:sz w:val="14"/>
                <w:szCs w:val="14"/>
                <w:color w:val="auto"/>
              </w:rPr>
              <w:t>38</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98"/>
        </w:trPr>
        <w:tc>
          <w:tcPr>
            <w:tcW w:w="4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284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INDEX TO EXHIBITS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Exhibit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3.1</w:t>
            </w:r>
          </w:p>
        </w:tc>
        <w:tc>
          <w:tcPr>
            <w:tcW w:w="600" w:type="dxa"/>
            <w:vAlign w:val="bottom"/>
            <w:shd w:val="clear" w:color="auto" w:fill="CCEEFF"/>
          </w:tcPr>
          <w:p>
            <w:pPr>
              <w:spacing w:after="0"/>
              <w:rPr>
                <w:sz w:val="16"/>
                <w:szCs w:val="16"/>
                <w:color w:val="auto"/>
              </w:rPr>
            </w:pP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2"/>
              </w:rPr>
              <w:t>Amended and Restated Bylaws of Cracker Barrel Old Country Store, Inc. (incorporated by reference to Exhibit 3.1 to the Company’s Current Report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on Form 8-K filed on February 24, 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3.2</w:t>
            </w:r>
          </w:p>
        </w:tc>
        <w:tc>
          <w:tcPr>
            <w:tcW w:w="600" w:type="dxa"/>
            <w:vAlign w:val="bottom"/>
            <w:shd w:val="clear" w:color="auto" w:fill="CCEEFF"/>
          </w:tcPr>
          <w:p>
            <w:pPr>
              <w:spacing w:after="0"/>
              <w:rPr>
                <w:sz w:val="16"/>
                <w:szCs w:val="16"/>
                <w:color w:val="auto"/>
              </w:rPr>
            </w:pPr>
          </w:p>
        </w:tc>
        <w:tc>
          <w:tcPr>
            <w:tcW w:w="10520" w:type="dxa"/>
            <w:vAlign w:val="bottom"/>
            <w:shd w:val="clear" w:color="auto" w:fill="CCEEFF"/>
          </w:tcPr>
          <w:p>
            <w:pPr>
              <w:ind w:left="260"/>
              <w:spacing w:after="0" w:line="194" w:lineRule="exact"/>
              <w:rPr>
                <w:sz w:val="20"/>
                <w:szCs w:val="20"/>
                <w:color w:val="auto"/>
              </w:rPr>
            </w:pPr>
            <w:r>
              <w:rPr>
                <w:rFonts w:ascii="Arial" w:cs="Arial" w:eastAsia="Arial" w:hAnsi="Arial"/>
                <w:sz w:val="17"/>
                <w:szCs w:val="17"/>
                <w:color w:val="auto"/>
                <w:w w:val="92"/>
              </w:rPr>
              <w:t>Amended and Restated Charter of Cracker Barrel Old Country Store, Inc. (incorporated by reference to Exhibit 3.1 to the Company’s Current Report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on Form 8-K filed on April 10, 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4.1</w:t>
            </w:r>
          </w:p>
        </w:tc>
        <w:tc>
          <w:tcPr>
            <w:tcW w:w="600" w:type="dxa"/>
            <w:vAlign w:val="bottom"/>
            <w:shd w:val="clear" w:color="auto" w:fill="CCEEFF"/>
          </w:tcPr>
          <w:p>
            <w:pPr>
              <w:spacing w:after="0"/>
              <w:rPr>
                <w:sz w:val="16"/>
                <w:szCs w:val="16"/>
                <w:color w:val="auto"/>
              </w:rPr>
            </w:pPr>
          </w:p>
        </w:tc>
        <w:tc>
          <w:tcPr>
            <w:tcW w:w="10520" w:type="dxa"/>
            <w:vAlign w:val="bottom"/>
            <w:shd w:val="clear" w:color="auto" w:fill="CCEEFF"/>
          </w:tcPr>
          <w:p>
            <w:pPr>
              <w:ind w:left="260"/>
              <w:spacing w:after="0" w:line="194" w:lineRule="exact"/>
              <w:rPr>
                <w:sz w:val="20"/>
                <w:szCs w:val="20"/>
                <w:color w:val="auto"/>
              </w:rPr>
            </w:pPr>
            <w:r>
              <w:rPr>
                <w:rFonts w:ascii="Arial" w:cs="Arial" w:eastAsia="Arial" w:hAnsi="Arial"/>
                <w:sz w:val="17"/>
                <w:szCs w:val="17"/>
                <w:color w:val="auto"/>
                <w:w w:val="92"/>
              </w:rPr>
              <w:t>Rights Agreement, dated as of April 9, 2012, between Cracker Barrel Old Country Store, Inc. and American Stock Transfer &amp; Trust Company, LLC,</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5"/>
              </w:rPr>
              <w:t>which includes the Articles of Amendment to the Amended and Restated Charter as Exhibit A, the form of Right Certificate as Exhibit B and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1"/>
              </w:rPr>
              <w:t>Summary of Rights to Purchase Preferred Shares as Exhibit C (incorporated by reference to Exhibit 4.1 to the Company’s Current Report on Form 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K filed on April 10, 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10.1</w:t>
            </w:r>
          </w:p>
        </w:tc>
        <w:tc>
          <w:tcPr>
            <w:tcW w:w="10520" w:type="dxa"/>
            <w:vAlign w:val="bottom"/>
            <w:shd w:val="clear" w:color="auto" w:fill="CCEEFF"/>
          </w:tcPr>
          <w:p>
            <w:pPr>
              <w:ind w:left="260"/>
              <w:spacing w:after="0" w:line="194" w:lineRule="exact"/>
              <w:rPr>
                <w:sz w:val="20"/>
                <w:szCs w:val="20"/>
                <w:color w:val="auto"/>
              </w:rPr>
            </w:pPr>
            <w:r>
              <w:rPr>
                <w:rFonts w:ascii="Arial" w:cs="Arial" w:eastAsia="Arial" w:hAnsi="Arial"/>
                <w:sz w:val="17"/>
                <w:szCs w:val="17"/>
                <w:color w:val="auto"/>
                <w:w w:val="94"/>
              </w:rPr>
              <w:t>First Amendment to Credit Agreement dated as of April 24, 2012 (incorporated by reference to Exhibit 10.1 to the Company’s Current Report on</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Form 8-K filed on April 26, 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8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10.</w:t>
            </w:r>
            <w:r>
              <w:rPr>
                <w:rFonts w:ascii="Arial" w:cs="Arial" w:eastAsia="Arial" w:hAnsi="Arial"/>
                <w:sz w:val="17"/>
                <w:szCs w:val="17"/>
                <w:u w:val="single" w:color="auto"/>
                <w:color w:val="0000EE"/>
              </w:rPr>
              <w:t>2</w:t>
            </w:r>
          </w:p>
        </w:tc>
        <w:tc>
          <w:tcPr>
            <w:tcW w:w="10520" w:type="dxa"/>
            <w:vAlign w:val="bottom"/>
            <w:shd w:val="clear" w:color="auto" w:fill="CCEEFF"/>
          </w:tcPr>
          <w:p>
            <w:pPr>
              <w:ind w:left="260"/>
              <w:spacing w:after="0" w:line="167" w:lineRule="exact"/>
              <w:rPr>
                <w:sz w:val="20"/>
                <w:szCs w:val="20"/>
                <w:color w:val="auto"/>
              </w:rPr>
            </w:pPr>
            <w:r>
              <w:rPr>
                <w:rFonts w:ascii="Arial" w:cs="Arial" w:eastAsia="Arial" w:hAnsi="Arial"/>
                <w:sz w:val="17"/>
                <w:szCs w:val="17"/>
                <w:color w:val="auto"/>
                <w:w w:val="98"/>
              </w:rPr>
              <w:t>Form of Change in Control and Severance Agreement between Cracker Barrel Old Country Store, Inc., and certain of its named executive</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5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w w:val="91"/>
              </w:rPr>
              <w:t>officers. This form of change in control and severance agreement is one of three substantially identical change in control and severance agreements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3"/>
              </w:rPr>
              <w:t>executed by Cracker Barrel Old Country Store, Inc. and its applicable named executive officers on dated May 22, 2012 (and is accompanied by 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520" w:type="dxa"/>
            <w:vAlign w:val="bottom"/>
            <w:shd w:val="clear" w:color="auto" w:fill="CCEEFF"/>
          </w:tcPr>
          <w:p>
            <w:pPr>
              <w:ind w:left="260"/>
              <w:spacing w:after="0" w:line="220" w:lineRule="exact"/>
              <w:rPr>
                <w:sz w:val="20"/>
                <w:szCs w:val="20"/>
                <w:color w:val="auto"/>
              </w:rPr>
            </w:pPr>
            <w:r>
              <w:rPr>
                <w:rFonts w:ascii="Arial" w:cs="Arial" w:eastAsia="Arial" w:hAnsi="Arial"/>
                <w:sz w:val="17"/>
                <w:szCs w:val="17"/>
                <w:color w:val="auto"/>
              </w:rPr>
              <w:t xml:space="preserve">schedule which identifies material details in which each individual agreement differs from the form filed herewith). </w:t>
            </w:r>
            <w:r>
              <w:rPr>
                <w:rFonts w:ascii="Arial" w:cs="Arial" w:eastAsia="Arial" w:hAnsi="Arial"/>
                <w:sz w:val="24"/>
                <w:szCs w:val="24"/>
                <w:color w:val="auto"/>
                <w:vertAlign w:val="superscript"/>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10.</w:t>
            </w:r>
            <w:r>
              <w:rPr>
                <w:rFonts w:ascii="Arial" w:cs="Arial" w:eastAsia="Arial" w:hAnsi="Arial"/>
                <w:sz w:val="17"/>
                <w:szCs w:val="17"/>
                <w:u w:val="single" w:color="auto"/>
                <w:color w:val="0000EE"/>
              </w:rPr>
              <w:t>3</w:t>
            </w:r>
          </w:p>
        </w:tc>
        <w:tc>
          <w:tcPr>
            <w:tcW w:w="10520" w:type="dxa"/>
            <w:vAlign w:val="bottom"/>
            <w:shd w:val="clear" w:color="auto" w:fill="CCEEFF"/>
          </w:tcPr>
          <w:p>
            <w:pPr>
              <w:ind w:left="260"/>
              <w:spacing w:after="0" w:line="168" w:lineRule="exact"/>
              <w:rPr>
                <w:sz w:val="20"/>
                <w:szCs w:val="20"/>
                <w:color w:val="auto"/>
              </w:rPr>
            </w:pPr>
            <w:r>
              <w:rPr>
                <w:rFonts w:ascii="Arial" w:cs="Arial" w:eastAsia="Arial" w:hAnsi="Arial"/>
                <w:sz w:val="14"/>
                <w:szCs w:val="14"/>
                <w:color w:val="auto"/>
              </w:rPr>
              <w:t xml:space="preserve">Schedule identifying material differences among the Change in Control and Severance Agreements. </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(filed herewith)</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52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31.</w:t>
            </w:r>
            <w:r>
              <w:rPr>
                <w:rFonts w:ascii="Arial" w:cs="Arial" w:eastAsia="Arial" w:hAnsi="Arial"/>
                <w:sz w:val="17"/>
                <w:szCs w:val="17"/>
                <w:u w:val="single" w:color="auto"/>
                <w:color w:val="0000EE"/>
              </w:rPr>
              <w:t>1</w:t>
            </w:r>
          </w:p>
        </w:tc>
        <w:tc>
          <w:tcPr>
            <w:tcW w:w="10520" w:type="dxa"/>
            <w:vAlign w:val="bottom"/>
            <w:shd w:val="clear" w:color="auto" w:fill="CCEEFF"/>
          </w:tcPr>
          <w:p>
            <w:pPr>
              <w:ind w:left="260"/>
              <w:spacing w:after="0" w:line="167" w:lineRule="exact"/>
              <w:rPr>
                <w:sz w:val="20"/>
                <w:szCs w:val="20"/>
                <w:color w:val="auto"/>
              </w:rPr>
            </w:pPr>
            <w:r>
              <w:rPr>
                <w:rFonts w:ascii="Arial" w:cs="Arial" w:eastAsia="Arial" w:hAnsi="Arial"/>
                <w:sz w:val="17"/>
                <w:szCs w:val="17"/>
                <w:color w:val="auto"/>
              </w:rPr>
              <w:t>Certification of Chief Executive Officer pursuant to Section 302 of the Sarbanes-Oxley Act of 2002 (filed herewith)</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52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31.</w:t>
            </w:r>
            <w:r>
              <w:rPr>
                <w:rFonts w:ascii="Arial" w:cs="Arial" w:eastAsia="Arial" w:hAnsi="Arial"/>
                <w:sz w:val="17"/>
                <w:szCs w:val="17"/>
                <w:u w:val="single" w:color="auto"/>
                <w:color w:val="0000EE"/>
              </w:rPr>
              <w:t>2</w:t>
            </w:r>
          </w:p>
        </w:tc>
        <w:tc>
          <w:tcPr>
            <w:tcW w:w="10520" w:type="dxa"/>
            <w:vAlign w:val="bottom"/>
            <w:shd w:val="clear" w:color="auto" w:fill="CCEEFF"/>
          </w:tcPr>
          <w:p>
            <w:pPr>
              <w:ind w:left="260"/>
              <w:spacing w:after="0" w:line="167" w:lineRule="exact"/>
              <w:rPr>
                <w:sz w:val="20"/>
                <w:szCs w:val="20"/>
                <w:color w:val="auto"/>
              </w:rPr>
            </w:pPr>
            <w:r>
              <w:rPr>
                <w:rFonts w:ascii="Arial" w:cs="Arial" w:eastAsia="Arial" w:hAnsi="Arial"/>
                <w:sz w:val="17"/>
                <w:szCs w:val="17"/>
                <w:color w:val="auto"/>
              </w:rPr>
              <w:t>Certification of Chief Financial Officer pursuant to Section 302 of the Sarbanes-Oxley Act of 2002 (filed herewith)</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52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32.</w:t>
            </w:r>
            <w:r>
              <w:rPr>
                <w:rFonts w:ascii="Arial" w:cs="Arial" w:eastAsia="Arial" w:hAnsi="Arial"/>
                <w:sz w:val="17"/>
                <w:szCs w:val="17"/>
                <w:u w:val="single" w:color="auto"/>
                <w:color w:val="0000EE"/>
              </w:rPr>
              <w:t>1</w:t>
            </w:r>
          </w:p>
        </w:tc>
        <w:tc>
          <w:tcPr>
            <w:tcW w:w="10520" w:type="dxa"/>
            <w:vAlign w:val="bottom"/>
            <w:shd w:val="clear" w:color="auto" w:fill="CCEEFF"/>
          </w:tcPr>
          <w:p>
            <w:pPr>
              <w:ind w:left="260"/>
              <w:spacing w:after="0" w:line="167" w:lineRule="exact"/>
              <w:rPr>
                <w:sz w:val="20"/>
                <w:szCs w:val="20"/>
                <w:color w:val="auto"/>
              </w:rPr>
            </w:pPr>
            <w:r>
              <w:rPr>
                <w:rFonts w:ascii="Arial" w:cs="Arial" w:eastAsia="Arial" w:hAnsi="Arial"/>
                <w:sz w:val="17"/>
                <w:szCs w:val="17"/>
                <w:color w:val="auto"/>
              </w:rPr>
              <w:t>Certification of Chief Executive Officer pursuant to Section 906 of the Sarbanes-Oxley Act of 2002 (filed herewith)</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52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32.</w:t>
            </w:r>
            <w:r>
              <w:rPr>
                <w:rFonts w:ascii="Arial" w:cs="Arial" w:eastAsia="Arial" w:hAnsi="Arial"/>
                <w:sz w:val="17"/>
                <w:szCs w:val="17"/>
                <w:u w:val="single" w:color="auto"/>
                <w:color w:val="0000EE"/>
              </w:rPr>
              <w:t>2</w:t>
            </w:r>
          </w:p>
        </w:tc>
        <w:tc>
          <w:tcPr>
            <w:tcW w:w="10520" w:type="dxa"/>
            <w:vAlign w:val="bottom"/>
            <w:shd w:val="clear" w:color="auto" w:fill="CCEEFF"/>
          </w:tcPr>
          <w:p>
            <w:pPr>
              <w:ind w:left="260"/>
              <w:spacing w:after="0" w:line="167" w:lineRule="exact"/>
              <w:rPr>
                <w:sz w:val="20"/>
                <w:szCs w:val="20"/>
                <w:color w:val="auto"/>
              </w:rPr>
            </w:pPr>
            <w:r>
              <w:rPr>
                <w:rFonts w:ascii="Arial" w:cs="Arial" w:eastAsia="Arial" w:hAnsi="Arial"/>
                <w:sz w:val="17"/>
                <w:szCs w:val="17"/>
                <w:color w:val="auto"/>
              </w:rPr>
              <w:t>Certification of Chief Financial Officer pursuant to Section 906 of the Sarbanes-Oxley Act of 2002 (filed herewith)</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52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101.INS</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Instance Document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101.SCH</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Schema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101.CAL</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Calculation Linkbase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101.LAB</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Label Linkbase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101.PRE</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Presentation Linkbase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101.DEF</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Definition Linkbase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†Denotes management contract or compensatory plan, contract or arrangement.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7329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10.2</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LEVEL 1</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May 22, 2012</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Change in Control and Severance Agreement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Dear ___________:</w:t>
      </w:r>
    </w:p>
    <w:p>
      <w:pPr>
        <w:spacing w:after="0" w:line="218"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Cracker Barrel Old Country Store, Inc. recognizes the contribution that you have made to Cracker Barrel Old Country Store, Inc. or one of its direct or indirect subsidiaries (collectively, the “</w:t>
      </w:r>
      <w:r>
        <w:rPr>
          <w:rFonts w:ascii="Arial" w:cs="Arial" w:eastAsia="Arial" w:hAnsi="Arial"/>
          <w:sz w:val="16"/>
          <w:szCs w:val="16"/>
          <w:u w:val="single" w:color="auto"/>
          <w:color w:val="auto"/>
        </w:rPr>
        <w:t>Company</w:t>
      </w:r>
      <w:r>
        <w:rPr>
          <w:rFonts w:ascii="Arial" w:cs="Arial" w:eastAsia="Arial" w:hAnsi="Arial"/>
          <w:sz w:val="16"/>
          <w:szCs w:val="16"/>
          <w:color w:val="auto"/>
        </w:rPr>
        <w:t>”) and wishes to ensure your continuing commitment to the Company and its business operations. Accordingly, in exchange for your continuing commitment to the Company, and your energetic focus on continually improving operations, the Company promises you the following benefits if your employment with the Company is terminated in certain circumstances:</w:t>
      </w:r>
    </w:p>
    <w:p>
      <w:pPr>
        <w:spacing w:after="0" w:line="184" w:lineRule="exact"/>
        <w:rPr>
          <w:sz w:val="20"/>
          <w:szCs w:val="20"/>
          <w:color w:val="auto"/>
        </w:rPr>
      </w:pPr>
    </w:p>
    <w:p>
      <w:pPr>
        <w:ind w:firstLine="3"/>
        <w:spacing w:after="0" w:line="287" w:lineRule="auto"/>
        <w:tabs>
          <w:tab w:leader="none" w:pos="701"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 As used in this Agreement, the following terms have the following meanings which are equally applicable to both the singular and plural</w:t>
      </w:r>
      <w:r>
        <w:rPr>
          <w:rFonts w:ascii="Arial" w:cs="Arial" w:eastAsia="Arial" w:hAnsi="Arial"/>
          <w:sz w:val="17"/>
          <w:szCs w:val="17"/>
          <w:b w:val="1"/>
          <w:bCs w:val="1"/>
          <w:color w:val="auto"/>
        </w:rPr>
        <w:t xml:space="preserve"> </w:t>
      </w:r>
      <w:r>
        <w:rPr>
          <w:rFonts w:ascii="Arial" w:cs="Arial" w:eastAsia="Arial" w:hAnsi="Arial"/>
          <w:sz w:val="17"/>
          <w:szCs w:val="17"/>
          <w:color w:val="auto"/>
        </w:rPr>
        <w:t>forms of the terms defined:</w:t>
      </w:r>
    </w:p>
    <w:p>
      <w:pPr>
        <w:spacing w:after="0" w:line="178" w:lineRule="exact"/>
        <w:rPr>
          <w:sz w:val="20"/>
          <w:szCs w:val="20"/>
          <w:color w:val="auto"/>
        </w:rPr>
      </w:pPr>
    </w:p>
    <w:p>
      <w:pPr>
        <w:jc w:val="both"/>
        <w:ind w:firstLine="620"/>
        <w:spacing w:after="0" w:line="264" w:lineRule="auto"/>
        <w:rPr>
          <w:sz w:val="20"/>
          <w:szCs w:val="20"/>
          <w:color w:val="auto"/>
        </w:rPr>
      </w:pPr>
      <w:r>
        <w:rPr>
          <w:rFonts w:ascii="Arial" w:cs="Arial" w:eastAsia="Arial" w:hAnsi="Arial"/>
          <w:sz w:val="17"/>
          <w:szCs w:val="17"/>
          <w:b w:val="1"/>
          <w:bCs w:val="1"/>
          <w:color w:val="auto"/>
        </w:rPr>
        <w:t>1.1 “</w:t>
      </w:r>
      <w:r>
        <w:rPr>
          <w:rFonts w:ascii="Arial" w:cs="Arial" w:eastAsia="Arial" w:hAnsi="Arial"/>
          <w:sz w:val="17"/>
          <w:szCs w:val="17"/>
          <w:b w:val="1"/>
          <w:bCs w:val="1"/>
          <w:u w:val="single" w:color="auto"/>
          <w:color w:val="auto"/>
        </w:rPr>
        <w:t>Accrued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means, as of the Termination Date, the sum of (A) your then-current base salary (disregarding any reduction constituting</w:t>
      </w:r>
      <w:r>
        <w:rPr>
          <w:rFonts w:ascii="Arial" w:cs="Arial" w:eastAsia="Arial" w:hAnsi="Arial"/>
          <w:sz w:val="17"/>
          <w:szCs w:val="17"/>
          <w:b w:val="1"/>
          <w:bCs w:val="1"/>
          <w:color w:val="auto"/>
        </w:rPr>
        <w:t xml:space="preserve"> </w:t>
      </w:r>
      <w:r>
        <w:rPr>
          <w:rFonts w:ascii="Arial" w:cs="Arial" w:eastAsia="Arial" w:hAnsi="Arial"/>
          <w:sz w:val="17"/>
          <w:szCs w:val="17"/>
          <w:color w:val="auto"/>
        </w:rPr>
        <w:t>Good Reason) through the Termination Date to the extent not theretofore paid by the Company, (B) your accrued benefits under any employee benefit plan, policy or arrangement maintained by the Company, and (C) any expense reimbursements accrued by you as of the Termination Date to the extent not theretofore paid by the Company.</w:t>
      </w:r>
    </w:p>
    <w:p>
      <w:pPr>
        <w:spacing w:after="0" w:line="19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u w:val="single" w:color="auto"/>
          <w:color w:val="auto"/>
        </w:rPr>
        <w:t>Cause</w:t>
      </w:r>
      <w:r>
        <w:rPr>
          <w:rFonts w:ascii="Arial" w:cs="Arial" w:eastAsia="Arial" w:hAnsi="Arial"/>
          <w:sz w:val="15"/>
          <w:szCs w:val="15"/>
          <w:color w:val="auto"/>
        </w:rPr>
        <w:t>” means any one of the following:</w:t>
      </w:r>
    </w:p>
    <w:p>
      <w:pPr>
        <w:spacing w:after="0" w:line="249" w:lineRule="exact"/>
        <w:rPr>
          <w:sz w:val="20"/>
          <w:szCs w:val="20"/>
          <w:color w:val="auto"/>
        </w:rPr>
      </w:pPr>
    </w:p>
    <w:p>
      <w:pPr>
        <w:ind w:left="2640" w:hanging="469"/>
        <w:spacing w:after="0"/>
        <w:tabs>
          <w:tab w:leader="none" w:pos="2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personal dishonesty or willful misconduct in connection with any material aspect of your duties to the Company;</w:t>
      </w:r>
    </w:p>
    <w:p>
      <w:pPr>
        <w:spacing w:after="0" w:line="21" w:lineRule="exact"/>
        <w:rPr>
          <w:rFonts w:ascii="Arial" w:cs="Arial" w:eastAsia="Arial" w:hAnsi="Arial"/>
          <w:sz w:val="17"/>
          <w:szCs w:val="17"/>
          <w:color w:val="auto"/>
        </w:rPr>
      </w:pPr>
    </w:p>
    <w:p>
      <w:pPr>
        <w:ind w:left="2640" w:hanging="469"/>
        <w:spacing w:after="0"/>
        <w:tabs>
          <w:tab w:leader="none" w:pos="2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breach of fiduciary duty;</w:t>
      </w:r>
    </w:p>
    <w:p>
      <w:pPr>
        <w:spacing w:after="0" w:line="11" w:lineRule="exact"/>
        <w:rPr>
          <w:rFonts w:ascii="Arial" w:cs="Arial" w:eastAsia="Arial" w:hAnsi="Arial"/>
          <w:sz w:val="17"/>
          <w:szCs w:val="17"/>
          <w:color w:val="auto"/>
        </w:rPr>
      </w:pPr>
    </w:p>
    <w:p>
      <w:pPr>
        <w:ind w:left="2640" w:hanging="469"/>
        <w:spacing w:after="0"/>
        <w:tabs>
          <w:tab w:leader="none" w:pos="2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your conviction for, or your pleading guilty or no contest to, any felony or crime involving moral turpitude; or</w:t>
      </w:r>
    </w:p>
    <w:p>
      <w:pPr>
        <w:spacing w:after="0" w:line="11" w:lineRule="exact"/>
        <w:rPr>
          <w:rFonts w:ascii="Arial" w:cs="Arial" w:eastAsia="Arial" w:hAnsi="Arial"/>
          <w:sz w:val="17"/>
          <w:szCs w:val="17"/>
          <w:color w:val="auto"/>
        </w:rPr>
      </w:pPr>
    </w:p>
    <w:p>
      <w:pPr>
        <w:ind w:left="2640" w:hanging="469"/>
        <w:spacing w:after="0" w:line="267" w:lineRule="auto"/>
        <w:tabs>
          <w:tab w:leader="none" w:pos="2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your willful or intentional misconduct that causes (or is reasonably believed by the Company to have caused) material and demonstrable injury, monetarily or otherwise, to the Company;</w:t>
      </w:r>
    </w:p>
    <w:p>
      <w:pPr>
        <w:spacing w:after="0" w:line="19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u w:val="single" w:color="auto"/>
          <w:color w:val="auto"/>
        </w:rPr>
        <w:t>Change in Control</w:t>
      </w:r>
      <w:r>
        <w:rPr>
          <w:rFonts w:ascii="Arial" w:cs="Arial" w:eastAsia="Arial" w:hAnsi="Arial"/>
          <w:sz w:val="15"/>
          <w:szCs w:val="15"/>
          <w:color w:val="auto"/>
        </w:rPr>
        <w:t>” means the occurrence of any of the following events:</w:t>
      </w:r>
    </w:p>
    <w:p>
      <w:pPr>
        <w:spacing w:after="0" w:line="249" w:lineRule="exact"/>
        <w:rPr>
          <w:sz w:val="20"/>
          <w:szCs w:val="20"/>
          <w:color w:val="auto"/>
        </w:rPr>
      </w:pPr>
    </w:p>
    <w:p>
      <w:pPr>
        <w:jc w:val="both"/>
        <w:ind w:firstLine="3"/>
        <w:spacing w:after="0" w:line="308" w:lineRule="auto"/>
        <w:tabs>
          <w:tab w:leader="none" w:pos="6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 acquisition of any shares of stock of the Company by any “</w:t>
      </w:r>
      <w:r>
        <w:rPr>
          <w:rFonts w:ascii="Arial" w:cs="Arial" w:eastAsia="Arial" w:hAnsi="Arial"/>
          <w:sz w:val="15"/>
          <w:szCs w:val="15"/>
          <w:u w:val="single" w:color="auto"/>
          <w:color w:val="auto"/>
        </w:rPr>
        <w:t>Person</w:t>
      </w:r>
      <w:r>
        <w:rPr>
          <w:rFonts w:ascii="Arial" w:cs="Arial" w:eastAsia="Arial" w:hAnsi="Arial"/>
          <w:sz w:val="15"/>
          <w:szCs w:val="15"/>
          <w:color w:val="auto"/>
        </w:rPr>
        <w:t>” (as the term “person” is used for purposes of Section 13(d) or 14(d) of the Securities Exchange Act of 1934, as amended (the “</w:t>
      </w:r>
      <w:r>
        <w:rPr>
          <w:rFonts w:ascii="Arial" w:cs="Arial" w:eastAsia="Arial" w:hAnsi="Arial"/>
          <w:sz w:val="15"/>
          <w:szCs w:val="15"/>
          <w:u w:val="single" w:color="auto"/>
          <w:color w:val="auto"/>
        </w:rPr>
        <w:t>1934 Act</w:t>
      </w:r>
      <w:r>
        <w:rPr>
          <w:rFonts w:ascii="Arial" w:cs="Arial" w:eastAsia="Arial" w:hAnsi="Arial"/>
          <w:sz w:val="15"/>
          <w:szCs w:val="15"/>
          <w:color w:val="auto"/>
        </w:rPr>
        <w:t>”)), other than the Company or a wholly-owned subsidiary thereof or any employee benefit plan (or related trust) of the Company or any of its subsidiaries, immediately after which such Person has “</w:t>
      </w:r>
      <w:r>
        <w:rPr>
          <w:rFonts w:ascii="Arial" w:cs="Arial" w:eastAsia="Arial" w:hAnsi="Arial"/>
          <w:sz w:val="15"/>
          <w:szCs w:val="15"/>
          <w:u w:val="single" w:color="auto"/>
          <w:color w:val="auto"/>
        </w:rPr>
        <w:t>Beneficial Ownership</w:t>
      </w:r>
      <w:r>
        <w:rPr>
          <w:rFonts w:ascii="Arial" w:cs="Arial" w:eastAsia="Arial" w:hAnsi="Arial"/>
          <w:sz w:val="15"/>
          <w:szCs w:val="15"/>
          <w:color w:val="auto"/>
        </w:rPr>
        <w:t>” (within the meaning of Rule 13d-3 promulgated under the 1934 Act) of 30% or more of the then outstanding voting securities or the combined voting power of the Company’s then outstanding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361315</wp:posOffset>
            </wp:positionV>
            <wp:extent cx="725741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76" w:right="239" w:bottom="1440" w:gutter="0" w:footer="0" w:header="0"/>
        </w:sectPr>
      </w:pPr>
    </w:p>
    <w:bookmarkStart w:id="40" w:name="page41"/>
    <w:bookmarkEnd w:id="40"/>
    <w:p>
      <w:pPr>
        <w:jc w:val="both"/>
        <w:ind w:firstLine="3"/>
        <w:spacing w:after="0" w:line="299" w:lineRule="auto"/>
        <w:tabs>
          <w:tab w:leader="none" w:pos="812"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individuals who, as of the Effective Date, are members of the Board (the “</w:t>
      </w:r>
      <w:r>
        <w:rPr>
          <w:rFonts w:ascii="Arial" w:cs="Arial" w:eastAsia="Arial" w:hAnsi="Arial"/>
          <w:sz w:val="15"/>
          <w:szCs w:val="15"/>
          <w:u w:val="single" w:color="auto"/>
          <w:color w:val="auto"/>
        </w:rPr>
        <w:t>Incumbent Board</w:t>
      </w:r>
      <w:r>
        <w:rPr>
          <w:rFonts w:ascii="Arial" w:cs="Arial" w:eastAsia="Arial" w:hAnsi="Arial"/>
          <w:sz w:val="15"/>
          <w:szCs w:val="15"/>
          <w:color w:val="auto"/>
        </w:rPr>
        <w:t xml:space="preserve">”) cease for any reason to constitute a majority of the Board;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the election, or the nomination for election by the Company’s shareholders, of any new director was approved by a vote of at least 2/3 of the Incumbent Board, such new director shall, for purposes of this Agreement, be considered as a member of the Incumbent Board; </w:t>
      </w:r>
      <w:r>
        <w:rPr>
          <w:rFonts w:ascii="Arial" w:cs="Arial" w:eastAsia="Arial" w:hAnsi="Arial"/>
          <w:sz w:val="15"/>
          <w:szCs w:val="15"/>
          <w:i w:val="1"/>
          <w:iCs w:val="1"/>
          <w:color w:val="auto"/>
        </w:rPr>
        <w:t>provided further, however</w:t>
      </w:r>
      <w:r>
        <w:rPr>
          <w:rFonts w:ascii="Arial" w:cs="Arial" w:eastAsia="Arial" w:hAnsi="Arial"/>
          <w:sz w:val="15"/>
          <w:szCs w:val="15"/>
          <w:color w:val="auto"/>
        </w:rPr>
        <w:t>, that no individual shall be considered a member of the Incumbent Board if such individual initially assumed office as a result of either an actual or threatened “</w:t>
      </w:r>
      <w:r>
        <w:rPr>
          <w:rFonts w:ascii="Arial" w:cs="Arial" w:eastAsia="Arial" w:hAnsi="Arial"/>
          <w:sz w:val="15"/>
          <w:szCs w:val="15"/>
          <w:u w:val="single" w:color="auto"/>
          <w:color w:val="auto"/>
        </w:rPr>
        <w:t>Election Contest</w:t>
      </w:r>
      <w:r>
        <w:rPr>
          <w:rFonts w:ascii="Arial" w:cs="Arial" w:eastAsia="Arial" w:hAnsi="Arial"/>
          <w:sz w:val="15"/>
          <w:szCs w:val="15"/>
          <w:color w:val="auto"/>
        </w:rPr>
        <w:t>” (as described in Rule 14a-11 promulgated under the 1934 Act) or other actual or threatened solicitation of proxies or consents by or on behalf of a person other than the Board (a “</w:t>
      </w:r>
      <w:r>
        <w:rPr>
          <w:rFonts w:ascii="Arial" w:cs="Arial" w:eastAsia="Arial" w:hAnsi="Arial"/>
          <w:sz w:val="15"/>
          <w:szCs w:val="15"/>
          <w:u w:val="single" w:color="auto"/>
          <w:color w:val="auto"/>
        </w:rPr>
        <w:t>Proxy Contest</w:t>
      </w:r>
      <w:r>
        <w:rPr>
          <w:rFonts w:ascii="Arial" w:cs="Arial" w:eastAsia="Arial" w:hAnsi="Arial"/>
          <w:sz w:val="15"/>
          <w:szCs w:val="15"/>
          <w:color w:val="auto"/>
        </w:rPr>
        <w:t>”) including by reason of any agreement intended to avoid or settle any Election Contest or Proxy Contest;</w:t>
      </w:r>
    </w:p>
    <w:p>
      <w:pPr>
        <w:spacing w:after="0" w:line="181" w:lineRule="exact"/>
        <w:rPr>
          <w:rFonts w:ascii="Arial" w:cs="Arial" w:eastAsia="Arial" w:hAnsi="Arial"/>
          <w:sz w:val="15"/>
          <w:szCs w:val="15"/>
          <w:color w:val="auto"/>
        </w:rPr>
      </w:pPr>
    </w:p>
    <w:p>
      <w:pPr>
        <w:jc w:val="both"/>
        <w:ind w:firstLine="3"/>
        <w:spacing w:after="0" w:line="272" w:lineRule="auto"/>
        <w:tabs>
          <w:tab w:leader="none" w:pos="721"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Consummation of reorganization, merger, cash tender or exchange offer, or other business combination to which the Company is a party or a sale or other disposition of all or substantially all of the assets of the Company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unless, following such Business Combination: (1) all or substantially all of the individuals and entities who were the beneficial owners of the Company’s outstanding voting securities immediately prior to such Business Combination are the beneficial owners, directly or indirectly, of more than fifty percent (50%) of the combined voting power of the outstanding voting securities of the corporation resulting from the Business Combination (including, without limitation, a corporation which as a result of such transaction owns the Company or all or substantially all of the Company’s assets either directly or through one or more subsidiaries)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in substantially the same proportions as their ownership of the outstanding voting securities of the Company immediately prior to such Business Combination; (2) no person (excluding any Successor Entity or any employee benefit plan or related trust of the Company, such Successor Entity, or any of their affiliates) is the beneficial owner, directly or indirectly, of thirty percent (30%) or more of the combined voting power of the then outstanding voting securities entitled to vote generally in the election of directors of the Successor Entity, except to the extent that such ownership existed prior to the Business Combination; and (3) the individuals who were members of the Incumbent Board (excluding, for the avoidance of doubt, any person who would not be considered a member of the Incumbent Board pursuant to Section 1.3(b) above) immediately prior to the execution of the initial agreement, or to the action of the Board, providing for such Business Combination constitute at least a majority of the members of the board of directors of the Successor Entity; or</w:t>
      </w:r>
    </w:p>
    <w:p>
      <w:pPr>
        <w:spacing w:after="0" w:line="205" w:lineRule="exact"/>
        <w:rPr>
          <w:rFonts w:ascii="Arial" w:cs="Arial" w:eastAsia="Arial" w:hAnsi="Arial"/>
          <w:sz w:val="16"/>
          <w:szCs w:val="16"/>
          <w:color w:val="auto"/>
        </w:rPr>
      </w:pPr>
    </w:p>
    <w:p>
      <w:pPr>
        <w:ind w:left="660" w:hanging="657"/>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Approval by the shareholders of the Company of a complete liquidation or dissolution of the Company.</w:t>
      </w:r>
    </w:p>
    <w:p>
      <w:pPr>
        <w:spacing w:after="0" w:line="23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Change in Control Period</w:t>
      </w:r>
      <w:r>
        <w:rPr>
          <w:rFonts w:ascii="Arial" w:cs="Arial" w:eastAsia="Arial" w:hAnsi="Arial"/>
          <w:sz w:val="15"/>
          <w:szCs w:val="15"/>
          <w:b w:val="1"/>
          <w:bCs w:val="1"/>
          <w:color w:val="auto"/>
        </w:rPr>
        <w:t xml:space="preserve">” </w:t>
      </w:r>
      <w:r>
        <w:rPr>
          <w:rFonts w:ascii="Arial" w:cs="Arial" w:eastAsia="Arial" w:hAnsi="Arial"/>
          <w:sz w:val="15"/>
          <w:szCs w:val="15"/>
          <w:color w:val="auto"/>
        </w:rPr>
        <w:t>means the two year period beginning the day a Change in Control occurs.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1" w:name="page42"/>
    <w:bookmarkEnd w:id="41"/>
    <w:p>
      <w:pPr>
        <w:spacing w:after="0"/>
        <w:tabs>
          <w:tab w:leader="none" w:pos="68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Effective Date</w:t>
      </w:r>
      <w:r>
        <w:rPr>
          <w:rFonts w:ascii="Arial" w:cs="Arial" w:eastAsia="Arial" w:hAnsi="Arial"/>
          <w:sz w:val="15"/>
          <w:szCs w:val="15"/>
          <w:b w:val="1"/>
          <w:bCs w:val="1"/>
          <w:color w:val="auto"/>
        </w:rPr>
        <w:t xml:space="preserve">” </w:t>
      </w:r>
      <w:r>
        <w:rPr>
          <w:rFonts w:ascii="Arial" w:cs="Arial" w:eastAsia="Arial" w:hAnsi="Arial"/>
          <w:sz w:val="15"/>
          <w:szCs w:val="15"/>
          <w:color w:val="auto"/>
        </w:rPr>
        <w:t>means the date first written above.</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color w:val="auto"/>
        </w:rPr>
        <w:t>1.6 “</w:t>
      </w:r>
      <w:r>
        <w:rPr>
          <w:rFonts w:ascii="Arial" w:cs="Arial" w:eastAsia="Arial" w:hAnsi="Arial"/>
          <w:sz w:val="16"/>
          <w:szCs w:val="16"/>
          <w:b w:val="1"/>
          <w:bCs w:val="1"/>
          <w:u w:val="single" w:color="auto"/>
          <w:color w:val="auto"/>
        </w:rPr>
        <w:t>Good Reason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if you resign from your employment with the Company in connection with one or more of the following events: (i) a</w:t>
      </w:r>
      <w:r>
        <w:rPr>
          <w:rFonts w:ascii="Arial" w:cs="Arial" w:eastAsia="Arial" w:hAnsi="Arial"/>
          <w:sz w:val="16"/>
          <w:szCs w:val="16"/>
          <w:b w:val="1"/>
          <w:bCs w:val="1"/>
          <w:color w:val="auto"/>
        </w:rPr>
        <w:t xml:space="preserve"> </w:t>
      </w:r>
      <w:r>
        <w:rPr>
          <w:rFonts w:ascii="Arial" w:cs="Arial" w:eastAsia="Arial" w:hAnsi="Arial"/>
          <w:sz w:val="16"/>
          <w:szCs w:val="16"/>
          <w:color w:val="auto"/>
        </w:rPr>
        <w:t>reduction of 5% or more of your base salary; (ii) a reduction of 5 percentage points or more of your annual target bonus opportunity (expressed as a percentage of base salary); (iii) a material adverse change in the aggregate level of other employee benefits to which you were entitled prior to the change (other than those changes precipitated by a material change in applicable law, including the Patient Protection and Affordable Care Act), (iv) a material change in your duties and responsibilities for the Company (without your consent) from those duties and responsibilities for the Company in effect prior to such change, which change results in the assignment of duties and responsibilities inferior to your duties and responsibilities prior to such change, or (v) a requirement by the Company that you relocate to a location that is greater than 50 miles from the location of the office in which you primarily perform your duties of employment at the time of such relocation (collectively, a “</w:t>
      </w:r>
      <w:r>
        <w:rPr>
          <w:rFonts w:ascii="Arial" w:cs="Arial" w:eastAsia="Arial" w:hAnsi="Arial"/>
          <w:sz w:val="16"/>
          <w:szCs w:val="16"/>
          <w:u w:val="single" w:color="auto"/>
          <w:color w:val="auto"/>
        </w:rPr>
        <w:t>Good Reason Event</w:t>
      </w:r>
      <w:r>
        <w:rPr>
          <w:rFonts w:ascii="Arial" w:cs="Arial" w:eastAsia="Arial" w:hAnsi="Arial"/>
          <w:sz w:val="16"/>
          <w:szCs w:val="16"/>
          <w:color w:val="auto"/>
        </w:rPr>
        <w:t>”). You must provide written notice of your resignation for Good Reason to the Company within 45 days of the occurrence of any Good Reason Event in order for your resignation for Good Reason to be effective hereunder. Upon receipt of such notice, the Company shall have 30 days (the “</w:t>
      </w:r>
      <w:r>
        <w:rPr>
          <w:rFonts w:ascii="Arial" w:cs="Arial" w:eastAsia="Arial" w:hAnsi="Arial"/>
          <w:sz w:val="16"/>
          <w:szCs w:val="16"/>
          <w:u w:val="single" w:color="auto"/>
          <w:color w:val="auto"/>
        </w:rPr>
        <w:t>Cure Period</w:t>
      </w:r>
      <w:r>
        <w:rPr>
          <w:rFonts w:ascii="Arial" w:cs="Arial" w:eastAsia="Arial" w:hAnsi="Arial"/>
          <w:sz w:val="16"/>
          <w:szCs w:val="16"/>
          <w:color w:val="auto"/>
        </w:rPr>
        <w:t>”) to rectify the Good Reason Event. If the Company fails to rectify the Good Reason Event prior to the expiration of the Cure Period, then you may terminate employment within 10 days following the expiration of the Cure Period (the “</w:t>
      </w:r>
      <w:r>
        <w:rPr>
          <w:rFonts w:ascii="Arial" w:cs="Arial" w:eastAsia="Arial" w:hAnsi="Arial"/>
          <w:sz w:val="16"/>
          <w:szCs w:val="16"/>
          <w:u w:val="single" w:color="auto"/>
          <w:color w:val="auto"/>
        </w:rPr>
        <w:t>Good Reason Termination Period</w:t>
      </w:r>
      <w:r>
        <w:rPr>
          <w:rFonts w:ascii="Arial" w:cs="Arial" w:eastAsia="Arial" w:hAnsi="Arial"/>
          <w:sz w:val="16"/>
          <w:szCs w:val="16"/>
          <w:color w:val="auto"/>
        </w:rPr>
        <w:t>”) and receive the benefits provided under this Agreement. If you do not terminate employment during the Good Reason Termination Period, then you will be deemed to have waived your right to receive benefits under this Agreement regarding such Good Reason Event.</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1.7 “</w:t>
      </w:r>
      <w:r>
        <w:rPr>
          <w:rFonts w:ascii="Arial" w:cs="Arial" w:eastAsia="Arial" w:hAnsi="Arial"/>
          <w:sz w:val="17"/>
          <w:szCs w:val="17"/>
          <w:b w:val="1"/>
          <w:bCs w:val="1"/>
          <w:u w:val="single" w:color="auto"/>
          <w:color w:val="auto"/>
        </w:rPr>
        <w:t>Pre-Change in Control Qualifying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a termination of your employment (i) by the Company without Cause, or (ii) by you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Good Reason; </w:t>
      </w:r>
      <w:r>
        <w:rPr>
          <w:rFonts w:ascii="Arial" w:cs="Arial" w:eastAsia="Arial" w:hAnsi="Arial"/>
          <w:sz w:val="17"/>
          <w:szCs w:val="17"/>
          <w:i w:val="1"/>
          <w:iCs w:val="1"/>
          <w:color w:val="auto"/>
        </w:rPr>
        <w:t>provided, however</w:t>
      </w:r>
      <w:r>
        <w:rPr>
          <w:rFonts w:ascii="Arial" w:cs="Arial" w:eastAsia="Arial" w:hAnsi="Arial"/>
          <w:sz w:val="17"/>
          <w:szCs w:val="17"/>
          <w:color w:val="auto"/>
        </w:rPr>
        <w:t>, a Pre-Change in Control Qualifying Termination shall not have occurred in the event (x) you separate from service with the Company as a result of occupational or non-occupational sickness or injury, (y) you temporarily separate from service with the Company due to fire, storm damage, act(s) of God or a temporary reduction-in-force of sixty (60) days or less (within any twelve (12) month look back period) or (z) you separate from service with the Company during a Change in Control Period.</w:t>
      </w:r>
    </w:p>
    <w:p>
      <w:pPr>
        <w:spacing w:after="0" w:line="19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1.8</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Severance Benefits</w:t>
      </w:r>
      <w:r>
        <w:rPr>
          <w:rFonts w:ascii="Arial" w:cs="Arial" w:eastAsia="Arial" w:hAnsi="Arial"/>
          <w:sz w:val="15"/>
          <w:szCs w:val="15"/>
          <w:b w:val="1"/>
          <w:bCs w:val="1"/>
          <w:color w:val="auto"/>
        </w:rPr>
        <w:t xml:space="preserve">” </w:t>
      </w:r>
      <w:r>
        <w:rPr>
          <w:rFonts w:ascii="Arial" w:cs="Arial" w:eastAsia="Arial" w:hAnsi="Arial"/>
          <w:sz w:val="15"/>
          <w:szCs w:val="15"/>
          <w:color w:val="auto"/>
        </w:rPr>
        <w:t>shall have the meaning set forth in either Section 2.2 or 3, whichever is applicable.</w:t>
      </w:r>
    </w:p>
    <w:p>
      <w:pPr>
        <w:spacing w:after="0" w:line="243" w:lineRule="exact"/>
        <w:rPr>
          <w:sz w:val="20"/>
          <w:szCs w:val="20"/>
          <w:color w:val="auto"/>
        </w:rPr>
      </w:pPr>
    </w:p>
    <w:p>
      <w:pPr>
        <w:jc w:val="both"/>
        <w:spacing w:after="0" w:line="218" w:lineRule="auto"/>
        <w:rPr>
          <w:sz w:val="20"/>
          <w:szCs w:val="20"/>
          <w:color w:val="auto"/>
        </w:rPr>
      </w:pPr>
      <w:r>
        <w:rPr>
          <w:rFonts w:ascii="Arial" w:cs="Arial" w:eastAsia="Arial" w:hAnsi="Arial"/>
          <w:sz w:val="17"/>
          <w:szCs w:val="17"/>
          <w:b w:val="1"/>
          <w:bCs w:val="1"/>
          <w:color w:val="auto"/>
        </w:rPr>
        <w:t>1.9 “</w:t>
      </w:r>
      <w:r>
        <w:rPr>
          <w:rFonts w:ascii="Arial" w:cs="Arial" w:eastAsia="Arial" w:hAnsi="Arial"/>
          <w:sz w:val="17"/>
          <w:szCs w:val="17"/>
          <w:b w:val="1"/>
          <w:bCs w:val="1"/>
          <w:u w:val="single" w:color="auto"/>
          <w:color w:val="auto"/>
        </w:rPr>
        <w:t>Severance Delay Period</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period beginning on the Termination Date (as defined in Section 2 hereof) and ending on the thirtieth (30</w:t>
      </w:r>
      <w:r>
        <w:rPr>
          <w:rFonts w:ascii="Arial" w:cs="Arial" w:eastAsia="Arial" w:hAnsi="Arial"/>
          <w:sz w:val="24"/>
          <w:szCs w:val="24"/>
          <w:color w:val="auto"/>
          <w:vertAlign w:val="superscript"/>
        </w:rPr>
        <w:t>th</w:t>
      </w:r>
      <w:r>
        <w:rPr>
          <w:rFonts w:ascii="Arial" w:cs="Arial" w:eastAsia="Arial" w:hAnsi="Arial"/>
          <w:sz w:val="17"/>
          <w:szCs w:val="17"/>
          <w:color w:val="auto"/>
        </w:rPr>
        <w:t>) day</w:t>
      </w:r>
      <w:r>
        <w:rPr>
          <w:rFonts w:ascii="Arial" w:cs="Arial" w:eastAsia="Arial" w:hAnsi="Arial"/>
          <w:sz w:val="17"/>
          <w:szCs w:val="17"/>
          <w:b w:val="1"/>
          <w:bCs w:val="1"/>
          <w:color w:val="auto"/>
        </w:rPr>
        <w:t xml:space="preserve"> </w:t>
      </w:r>
      <w:r>
        <w:rPr>
          <w:rFonts w:ascii="Arial" w:cs="Arial" w:eastAsia="Arial" w:hAnsi="Arial"/>
          <w:sz w:val="17"/>
          <w:szCs w:val="17"/>
          <w:color w:val="auto"/>
        </w:rPr>
        <w:t>thereafter.</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1.10 “</w:t>
      </w:r>
      <w:r>
        <w:rPr>
          <w:rFonts w:ascii="Arial" w:cs="Arial" w:eastAsia="Arial" w:hAnsi="Arial"/>
          <w:sz w:val="17"/>
          <w:szCs w:val="17"/>
          <w:b w:val="1"/>
          <w:bCs w:val="1"/>
          <w:u w:val="single" w:color="auto"/>
          <w:color w:val="auto"/>
        </w:rPr>
        <w:t>Term</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period of time beginning on the Effective Date and ending on the third anniversary of the Effective Date. The Term may be</w:t>
      </w:r>
      <w:r>
        <w:rPr>
          <w:rFonts w:ascii="Arial" w:cs="Arial" w:eastAsia="Arial" w:hAnsi="Arial"/>
          <w:sz w:val="17"/>
          <w:szCs w:val="17"/>
          <w:b w:val="1"/>
          <w:bCs w:val="1"/>
          <w:color w:val="auto"/>
        </w:rPr>
        <w:t xml:space="preserve"> </w:t>
      </w:r>
      <w:r>
        <w:rPr>
          <w:rFonts w:ascii="Arial" w:cs="Arial" w:eastAsia="Arial" w:hAnsi="Arial"/>
          <w:sz w:val="17"/>
          <w:szCs w:val="17"/>
          <w:color w:val="auto"/>
        </w:rPr>
        <w:t>extended by the mutual agreement of the parties, and shall be extended upon a Change in Control to the end of the Change in Control Period.</w:t>
      </w:r>
    </w:p>
    <w:p>
      <w:pPr>
        <w:spacing w:after="0" w:line="152" w:lineRule="exact"/>
        <w:rPr>
          <w:sz w:val="20"/>
          <w:szCs w:val="20"/>
          <w:color w:val="auto"/>
        </w:rPr>
      </w:pPr>
    </w:p>
    <w:p>
      <w:pPr>
        <w:jc w:val="both"/>
        <w:ind w:firstLine="3"/>
        <w:spacing w:after="0" w:line="286" w:lineRule="auto"/>
        <w:tabs>
          <w:tab w:leader="none" w:pos="98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OF EMPLOYMENT; SEVERANCE</w:t>
      </w:r>
      <w:r>
        <w:rPr>
          <w:rFonts w:ascii="Arial" w:cs="Arial" w:eastAsia="Arial" w:hAnsi="Arial"/>
          <w:sz w:val="16"/>
          <w:szCs w:val="16"/>
          <w:b w:val="1"/>
          <w:bCs w:val="1"/>
          <w:color w:val="auto"/>
        </w:rPr>
        <w:t xml:space="preserve">. </w:t>
      </w:r>
      <w:r>
        <w:rPr>
          <w:rFonts w:ascii="Arial" w:cs="Arial" w:eastAsia="Arial" w:hAnsi="Arial"/>
          <w:sz w:val="16"/>
          <w:szCs w:val="16"/>
          <w:color w:val="auto"/>
        </w:rPr>
        <w:t>Your immediate supervisor or the Company’s Board of Directors may terminate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or without cause, at any time by giving you written notice of your termination, and such termination of employment shall be effective on the date specified in the notice. The effective date of your termination of employment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shall be the last day of your employment with the Company, as specified in a notice by you, or if you are terminated by the Company, the date that is specified by the Company in its notice to you.</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2" w:name="page43"/>
    <w:bookmarkEnd w:id="42"/>
    <w:p>
      <w:pPr>
        <w:jc w:val="both"/>
        <w:spacing w:after="0" w:line="264"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u w:val="single" w:color="auto"/>
          <w:color w:val="auto"/>
        </w:rPr>
        <w:t>Termination by the Company for Cause or Voluntary Quit</w:t>
      </w:r>
      <w:r>
        <w:rPr>
          <w:rFonts w:ascii="Arial" w:cs="Arial" w:eastAsia="Arial" w:hAnsi="Arial"/>
          <w:sz w:val="17"/>
          <w:szCs w:val="17"/>
          <w:b w:val="1"/>
          <w:bCs w:val="1"/>
          <w:color w:val="auto"/>
        </w:rPr>
        <w:t xml:space="preserve">. </w:t>
      </w:r>
      <w:r>
        <w:rPr>
          <w:rFonts w:ascii="Arial" w:cs="Arial" w:eastAsia="Arial" w:hAnsi="Arial"/>
          <w:sz w:val="17"/>
          <w:szCs w:val="17"/>
          <w:color w:val="auto"/>
        </w:rPr>
        <w:t>If you are terminated for Cause, or if you voluntarily quit your employment without Good</w:t>
      </w:r>
      <w:r>
        <w:rPr>
          <w:rFonts w:ascii="Arial" w:cs="Arial" w:eastAsia="Arial" w:hAnsi="Arial"/>
          <w:sz w:val="17"/>
          <w:szCs w:val="17"/>
          <w:b w:val="1"/>
          <w:bCs w:val="1"/>
          <w:color w:val="auto"/>
        </w:rPr>
        <w:t xml:space="preserve"> </w:t>
      </w:r>
      <w:r>
        <w:rPr>
          <w:rFonts w:ascii="Arial" w:cs="Arial" w:eastAsia="Arial" w:hAnsi="Arial"/>
          <w:sz w:val="17"/>
          <w:szCs w:val="17"/>
          <w:color w:val="auto"/>
        </w:rPr>
        <w:t>Reason, the Company shall have no further obligation to you, other than for Accrued Obligations, and your participation in all of the Company’s benefit plans and programs shall cease as of the Termination Date. In the event of a termination described in this Section 2.1, you shall not be entitled to receive severance benefits described in Section 2.2 or Section 3.</w:t>
      </w:r>
    </w:p>
    <w:p>
      <w:pPr>
        <w:spacing w:after="0" w:line="198"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Pre-Change in Control Qualifying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If your Termination Date occurs during the Term and such termination is due to a Pre-Change</w:t>
      </w:r>
      <w:r>
        <w:rPr>
          <w:rFonts w:ascii="Arial" w:cs="Arial" w:eastAsia="Arial" w:hAnsi="Arial"/>
          <w:sz w:val="17"/>
          <w:szCs w:val="17"/>
          <w:b w:val="1"/>
          <w:bCs w:val="1"/>
          <w:color w:val="auto"/>
        </w:rPr>
        <w:t xml:space="preserve"> </w:t>
      </w:r>
      <w:r>
        <w:rPr>
          <w:rFonts w:ascii="Arial" w:cs="Arial" w:eastAsia="Arial" w:hAnsi="Arial"/>
          <w:sz w:val="17"/>
          <w:szCs w:val="17"/>
          <w:color w:val="auto"/>
        </w:rPr>
        <w:t>in Control Qualifying Termination, in addition to your Accrued Obligations, you shall be entitled to receive severance pay (the “</w:t>
      </w:r>
      <w:r>
        <w:rPr>
          <w:rFonts w:ascii="Arial" w:cs="Arial" w:eastAsia="Arial" w:hAnsi="Arial"/>
          <w:sz w:val="17"/>
          <w:szCs w:val="17"/>
          <w:u w:val="single" w:color="auto"/>
          <w:color w:val="auto"/>
        </w:rPr>
        <w:t>Severance Benefits</w:t>
      </w:r>
      <w:r>
        <w:rPr>
          <w:rFonts w:ascii="Arial" w:cs="Arial" w:eastAsia="Arial" w:hAnsi="Arial"/>
          <w:sz w:val="17"/>
          <w:szCs w:val="17"/>
          <w:color w:val="auto"/>
        </w:rPr>
        <w:t xml:space="preserve">”) (a) equal to the amount determined in accordance with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(b) payable in regular installments, in accordance with the Company’s normal payroll policies then in effect for the period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which payments will commence with the first payroll period occurring after the expiration of the Severance Delay Period (the “</w:t>
      </w:r>
      <w:r>
        <w:rPr>
          <w:rFonts w:ascii="Arial" w:cs="Arial" w:eastAsia="Arial" w:hAnsi="Arial"/>
          <w:sz w:val="17"/>
          <w:szCs w:val="17"/>
          <w:u w:val="single" w:color="auto"/>
          <w:color w:val="auto"/>
        </w:rPr>
        <w:t>Initial Payment</w:t>
      </w:r>
      <w:r>
        <w:rPr>
          <w:rFonts w:ascii="Arial" w:cs="Arial" w:eastAsia="Arial" w:hAnsi="Arial"/>
          <w:sz w:val="17"/>
          <w:szCs w:val="17"/>
          <w:color w:val="auto"/>
        </w:rPr>
        <w:t>”) and shall continue for the remainder of the Severance Period. The Initial Payment shall include payment for any payroll periods which occur during the Severance Delay Period.</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All employee benefits and benefit accruals will cease as of the Termination Date. However, medical insurance benefits may be continued to the extent required by federal law. You may have other benefit conversion or withdrawal rights arising under any Company sponsored retirement or welfare benefit plan as a result of your separation from service. Settlement of reimbursable expenses under the terms of the Company’s expense reimbursement, travel and/or entertainment policies shall occur within twenty-one (21) days from your Termination Date.</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 xml:space="preserve">2.3 </w:t>
      </w:r>
      <w:r>
        <w:rPr>
          <w:rFonts w:ascii="Arial" w:cs="Arial" w:eastAsia="Arial" w:hAnsi="Arial"/>
          <w:sz w:val="17"/>
          <w:szCs w:val="17"/>
          <w:b w:val="1"/>
          <w:bCs w:val="1"/>
          <w:u w:val="single" w:color="auto"/>
          <w:color w:val="auto"/>
        </w:rPr>
        <w:t>Involuntary Termination Without Cause During a Change in Control Period</w:t>
      </w:r>
      <w:r>
        <w:rPr>
          <w:rFonts w:ascii="Arial" w:cs="Arial" w:eastAsia="Arial" w:hAnsi="Arial"/>
          <w:sz w:val="17"/>
          <w:szCs w:val="17"/>
          <w:b w:val="1"/>
          <w:bCs w:val="1"/>
          <w:color w:val="auto"/>
        </w:rPr>
        <w:t xml:space="preserve">. </w:t>
      </w:r>
      <w:r>
        <w:rPr>
          <w:rFonts w:ascii="Arial" w:cs="Arial" w:eastAsia="Arial" w:hAnsi="Arial"/>
          <w:sz w:val="17"/>
          <w:szCs w:val="17"/>
          <w:color w:val="auto"/>
        </w:rPr>
        <w:t>If a Change in Control occurs during the Term and your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Company is terminated by the Company without Cause, or by you for Good Reason, during a Change in Control Period, you shall be entitled to receive Severance Benefits pursuant to Section 3. A termination within 90 days prior to a Change in Control which occurs solely in order to make you ineligible for the benefits of Section 3 of this Agreement shall be considered a termination without Cause during a Change in Control Period (and not as a Pre-Change in Control Qualifying Termination).</w:t>
      </w:r>
    </w:p>
    <w:p>
      <w:pPr>
        <w:spacing w:after="0" w:line="198" w:lineRule="exact"/>
        <w:rPr>
          <w:sz w:val="20"/>
          <w:szCs w:val="20"/>
          <w:color w:val="auto"/>
        </w:rPr>
      </w:pPr>
    </w:p>
    <w:p>
      <w:pPr>
        <w:jc w:val="both"/>
        <w:ind w:firstLine="3"/>
        <w:spacing w:after="0" w:line="270" w:lineRule="auto"/>
        <w:tabs>
          <w:tab w:leader="none" w:pos="602"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CHANGE IN CONTROL SEVERANCE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If your employment with the Company is terminated as described in Section 2.3, in addition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Accrued Obligations, you shall be entitled to the benefits specified in subsections 3.1 and 3.2 (the “</w:t>
      </w:r>
      <w:r>
        <w:rPr>
          <w:rFonts w:ascii="Arial" w:cs="Arial" w:eastAsia="Arial" w:hAnsi="Arial"/>
          <w:sz w:val="17"/>
          <w:szCs w:val="17"/>
          <w:u w:val="single" w:color="auto"/>
          <w:color w:val="auto"/>
        </w:rPr>
        <w:t>Severance Benefits</w:t>
      </w:r>
      <w:r>
        <w:rPr>
          <w:rFonts w:ascii="Arial" w:cs="Arial" w:eastAsia="Arial" w:hAnsi="Arial"/>
          <w:sz w:val="17"/>
          <w:szCs w:val="17"/>
          <w:color w:val="auto"/>
        </w:rPr>
        <w:t>”) for the period of time set forth in the applicable section.</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Salary Payment or Continuance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expiration of the Severance Delay Period, you will be paid an amount (a) equal to the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determined in accordance with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and (b) payable on the terms as set forth in such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if the Change in Control triggering Severance Benefits pursuant to this Section 3.1 does not constitute a “change in the ownership of the Company,” a “change in the effective control of the Company,” or a “change in the ownership of a substantial portion of the assets of the Company” as such terms are defined in Section 1.409A-3(i)(5) of the Treasury Regulations, the portion of the Severance Benefits described in this Section 3.1 that constitute deferred compensation subject to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shall be paid to the Executive in installments over the same period as described in Section 2.2.</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3" w:name="page44"/>
    <w:bookmarkEnd w:id="43"/>
    <w:p>
      <w:pPr>
        <w:jc w:val="both"/>
        <w:spacing w:after="0" w:line="256"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u w:val="single" w:color="auto"/>
          <w:color w:val="auto"/>
        </w:rPr>
        <w:t>Continuation of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as of the Termination Date, you will cease all health benefit coverage and other benefit coverage provided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Notwithstanding the foregoing, you may be entitled to elect continuing medical, prescription and dental coverage under the Consolidated Omnibus Budget Reconciliation Act of 1985 (“</w:t>
      </w:r>
      <w:r>
        <w:rPr>
          <w:rFonts w:ascii="Arial" w:cs="Arial" w:eastAsia="Arial" w:hAnsi="Arial"/>
          <w:sz w:val="17"/>
          <w:szCs w:val="17"/>
          <w:u w:val="single" w:color="auto"/>
          <w:color w:val="auto"/>
        </w:rPr>
        <w:t>COBRA</w:t>
      </w:r>
      <w:r>
        <w:rPr>
          <w:rFonts w:ascii="Arial" w:cs="Arial" w:eastAsia="Arial" w:hAnsi="Arial"/>
          <w:sz w:val="17"/>
          <w:szCs w:val="17"/>
          <w:color w:val="auto"/>
        </w:rPr>
        <w:t xml:space="preserve">”). In the event that you choose continuation of such coverage under COBRA, you shall continue to receive the medical, prescription and dental benefits at the levels you would have been entitled to receive had you remained in employment following the Termination Date (including any changes in benefits or costs that are implemented by the Company with respect to similarly-situated employees who are continuing in their employment), pursuant to COBRA, and the Company will reimburse to you the full COBRA premium amount following the Termination Date for the period of time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COBRA Continuation Period</w:t>
      </w:r>
      <w:r>
        <w:rPr>
          <w:rFonts w:ascii="Arial" w:cs="Arial" w:eastAsia="Arial" w:hAnsi="Arial"/>
          <w:sz w:val="17"/>
          <w:szCs w:val="17"/>
          <w:color w:val="auto"/>
        </w:rPr>
        <w:t>”), so long as you remain eligible to continue such coverage under COBRA. The costs of Company’s portion of any premiums due under this 3.2 shall be included in your gross income to the extent the provision of such benefits would be deemed to be discriminatory under Code Section 105(h). For the avoidance of doubt, the parties mutually agree that the period during which the Company pays any premiums under this Section 3.2 shall run concurrently with the applicable COBRA continuation period without any extension and you shall be solely responsible for the full cost of any heath premiums for the continuation of COBRA coverage which may extend past this period, if any. Notwithstanding the foregoing, if you become reemployed with another employer and receive medical, prescription or dental benefits under another employer-provided plan, this COBRA premium subsidy benefit shall cease regarding such applicable coverage. You agree that you will notify the Company within seven days of your obtaining employment that will provide you any such benefits.</w:t>
      </w:r>
    </w:p>
    <w:p>
      <w:pPr>
        <w:spacing w:after="0" w:line="204" w:lineRule="exact"/>
        <w:rPr>
          <w:sz w:val="20"/>
          <w:szCs w:val="20"/>
          <w:color w:val="auto"/>
        </w:rPr>
      </w:pPr>
    </w:p>
    <w:p>
      <w:pPr>
        <w:jc w:val="both"/>
        <w:ind w:firstLine="3"/>
        <w:spacing w:after="0" w:line="271" w:lineRule="auto"/>
        <w:tabs>
          <w:tab w:leader="none" w:pos="765"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EFFECT OF TERMINATION ON STOCK OPTIONS, RESTRICTED STOCK AND CASH-BASED LONG-TERM INCENTIVE AWARDS</w:t>
      </w:r>
      <w:r>
        <w:rPr>
          <w:rFonts w:ascii="Arial" w:cs="Arial" w:eastAsia="Arial" w:hAnsi="Arial"/>
          <w:sz w:val="16"/>
          <w:szCs w:val="16"/>
          <w:b w:val="1"/>
          <w:bCs w:val="1"/>
          <w:color w:val="auto"/>
        </w:rPr>
        <w:t xml:space="preserve">. </w:t>
      </w:r>
      <w:r>
        <w:rPr>
          <w:rFonts w:ascii="Arial" w:cs="Arial" w:eastAsia="Arial" w:hAnsi="Arial"/>
          <w:sz w:val="16"/>
          <w:szCs w:val="16"/>
          <w:color w:val="auto"/>
        </w:rPr>
        <w:t>In</w:t>
      </w:r>
      <w:r>
        <w:rPr>
          <w:rFonts w:ascii="Arial" w:cs="Arial" w:eastAsia="Arial" w:hAnsi="Arial"/>
          <w:sz w:val="16"/>
          <w:szCs w:val="16"/>
          <w:b w:val="1"/>
          <w:bCs w:val="1"/>
          <w:color w:val="auto"/>
        </w:rPr>
        <w:t xml:space="preserve"> </w:t>
      </w:r>
      <w:r>
        <w:rPr>
          <w:rFonts w:ascii="Arial" w:cs="Arial" w:eastAsia="Arial" w:hAnsi="Arial"/>
          <w:sz w:val="16"/>
          <w:szCs w:val="16"/>
          <w:color w:val="auto"/>
        </w:rPr>
        <w:t>the event of any termination of your employment, all stock options, restricted stock or cash-based long-term incentive awards (“</w:t>
      </w:r>
      <w:r>
        <w:rPr>
          <w:rFonts w:ascii="Arial" w:cs="Arial" w:eastAsia="Arial" w:hAnsi="Arial"/>
          <w:sz w:val="16"/>
          <w:szCs w:val="16"/>
          <w:u w:val="single" w:color="auto"/>
          <w:color w:val="auto"/>
        </w:rPr>
        <w:t>Cash Awards</w:t>
      </w:r>
      <w:r>
        <w:rPr>
          <w:rFonts w:ascii="Arial" w:cs="Arial" w:eastAsia="Arial" w:hAnsi="Arial"/>
          <w:sz w:val="16"/>
          <w:szCs w:val="16"/>
          <w:color w:val="auto"/>
        </w:rPr>
        <w:t xml:space="preserve">”) that are vested prior to the Termination Date shall be owned, exercisable or payable in accordance with their terms. Any of your stock options, restricted stock or Cash Awards that are not vested prior to the Termination Date shall lapse and be void; </w:t>
      </w:r>
      <w:r>
        <w:rPr>
          <w:rFonts w:ascii="Arial" w:cs="Arial" w:eastAsia="Arial" w:hAnsi="Arial"/>
          <w:sz w:val="16"/>
          <w:szCs w:val="16"/>
          <w:i w:val="1"/>
          <w:iCs w:val="1"/>
          <w:color w:val="auto"/>
        </w:rPr>
        <w:t>provided, however</w:t>
      </w:r>
      <w:r>
        <w:rPr>
          <w:rFonts w:ascii="Arial" w:cs="Arial" w:eastAsia="Arial" w:hAnsi="Arial"/>
          <w:sz w:val="16"/>
          <w:szCs w:val="16"/>
          <w:color w:val="auto"/>
        </w:rPr>
        <w:t>, if your employment with the Company is terminated as described in Section 2.3 above, then, (i) if your option, restricted stock or Cash Award agreements provide for immediate vesting in the event of a Change in Control, the terms of your option, restricted stock or Cash Award agreement shall control, and the exercise, lapse of restrictions or payment of such awards shall be made in accordance with the terms of such agreements and (ii) if your option, restricted stock or Cash Award agreement does not provide for immediate vesting in the event of a Change in Control, then you shall receive, within 30 days after the Termination Date, the sum of (X) a lump sum cash distribution equal to: the product of (a) the number of shares of the Company’s (or Successor Entity’s) common stock that are subject to options or restricted stock grants held by you that are not vested as of the Termination Date, multiplied by (b) the difference of: (1) the closing price of a share of the Company’s (or Successor Entity’s) common stock on the principal trading market of such shares as reported by The Wall Street Journal as of the day prior to the Termination Date (or, if the market is closed on that date, on the last preceding date on which the market was open for trading; or, if the stock of the Company or Successor Entity is not publicly traded as of such date, the fair market value of such stock, as determined by the Board of the Company or the Successor Entity in good faith), minus (2) the applicable exercise prices of those non-vested shares (which exercise price for restricted stock is zero for purposes of this calculation), and (Y) a lump sum distribution in an amount equal to the target amount (as determined pursuant to the terms of the applicable Cash Award agreement), or the actual amount earned under the Cash Award Agreement if the applicable performance period for such award has ended, of your unvested and outstanding Cash Awards. For the avoidance of doubt, for the purposes of determining the vesting of your awards covered by this Section 4, if a transaction occurs that would not meet the definition of a Change in Control provided for in the Cracker Barrel Old Country Store, Inc. 2002 Omnibus Incentive Compensation Plan, Cracker Barrel Old Country Store, Inc. Amended and Restated Stock Option Plan, the Cracker Barrel Old Country Store, Inc. 2010 Omnibus Stock and Incentive Plan (collectively, the “</w:t>
      </w:r>
      <w:r>
        <w:rPr>
          <w:rFonts w:ascii="Arial" w:cs="Arial" w:eastAsia="Arial" w:hAnsi="Arial"/>
          <w:sz w:val="16"/>
          <w:szCs w:val="16"/>
          <w:u w:val="single" w:color="auto"/>
          <w:color w:val="auto"/>
        </w:rPr>
        <w:t>CBRL Equity Plans</w:t>
      </w:r>
      <w:r>
        <w:rPr>
          <w:rFonts w:ascii="Arial" w:cs="Arial" w:eastAsia="Arial" w:hAnsi="Arial"/>
          <w:sz w:val="16"/>
          <w:szCs w:val="16"/>
          <w:color w:val="auto"/>
        </w:rPr>
        <w:t>”) or any awards agreements issued thereunder, but would meet the definition of a Change in Control under Section 1.3 of this Agreement, then the provisions of this Section 4 shall control the vesting and payment of such awards. For purposes of the CBRL Equity Plans, this Section 4 shall be construed as an Award Notice, or an amendment thereto, governing the applicable Awards (each as defined in the CBRL Equity Plans) and to the Option agreements granted under the Amended and Restated Stock Option Plan (as defined therein) to the extent necessary to carry out the intent of this Agreement.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4" w:name="page45"/>
    <w:bookmarkEnd w:id="44"/>
    <w:p>
      <w:pPr>
        <w:jc w:val="both"/>
        <w:ind w:firstLine="3"/>
        <w:spacing w:after="0" w:line="270" w:lineRule="auto"/>
        <w:tabs>
          <w:tab w:leader="none" w:pos="778"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CONDITIONS FOR RECEIVING SEVERANCE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In consideration for the Severance Benefits offered to you pursuant to Section 2.2(a)</w:t>
      </w:r>
      <w:r>
        <w:rPr>
          <w:rFonts w:ascii="Arial" w:cs="Arial" w:eastAsia="Arial" w:hAnsi="Arial"/>
          <w:sz w:val="17"/>
          <w:szCs w:val="17"/>
          <w:b w:val="1"/>
          <w:bCs w:val="1"/>
          <w:color w:val="auto"/>
        </w:rPr>
        <w:t xml:space="preserve"> </w:t>
      </w:r>
      <w:r>
        <w:rPr>
          <w:rFonts w:ascii="Arial" w:cs="Arial" w:eastAsia="Arial" w:hAnsi="Arial"/>
          <w:sz w:val="17"/>
          <w:szCs w:val="17"/>
          <w:color w:val="auto"/>
        </w:rPr>
        <w:t>and Section 3, you hereby agree, or shall agree in writing prior to the payment of any Severance Benefits on forms prescribed by the Company, to the following conditions:</w:t>
      </w:r>
    </w:p>
    <w:p>
      <w:pPr>
        <w:spacing w:after="0" w:line="198" w:lineRule="exact"/>
        <w:rPr>
          <w:rFonts w:ascii="Arial" w:cs="Arial" w:eastAsia="Arial" w:hAnsi="Arial"/>
          <w:sz w:val="17"/>
          <w:szCs w:val="17"/>
          <w:b w:val="1"/>
          <w:bCs w:val="1"/>
          <w:color w:val="auto"/>
        </w:rPr>
      </w:pPr>
    </w:p>
    <w:p>
      <w:pPr>
        <w:jc w:val="both"/>
        <w:ind w:firstLine="623"/>
        <w:spacing w:after="0" w:line="275" w:lineRule="auto"/>
        <w:tabs>
          <w:tab w:leader="none" w:pos="1386" w:val="left"/>
        </w:tabs>
        <w:numPr>
          <w:ilvl w:val="1"/>
          <w:numId w:val="33"/>
        </w:numPr>
        <w:rPr>
          <w:rFonts w:ascii="Arial" w:cs="Arial" w:eastAsia="Arial" w:hAnsi="Arial"/>
          <w:sz w:val="16"/>
          <w:szCs w:val="16"/>
          <w:color w:val="auto"/>
        </w:rPr>
      </w:pPr>
      <w:r>
        <w:rPr>
          <w:rFonts w:ascii="Arial" w:cs="Arial" w:eastAsia="Arial" w:hAnsi="Arial"/>
          <w:sz w:val="16"/>
          <w:szCs w:val="16"/>
          <w:color w:val="auto"/>
        </w:rPr>
        <w:t>Strict non-disclosure of Company marketing, financial, strategic planning, proprietary or other information which is not generally known to the public: You recognize and acknowledge that, as a result of your employment by the Company, you have or will become familiar with and acquire knowledge of confidential information and certain trade secrets that are valuable, special, and unique assets of the Company. You agree that all that confidential information and trade secrets are the property of the Company. Therefore, you agree that, for and during your employment with the Company and continuing following the termination of your employment for any reason, all confidential information and trade secrets shall be considered to be proprietary to the Company and kept as the private records of the Company and will not be divulged to any firm, individual, or institution, or used to the detriment of the Company. The parties agree that nothing in this Section 5 shall be construed as prohibiting the Company from pursuing any remedies available to it for any breach or threatened breach of this Section 5, including, without limitation, the recovery of damages from you or any person or entity acting in concert with you;</w:t>
      </w:r>
    </w:p>
    <w:p>
      <w:pPr>
        <w:spacing w:after="0" w:line="197" w:lineRule="exact"/>
        <w:rPr>
          <w:rFonts w:ascii="Arial" w:cs="Arial" w:eastAsia="Arial" w:hAnsi="Arial"/>
          <w:sz w:val="16"/>
          <w:szCs w:val="16"/>
          <w:color w:val="auto"/>
        </w:rPr>
      </w:pPr>
    </w:p>
    <w:p>
      <w:pPr>
        <w:jc w:val="both"/>
        <w:ind w:firstLine="623"/>
        <w:spacing w:after="0" w:line="262" w:lineRule="auto"/>
        <w:tabs>
          <w:tab w:leader="none" w:pos="1352" w:val="left"/>
        </w:tabs>
        <w:numPr>
          <w:ilvl w:val="1"/>
          <w:numId w:val="33"/>
        </w:numPr>
        <w:rPr>
          <w:rFonts w:ascii="Arial" w:cs="Arial" w:eastAsia="Arial" w:hAnsi="Arial"/>
          <w:sz w:val="17"/>
          <w:szCs w:val="17"/>
          <w:color w:val="auto"/>
        </w:rPr>
      </w:pPr>
      <w:r>
        <w:rPr>
          <w:rFonts w:ascii="Arial" w:cs="Arial" w:eastAsia="Arial" w:hAnsi="Arial"/>
          <w:sz w:val="17"/>
          <w:szCs w:val="17"/>
          <w:color w:val="auto"/>
        </w:rPr>
        <w:t>Return to the Company of all Company property in good condition and repair (normal wear and tear excepted) including but not limited to keys, security cards and fobs, credit cards, furniture, equipment, automobiles, computer hardware and software, telephone equipment, and all documents, manuals, plans, equipment, training materials, business papers, personnel files, computer files or copies of the same relating to Company business which are in the Employee’s possession;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5" w:name="page46"/>
    <w:bookmarkEnd w:id="45"/>
    <w:p>
      <w:pPr>
        <w:jc w:val="both"/>
        <w:ind w:firstLine="3"/>
        <w:spacing w:after="0" w:line="262" w:lineRule="auto"/>
        <w:tabs>
          <w:tab w:leader="none" w:pos="721"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An unconditional release from all charges, complaints and claims, including attorney fees, based on employment with the Company, or the termination of that employment by executing the General Release substantially in form and substance as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provided that the General Release shall have become effective, you shall not have revoked such release and all applicable revocation periods with respect to such release shall have expired prior to the expiration of the Severance Delay Period;</w:t>
      </w:r>
    </w:p>
    <w:p>
      <w:pPr>
        <w:spacing w:after="0" w:line="204" w:lineRule="exact"/>
        <w:rPr>
          <w:rFonts w:ascii="Arial" w:cs="Arial" w:eastAsia="Arial" w:hAnsi="Arial"/>
          <w:sz w:val="17"/>
          <w:szCs w:val="17"/>
          <w:color w:val="auto"/>
        </w:rPr>
      </w:pPr>
    </w:p>
    <w:p>
      <w:pPr>
        <w:ind w:left="680" w:hanging="677"/>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Resignation from job position and membership in any Company board, committee or task force;</w:t>
      </w:r>
    </w:p>
    <w:p>
      <w:pPr>
        <w:spacing w:after="0" w:line="243" w:lineRule="exact"/>
        <w:rPr>
          <w:rFonts w:ascii="Arial" w:cs="Arial" w:eastAsia="Arial" w:hAnsi="Arial"/>
          <w:sz w:val="17"/>
          <w:szCs w:val="17"/>
          <w:color w:val="auto"/>
        </w:rPr>
      </w:pPr>
    </w:p>
    <w:p>
      <w:pPr>
        <w:ind w:left="660" w:hanging="657"/>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Strict compliance with the terms of any NonCompete/NonSolicitation Agreement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the event the conditions set forth in subsections (a) to (e) above are not met (including the expiration of any applicable revocation periods) by the end of the Severance Delay Period, or have been breached at any time, you shall forfeit all rights to any Severance Benefits hereunder and the Company shall be under no obligation to make any payments to you pursuant to this Agreement. You understand and agree that the right to obtain the Severance Benefits subject to compliance with this section is adequate consideration for the release of claims set forth in Section 5(c) and that such release will continue in full force and effect even though you do not receive Severance Benefits as a result of your failure to comply with this Section 5. The provisions of this Section 5 shall survive any termination of this Agreement or your employment with the Company.</w:t>
      </w:r>
    </w:p>
    <w:p>
      <w:pPr>
        <w:spacing w:after="0" w:line="204" w:lineRule="exact"/>
        <w:rPr>
          <w:sz w:val="20"/>
          <w:szCs w:val="20"/>
          <w:color w:val="auto"/>
        </w:rPr>
      </w:pPr>
    </w:p>
    <w:p>
      <w:pPr>
        <w:ind w:left="700" w:hanging="697"/>
        <w:spacing w:after="0"/>
        <w:tabs>
          <w:tab w:leader="none" w:pos="70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GENERAL PROVISIONS</w:t>
      </w:r>
      <w:r>
        <w:rPr>
          <w:rFonts w:ascii="Arial" w:cs="Arial" w:eastAsia="Arial" w:hAnsi="Arial"/>
          <w:sz w:val="17"/>
          <w:szCs w:val="17"/>
          <w:b w:val="1"/>
          <w:bCs w:val="1"/>
          <w:color w:val="auto"/>
        </w:rPr>
        <w:t>.</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u w:val="single" w:color="auto"/>
          <w:color w:val="auto"/>
        </w:rPr>
        <w:t>Other Plans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this Agreement shall affect your rights during your employment to receive increases in compensation, responsibilities or duties or</w:t>
      </w:r>
      <w:r>
        <w:rPr>
          <w:rFonts w:ascii="Arial" w:cs="Arial" w:eastAsia="Arial" w:hAnsi="Arial"/>
          <w:sz w:val="17"/>
          <w:szCs w:val="17"/>
          <w:b w:val="1"/>
          <w:bCs w:val="1"/>
          <w:color w:val="auto"/>
        </w:rPr>
        <w:t xml:space="preserve"> </w:t>
      </w:r>
      <w:r>
        <w:rPr>
          <w:rFonts w:ascii="Arial" w:cs="Arial" w:eastAsia="Arial" w:hAnsi="Arial"/>
          <w:sz w:val="17"/>
          <w:szCs w:val="17"/>
          <w:color w:val="auto"/>
        </w:rPr>
        <w:t>to participate in and receive benefits from any pension plan, benefit plan or profit sharing plans except plans which specifically address benefits of the type addressed in Sections 3 and 4 of this Agreement.</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b w:val="1"/>
          <w:bCs w:val="1"/>
          <w:u w:val="single" w:color="auto"/>
          <w:color w:val="auto"/>
        </w:rPr>
        <w:t>Death During Severance Period</w:t>
      </w:r>
      <w:r>
        <w:rPr>
          <w:rFonts w:ascii="Arial" w:cs="Arial" w:eastAsia="Arial" w:hAnsi="Arial"/>
          <w:sz w:val="17"/>
          <w:szCs w:val="17"/>
          <w:b w:val="1"/>
          <w:bCs w:val="1"/>
          <w:color w:val="auto"/>
        </w:rPr>
        <w:t xml:space="preserve">. </w:t>
      </w:r>
      <w:r>
        <w:rPr>
          <w:rFonts w:ascii="Arial" w:cs="Arial" w:eastAsia="Arial" w:hAnsi="Arial"/>
          <w:sz w:val="17"/>
          <w:szCs w:val="17"/>
          <w:color w:val="auto"/>
        </w:rPr>
        <w:t>If you die during the Severance Period, any Benefits remaining to be paid to you shall be paid to the beneficiary</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by you to receive those Benefits (or in the absence of designation, to your surviving spouse or next of kin).</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notices to be given under this Agreement may be effected by personal delivery in writing or by mail, registered or certified, postage prepaid</w:t>
      </w:r>
      <w:r>
        <w:rPr>
          <w:rFonts w:ascii="Arial" w:cs="Arial" w:eastAsia="Arial" w:hAnsi="Arial"/>
          <w:sz w:val="17"/>
          <w:szCs w:val="17"/>
          <w:b w:val="1"/>
          <w:bCs w:val="1"/>
          <w:color w:val="auto"/>
        </w:rPr>
        <w:t xml:space="preserve"> </w:t>
      </w:r>
      <w:r>
        <w:rPr>
          <w:rFonts w:ascii="Arial" w:cs="Arial" w:eastAsia="Arial" w:hAnsi="Arial"/>
          <w:sz w:val="17"/>
          <w:szCs w:val="17"/>
          <w:color w:val="auto"/>
        </w:rPr>
        <w:t>with return receipt requested. Mailed notices shall be addressed to the parties at the addresses appearing on the first page of this Agreement (to the attention of the Secretary in the case of notices to the Company), but each party may change the delivery address by written notice in accordance with this Section 6.3. Notices delivered personally shall be deemed communicated as of actual receipt; mailed notices shall be deemed communicated as of the second day following deposit in the United States Mail.</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6.4 </w:t>
      </w: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supersedes all previous oral or written agreements, understandings or arrangements between the Company and you</w:t>
      </w:r>
      <w:r>
        <w:rPr>
          <w:rFonts w:ascii="Arial" w:cs="Arial" w:eastAsia="Arial" w:hAnsi="Arial"/>
          <w:sz w:val="17"/>
          <w:szCs w:val="17"/>
          <w:b w:val="1"/>
          <w:bCs w:val="1"/>
          <w:color w:val="auto"/>
        </w:rPr>
        <w:t xml:space="preserve"> </w:t>
      </w:r>
      <w:r>
        <w:rPr>
          <w:rFonts w:ascii="Arial" w:cs="Arial" w:eastAsia="Arial" w:hAnsi="Arial"/>
          <w:sz w:val="17"/>
          <w:szCs w:val="17"/>
          <w:color w:val="auto"/>
        </w:rPr>
        <w:t>regarding a termination of your employment with the Company or a change in your status, scope or authority and the salary, benefits or other compensation that you receive from the Company as a result of the termination of your employment with the Company (the “</w:t>
      </w:r>
      <w:r>
        <w:rPr>
          <w:rFonts w:ascii="Arial" w:cs="Arial" w:eastAsia="Arial" w:hAnsi="Arial"/>
          <w:sz w:val="17"/>
          <w:szCs w:val="17"/>
          <w:u w:val="single" w:color="auto"/>
          <w:color w:val="auto"/>
        </w:rPr>
        <w:t>Subject Matter</w:t>
      </w:r>
      <w:r>
        <w:rPr>
          <w:rFonts w:ascii="Arial" w:cs="Arial" w:eastAsia="Arial" w:hAnsi="Arial"/>
          <w:sz w:val="17"/>
          <w:szCs w:val="17"/>
          <w:color w:val="auto"/>
        </w:rPr>
        <w:t>”), all of which are wholly terminated and canceled. This Agreement contains all of the covenants and agreements between the parties with respect to the Subject Matter. Each party to this Agreement acknowledges that no representations, inducements, promises, or agreements, orally or otherwise, have been made with respect to the Subject Matter by any party, or anyone acting on behalf of any party, which are not embodied in this Agreement. Any subsequent agreement relating to the Subject Matter or any modification of this Agreement will be effective only if it is in writing signed by the party against whom enforcement of the modification is sought and as is consistent with Section 409A of the Code.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7"/>
          <w:szCs w:val="17"/>
          <w:b w:val="1"/>
          <w:bCs w:val="1"/>
          <w:color w:val="auto"/>
        </w:rPr>
        <w:t xml:space="preserve">6.5 </w:t>
      </w:r>
      <w:r>
        <w:rPr>
          <w:rFonts w:ascii="Arial" w:cs="Arial" w:eastAsia="Arial" w:hAnsi="Arial"/>
          <w:sz w:val="17"/>
          <w:szCs w:val="17"/>
          <w:b w:val="1"/>
          <w:bCs w:val="1"/>
          <w:u w:val="single" w:color="auto"/>
          <w:color w:val="auto"/>
        </w:rPr>
        <w:t>Partial Invalidity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in this Agreement is held by a court of competent jurisdiction to be invalid, void, or unenforceable, the remaining</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shall nevertheless continue in full force without being impaired or invalidated in any way.</w:t>
      </w:r>
    </w:p>
    <w:p>
      <w:pPr>
        <w:spacing w:after="0" w:line="178" w:lineRule="exact"/>
        <w:rPr>
          <w:sz w:val="20"/>
          <w:szCs w:val="20"/>
          <w:color w:val="auto"/>
        </w:rPr>
      </w:pPr>
    </w:p>
    <w:p>
      <w:pPr>
        <w:jc w:val="both"/>
        <w:spacing w:after="0" w:line="320" w:lineRule="auto"/>
        <w:rPr>
          <w:sz w:val="20"/>
          <w:szCs w:val="20"/>
          <w:color w:val="auto"/>
        </w:rPr>
      </w:pPr>
      <w:r>
        <w:rPr>
          <w:rFonts w:ascii="Arial" w:cs="Arial" w:eastAsia="Arial" w:hAnsi="Arial"/>
          <w:sz w:val="16"/>
          <w:szCs w:val="16"/>
          <w:b w:val="1"/>
          <w:bCs w:val="1"/>
          <w:color w:val="auto"/>
        </w:rPr>
        <w:t xml:space="preserve">6.6 </w:t>
      </w: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in accordance with the laws of the State of Tennessee (without giving effect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conflict of law principles that would require the application of any other laws), and it shall be enforced or challenged only in the courts of the State of Tennessee.</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6.7 </w:t>
      </w: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you expressly waive any right to a trial by jury in any action or proceeding to enforce or defend any rights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agree that any such action or proceeding shall be tried before a court and not a jury. You irrevocably waive, to the fullest extent permitted by law, any objection that you may have now or hereafter to the specified venue of any such action or proceeding and any claim that any such action or proceeding has been brought in an inconvenient forum.</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6.8 </w:t>
      </w: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 xml:space="preserve">. </w:t>
      </w:r>
      <w:r>
        <w:rPr>
          <w:rFonts w:ascii="Arial" w:cs="Arial" w:eastAsia="Arial" w:hAnsi="Arial"/>
          <w:sz w:val="17"/>
          <w:szCs w:val="17"/>
          <w:color w:val="auto"/>
        </w:rPr>
        <w:t>Failure or delay of either party to insist upon compliance with any provision of this Agreement will not operate as and is not to be</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to be a waiver or amendment of the provision or the right of the aggrieved party to insist upon compliance with the provision or to take remedial steps to recover damages or other relief for noncompliance. Any express waiver of any provision of this Agreement will not operate, and is not to be construed, as a waiver of any subsequent breach, irrespective of whether occurring under similar or dissimilar circumstances. You may not assign any of your rights under this Agreement. The rights and obligations of the Company under this Agreement shall benefit and bind the successors and assigns of the Company. The Company agrees that if it assigns this Agreement to any successor company, it will ensure that its terms are continued.</w:t>
      </w:r>
    </w:p>
    <w:p>
      <w:pPr>
        <w:spacing w:after="0" w:line="20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6.9</w:t>
      </w:r>
      <w:r>
        <w:rPr>
          <w:sz w:val="20"/>
          <w:szCs w:val="20"/>
          <w:color w:val="auto"/>
        </w:rPr>
        <w:tab/>
      </w:r>
      <w:r>
        <w:rPr>
          <w:rFonts w:ascii="Arial" w:cs="Arial" w:eastAsia="Arial" w:hAnsi="Arial"/>
          <w:sz w:val="15"/>
          <w:szCs w:val="15"/>
          <w:b w:val="1"/>
          <w:bCs w:val="1"/>
          <w:u w:val="single" w:color="auto"/>
          <w:color w:val="auto"/>
        </w:rPr>
        <w:t>Section 280G of the Code</w:t>
      </w:r>
      <w:r>
        <w:rPr>
          <w:rFonts w:ascii="Arial" w:cs="Arial" w:eastAsia="Arial" w:hAnsi="Arial"/>
          <w:sz w:val="15"/>
          <w:szCs w:val="15"/>
          <w:b w:val="1"/>
          <w:bCs w:val="1"/>
          <w:color w:val="auto"/>
        </w:rPr>
        <w:t>.</w:t>
      </w:r>
    </w:p>
    <w:p>
      <w:pPr>
        <w:spacing w:after="0" w:line="249" w:lineRule="exact"/>
        <w:rPr>
          <w:sz w:val="20"/>
          <w:szCs w:val="20"/>
          <w:color w:val="auto"/>
        </w:rPr>
      </w:pPr>
    </w:p>
    <w:p>
      <w:pPr>
        <w:jc w:val="both"/>
        <w:ind w:firstLine="3"/>
        <w:spacing w:after="0" w:line="274" w:lineRule="auto"/>
        <w:tabs>
          <w:tab w:leader="none" w:pos="722"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Notwithstanding any other provision to the contrary, if any payments or benefits that you would receive from the Company pursuant to this Agreement or otherwise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would, either separately or in the aggregate, (i) constitute “parachute payments” within the meaning of Section 280G of the Code, and (ii) but for this sentence, be subject to the excise tax imposed by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Payments will be equal to the Reduced Amount (defined below). The “</w:t>
      </w:r>
      <w:r>
        <w:rPr>
          <w:rFonts w:ascii="Arial" w:cs="Arial" w:eastAsia="Arial" w:hAnsi="Arial"/>
          <w:sz w:val="16"/>
          <w:szCs w:val="16"/>
          <w:u w:val="single" w:color="auto"/>
          <w:color w:val="auto"/>
        </w:rPr>
        <w:t>Reduced Amount</w:t>
      </w:r>
      <w:r>
        <w:rPr>
          <w:rFonts w:ascii="Arial" w:cs="Arial" w:eastAsia="Arial" w:hAnsi="Arial"/>
          <w:sz w:val="16"/>
          <w:szCs w:val="16"/>
          <w:color w:val="auto"/>
        </w:rPr>
        <w:t>” will be either (1) the entire amount of the Payments, or (2) an amount equal to the largest portion of the Payments that would result in no portion of any of the Payments (after reduction) being subject to the Excise Tax,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your receipt, on an after-tax basis, of the greatest amount of the Payments. If a reduction in the Payments is to be made so that the amount of the Payments equals the Reduced Amount, the Payments will be paid only to the extent permitted under the Reduced Amount alternative; provided, that in the event the Reduced Amount is paid, the cash payments set forth in Section 3.1 shall be reduced as required by the operation of this Section 6.9.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7" w:name="page48"/>
    <w:bookmarkEnd w:id="47"/>
    <w:p>
      <w:pPr>
        <w:jc w:val="both"/>
        <w:ind w:firstLine="3"/>
        <w:spacing w:after="0" w:line="258" w:lineRule="auto"/>
        <w:tabs>
          <w:tab w:leader="none" w:pos="71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shall engage the accounting firm engaged by the Company for general audit purposes at least 20 business days prior to the effective date of the Change in Control to perform any calculation necessary to determine the amount, if any, payable to you pursuant to Section 3.1, as limited by this Section 6.9. If the accounting firm so engaged by the Company is also serving as accountant or auditor for the individual, entity or group that will control the Company following the Change in Control, the Company may appoint a nationally recognized accounting firm other than the accounting firm engaged by the Company for general audit purposes to make the determinations required hereunder. The Company shall bear all expenses with respect to the determinations by such accounting firm required to be made hereunder.</w:t>
      </w:r>
    </w:p>
    <w:p>
      <w:pPr>
        <w:spacing w:after="0" w:line="210" w:lineRule="exact"/>
        <w:rPr>
          <w:rFonts w:ascii="Arial" w:cs="Arial" w:eastAsia="Arial" w:hAnsi="Arial"/>
          <w:sz w:val="17"/>
          <w:szCs w:val="17"/>
          <w:color w:val="auto"/>
        </w:rPr>
      </w:pPr>
    </w:p>
    <w:p>
      <w:pPr>
        <w:jc w:val="both"/>
        <w:ind w:firstLine="3"/>
        <w:spacing w:after="0" w:line="262" w:lineRule="auto"/>
        <w:tabs>
          <w:tab w:leader="none" w:pos="727"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accounting firm engaged to make the determinations hereunder shall provide its calculations, together with detailed supporting documentation, to the Company and you within 20 days after the date on which such accounting firm has been engaged to make such determinations or within such other time period as agreed to by the Company and you. Any good faith determinations of the accounting firm made hereunder shall be final, binding and conclusive upon the Company and you.</w:t>
      </w:r>
    </w:p>
    <w:p>
      <w:pPr>
        <w:spacing w:after="0" w:line="204" w:lineRule="exact"/>
        <w:rPr>
          <w:rFonts w:ascii="Arial" w:cs="Arial" w:eastAsia="Arial" w:hAnsi="Arial"/>
          <w:sz w:val="17"/>
          <w:szCs w:val="17"/>
          <w:color w:val="auto"/>
        </w:rPr>
      </w:pPr>
    </w:p>
    <w:p>
      <w:pPr>
        <w:jc w:val="both"/>
        <w:ind w:firstLine="3"/>
        <w:spacing w:after="0" w:line="260" w:lineRule="auto"/>
        <w:tabs>
          <w:tab w:leader="none" w:pos="764"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Notwithstanding the foregoing, in determining the reduction, if any, that shall occur as a result of this Section 6.9, the amounts payable or benefits to be provided to you shall be reduced such that the economic loss to you as a result of the Excise Tax elimination is minimized. In applying this principle, the reduction shall first be made to the cash payments described in Section 2.2(a) or Section 3.1, as applicable, first, and otherwise in a manner consistent with the requirements of Section 409A of the Code, and where more than one economically equivalent amounts are subject to reduction but payable at different times, such amounts shall be reduced on a pro rata basis but not below zero.</w:t>
      </w:r>
    </w:p>
    <w:p>
      <w:pPr>
        <w:spacing w:after="0" w:line="20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6.10</w:t>
      </w:r>
      <w:r>
        <w:rPr>
          <w:sz w:val="20"/>
          <w:szCs w:val="20"/>
          <w:color w:val="auto"/>
        </w:rPr>
        <w:tab/>
      </w:r>
      <w:r>
        <w:rPr>
          <w:rFonts w:ascii="Arial" w:cs="Arial" w:eastAsia="Arial" w:hAnsi="Arial"/>
          <w:sz w:val="15"/>
          <w:szCs w:val="15"/>
          <w:b w:val="1"/>
          <w:bCs w:val="1"/>
          <w:u w:val="single" w:color="auto"/>
          <w:color w:val="auto"/>
        </w:rPr>
        <w:t>Section 409A of the Code</w:t>
      </w:r>
      <w:r>
        <w:rPr>
          <w:rFonts w:ascii="Arial" w:cs="Arial" w:eastAsia="Arial" w:hAnsi="Arial"/>
          <w:sz w:val="15"/>
          <w:szCs w:val="15"/>
          <w:b w:val="1"/>
          <w:bCs w:val="1"/>
          <w:color w:val="auto"/>
        </w:rPr>
        <w:t>.</w:t>
      </w:r>
    </w:p>
    <w:p>
      <w:pPr>
        <w:spacing w:after="0" w:line="249" w:lineRule="exact"/>
        <w:rPr>
          <w:sz w:val="20"/>
          <w:szCs w:val="20"/>
          <w:color w:val="auto"/>
        </w:rPr>
      </w:pPr>
    </w:p>
    <w:p>
      <w:pPr>
        <w:jc w:val="both"/>
        <w:ind w:firstLine="3"/>
        <w:spacing w:after="0" w:line="257" w:lineRule="auto"/>
        <w:tabs>
          <w:tab w:leader="none" w:pos="8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Notwithstanding the other provisions hereof, this Agreement is intended to comply with the requirements of Section 409A of the Code, to the extent applicable, and this Agreement shall be interpreted to avoid any penalty sanctions under Section 409A of the Code. Accordingly, all provisions herein, or incorporated by reference, shall be construed and interpreted to comply with Section 409A of the Code and, if necessary, any such provision shall be deemed amended to comply with Section 409A of the Code and regulations thereunder. If any payment or benefit cannot be provided or made at the time specified herein without incurring sanctions under Section 409A of the Code, then such benefit or payment shall be provided in full at the earliest time thereafter when such sanctions will not be imposed. Except to the extent permitted under Section 409A of the Code, in no event may you, directly or indirectly, designate the calendar year of any payment under this Agreement. Each payment made under this Agreement shall be treated as a separate payment and the right to a series of installment payments under this Agreement is to be treated as a right to a series of separate payments.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8" w:name="page49"/>
    <w:bookmarkEnd w:id="48"/>
    <w:p>
      <w:pPr>
        <w:jc w:val="both"/>
        <w:ind w:firstLine="3"/>
        <w:spacing w:after="0" w:line="257" w:lineRule="auto"/>
        <w:tabs>
          <w:tab w:leader="none" w:pos="786"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Notwithstanding any provision to the contrary in this Agreement, if on the date of your termination of employment, you are a “specified employee” (as such term is defined in Section 409A(a)(2)(B)(i) of the Code and its corresponding regulations) as determined by the Board (or its delegate) in accordance with its “specified employee” determination policy, then all severance benefits payable to you under this Agreement that constitute deferred compensation subject to the requirements of Section 409A of the Code that are payable to you within the six (6) month period following your separation from service shall be postponed for a period of six (6) months following your “separation from service” with the Company (or any successor thereto). Any payments delayed pursuant to this Section 6.10(c) will be made in a lump sum on the Company’s first regularly scheduled payroll date that follows such six (6) month period or, if earlier, the date of your death, and any remaining payments required to be made under this Agreement will be paid upon the schedule otherwise applicable to such payments under this Agreement.</w:t>
      </w:r>
    </w:p>
    <w:p>
      <w:pPr>
        <w:spacing w:after="0" w:line="210" w:lineRule="exact"/>
        <w:rPr>
          <w:sz w:val="20"/>
          <w:szCs w:val="20"/>
          <w:color w:val="auto"/>
        </w:rPr>
      </w:pPr>
    </w:p>
    <w:p>
      <w:pPr>
        <w:jc w:val="both"/>
        <w:ind w:firstLine="3"/>
        <w:spacing w:after="0" w:line="280" w:lineRule="auto"/>
        <w:tabs>
          <w:tab w:leader="none" w:pos="7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Notwithstanding any other provision to the contrary, a termination of employment shall not be deemed to have occurred for purposes of any provision of this Agreement providing for the payment of “deferred compensation” (as such term is defined in Section 409A of the Code and the Treasury Regulations promulgated thereunder) upon or following a termination of employment unless such termination is also a “separation from service” from the Company within the meaning of Section 409A of the Code and Section 1.409A-1(h) of the Treasury Regulations and, for purposes of any such provision of this Agreement, references to a “separation,” “termination,” “termination of employment” or like terms shall mean “separation from service.”</w:t>
      </w:r>
    </w:p>
    <w:p>
      <w:pPr>
        <w:spacing w:after="0" w:line="192" w:lineRule="exact"/>
        <w:rPr>
          <w:sz w:val="20"/>
          <w:szCs w:val="20"/>
          <w:color w:val="auto"/>
        </w:rPr>
      </w:pPr>
    </w:p>
    <w:p>
      <w:pPr>
        <w:jc w:val="both"/>
        <w:ind w:firstLine="3"/>
        <w:spacing w:after="0" w:line="266" w:lineRule="auto"/>
        <w:tabs>
          <w:tab w:leader="none" w:pos="8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Notwithstanding any other provision to the contrary, in no event shall any payment under this Agreement that constitutes “deferred compensation” for purposes of Section 409A of the Code and the Treasury Regulations promulgated thereunder be subject to offset by any other amount unless otherwise permitted by Section 409A of the Code.</w:t>
      </w:r>
    </w:p>
    <w:p>
      <w:pPr>
        <w:spacing w:after="0" w:line="201" w:lineRule="exact"/>
        <w:rPr>
          <w:rFonts w:ascii="Arial" w:cs="Arial" w:eastAsia="Arial" w:hAnsi="Arial"/>
          <w:sz w:val="17"/>
          <w:szCs w:val="17"/>
          <w:color w:val="auto"/>
        </w:rPr>
      </w:pPr>
    </w:p>
    <w:p>
      <w:pPr>
        <w:jc w:val="both"/>
        <w:ind w:firstLine="3"/>
        <w:spacing w:after="0" w:line="257" w:lineRule="auto"/>
        <w:tabs>
          <w:tab w:leader="none" w:pos="78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the extent that any reimbursement, fringe benefit or other similar plan or arrangement in which you participate during the term of your employment under this Agreement or thereafter provides for a “deferral of compensation” within the meaning of Section 409A of the Code, (1) the amount eligible for reimbursement or payment under such plan or arrangement in one calendar year may not affect the amount eligible for reimbursement or payment in any other calendar year (except that a plan providing medical or health benefits may impose a generally applicable limit on the amount that may be reimbursed or paid); (2) subject to any shorter time periods provided herein or the applicable plans or arrangements, any reimbursement or payment of an expense under such plan or arrangement must be made on or before the last day of the calendar year following the calendar year in which the expense was incurred; and (3) any such reimbursement or payment may not be subject to liquidation or exchange for another benefit, all in accordance with Section 1.409A-3(i)(1)(iv) of the Treasury Regulations.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9" w:name="page50"/>
    <w:bookmarkEnd w:id="49"/>
    <w:p>
      <w:pPr>
        <w:ind w:firstLine="3"/>
        <w:spacing w:after="0" w:line="280" w:lineRule="auto"/>
        <w:tabs>
          <w:tab w:leader="none" w:pos="821"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 the avoidance of doubt, any payment due under this Agreement within a period following your termination of employment or other event, shall be made on a date during such period as determined by the Company in its sole discretion.</w:t>
      </w:r>
    </w:p>
    <w:p>
      <w:pPr>
        <w:spacing w:after="0" w:line="189" w:lineRule="exact"/>
        <w:rPr>
          <w:rFonts w:ascii="Arial" w:cs="Arial" w:eastAsia="Arial" w:hAnsi="Arial"/>
          <w:sz w:val="17"/>
          <w:szCs w:val="17"/>
          <w:color w:val="auto"/>
        </w:rPr>
      </w:pPr>
    </w:p>
    <w:p>
      <w:pPr>
        <w:jc w:val="both"/>
        <w:ind w:firstLine="3"/>
        <w:spacing w:after="0" w:line="291" w:lineRule="auto"/>
        <w:tabs>
          <w:tab w:leader="none" w:pos="8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By accepting this agreement, you hereby agree and acknowledges that the Company makes no representations with respect to the application of Code Section 409A to any tax, economic, or legal consequences of any payments payable to you hereunder and, by the acceptance of this Agreement, you agree to accept the potential application of Code Section 409A to the tax and legal consequences of payments payable to you hereunder.</w:t>
      </w:r>
    </w:p>
    <w:p>
      <w:pPr>
        <w:spacing w:after="0" w:line="18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If all of the terms and conditions in this Agreement are agreed to by you, please signify your agreement by executing the enclosed duplicate of this letter and returning it to us. At the date of your return, this letter shall constitute a fully enforceable Agreement between us.</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CRACKER BARREL OLD COUNTRY STORE, INC.</w:t>
      </w:r>
    </w:p>
    <w:p>
      <w:pPr>
        <w:spacing w:after="0" w:line="218"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22860</wp:posOffset>
            </wp:positionV>
            <wp:extent cx="253238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foregoing is fully agreed to and accepted by: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Company Employee’s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304863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48635" cy="1651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Please Print or Type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14605</wp:posOffset>
            </wp:positionV>
            <wp:extent cx="326136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61360" cy="1651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Please Print or Type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14605</wp:posOffset>
            </wp:positionV>
            <wp:extent cx="333565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35655" cy="1651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0" w:name="page51"/>
    <w:bookmarkEnd w:id="50"/>
    <w:tbl>
      <w:tblPr>
        <w:tblLayout w:type="fixed"/>
        <w:tblInd w:w="59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Exhibit A</w:t>
            </w:r>
          </w:p>
        </w:tc>
        <w:tc>
          <w:tcPr>
            <w:tcW w:w="4780" w:type="dxa"/>
            <w:vAlign w:val="bottom"/>
          </w:tcPr>
          <w:p>
            <w:pPr>
              <w:spacing w:after="0"/>
              <w:rPr>
                <w:sz w:val="16"/>
                <w:szCs w:val="16"/>
                <w:color w:val="auto"/>
              </w:rPr>
            </w:pPr>
          </w:p>
        </w:tc>
      </w:tr>
      <w:tr>
        <w:trPr>
          <w:trHeight w:val="456"/>
        </w:trPr>
        <w:tc>
          <w:tcPr>
            <w:tcW w:w="3440" w:type="dxa"/>
            <w:vAlign w:val="bottom"/>
          </w:tcPr>
          <w:p>
            <w:pPr>
              <w:spacing w:after="0"/>
              <w:rPr>
                <w:sz w:val="24"/>
                <w:szCs w:val="24"/>
                <w:color w:val="auto"/>
              </w:rPr>
            </w:pPr>
          </w:p>
        </w:tc>
        <w:tc>
          <w:tcPr>
            <w:tcW w:w="6840" w:type="dxa"/>
            <w:vAlign w:val="bottom"/>
            <w:gridSpan w:val="3"/>
          </w:tcPr>
          <w:p>
            <w:pPr>
              <w:jc w:val="center"/>
              <w:ind w:right="3374"/>
              <w:spacing w:after="0"/>
              <w:rPr>
                <w:sz w:val="20"/>
                <w:szCs w:val="20"/>
                <w:color w:val="auto"/>
              </w:rPr>
            </w:pPr>
            <w:r>
              <w:rPr>
                <w:rFonts w:ascii="Arial" w:cs="Arial" w:eastAsia="Arial" w:hAnsi="Arial"/>
                <w:sz w:val="17"/>
                <w:szCs w:val="17"/>
                <w:b w:val="1"/>
                <w:bCs w:val="1"/>
                <w:color w:val="auto"/>
                <w:w w:val="88"/>
              </w:rPr>
              <w:t>Section 2.2 Severance Benefits</w:t>
            </w:r>
          </w:p>
        </w:tc>
      </w:tr>
      <w:tr>
        <w:trPr>
          <w:trHeight w:val="257"/>
        </w:trPr>
        <w:tc>
          <w:tcPr>
            <w:tcW w:w="3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780" w:type="dxa"/>
            <w:vAlign w:val="bottom"/>
            <w:tcBorders>
              <w:bottom w:val="single" w:sz="8" w:color="auto"/>
            </w:tcBorders>
          </w:tcPr>
          <w:p>
            <w:pPr>
              <w:spacing w:after="0"/>
              <w:rPr>
                <w:sz w:val="22"/>
                <w:szCs w:val="22"/>
                <w:color w:val="auto"/>
              </w:rPr>
            </w:pPr>
          </w:p>
        </w:tc>
      </w:tr>
      <w:tr>
        <w:trPr>
          <w:trHeight w:val="195"/>
        </w:trPr>
        <w:tc>
          <w:tcPr>
            <w:tcW w:w="3440" w:type="dxa"/>
            <w:vAlign w:val="bottom"/>
            <w:tcBorders>
              <w:left w:val="single" w:sz="8" w:color="auto"/>
              <w:bottom w:val="single" w:sz="8" w:color="auto"/>
              <w:right w:val="single" w:sz="8" w:color="auto"/>
            </w:tcBorders>
          </w:tcPr>
          <w:p>
            <w:pPr>
              <w:ind w:left="1120"/>
              <w:spacing w:after="0" w:line="189" w:lineRule="exact"/>
              <w:rPr>
                <w:sz w:val="20"/>
                <w:szCs w:val="20"/>
                <w:color w:val="auto"/>
              </w:rPr>
            </w:pPr>
            <w:r>
              <w:rPr>
                <w:rFonts w:ascii="Arial" w:cs="Arial" w:eastAsia="Arial" w:hAnsi="Arial"/>
                <w:sz w:val="17"/>
                <w:szCs w:val="17"/>
                <w:color w:val="auto"/>
              </w:rPr>
              <w:t>Position</w:t>
            </w:r>
          </w:p>
        </w:tc>
        <w:tc>
          <w:tcPr>
            <w:tcW w:w="1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780" w:type="dxa"/>
            <w:vAlign w:val="bottom"/>
            <w:tcBorders>
              <w:bottom w:val="single" w:sz="8" w:color="auto"/>
              <w:right w:val="single" w:sz="8" w:color="auto"/>
            </w:tcBorders>
          </w:tcPr>
          <w:p>
            <w:pPr>
              <w:ind w:left="400"/>
              <w:spacing w:after="0" w:line="189" w:lineRule="exact"/>
              <w:rPr>
                <w:sz w:val="20"/>
                <w:szCs w:val="20"/>
                <w:color w:val="auto"/>
              </w:rPr>
            </w:pPr>
            <w:r>
              <w:rPr>
                <w:rFonts w:ascii="Arial" w:cs="Arial" w:eastAsia="Arial" w:hAnsi="Arial"/>
                <w:sz w:val="17"/>
                <w:szCs w:val="17"/>
                <w:color w:val="auto"/>
              </w:rPr>
              <w:t>Severance Benefit</w:t>
            </w:r>
          </w:p>
        </w:tc>
      </w:tr>
      <w:tr>
        <w:trPr>
          <w:trHeight w:val="212"/>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spacing w:after="0"/>
              <w:rPr>
                <w:sz w:val="18"/>
                <w:szCs w:val="18"/>
                <w:color w:val="auto"/>
              </w:rPr>
            </w:pPr>
          </w:p>
        </w:tc>
      </w:tr>
      <w:tr>
        <w:trPr>
          <w:trHeight w:val="194"/>
        </w:trPr>
        <w:tc>
          <w:tcPr>
            <w:tcW w:w="3440" w:type="dxa"/>
            <w:vAlign w:val="bottom"/>
            <w:tcBorders>
              <w:left w:val="single" w:sz="8" w:color="auto"/>
              <w:right w:val="single" w:sz="8" w:color="auto"/>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Senior Vice President and General</w:t>
            </w:r>
          </w:p>
        </w:tc>
        <w:tc>
          <w:tcPr>
            <w:tcW w:w="6840" w:type="dxa"/>
            <w:vAlign w:val="bottom"/>
            <w:tcBorders>
              <w:right w:val="single" w:sz="8" w:color="auto"/>
            </w:tcBorders>
            <w:gridSpan w:val="3"/>
            <w:shd w:val="clear" w:color="auto" w:fill="CCEEFF"/>
          </w:tcPr>
          <w:p>
            <w:pPr>
              <w:spacing w:after="0" w:line="194" w:lineRule="exact"/>
              <w:rPr>
                <w:sz w:val="20"/>
                <w:szCs w:val="20"/>
                <w:color w:val="auto"/>
              </w:rPr>
            </w:pPr>
            <w:r>
              <w:rPr>
                <w:rFonts w:ascii="Arial" w:cs="Arial" w:eastAsia="Arial" w:hAnsi="Arial"/>
                <w:sz w:val="17"/>
                <w:szCs w:val="17"/>
                <w:color w:val="auto"/>
              </w:rPr>
              <w:t>12 months base salary plus one additional week of severance for each year of service in</w:t>
            </w:r>
          </w:p>
        </w:tc>
      </w:tr>
      <w:tr>
        <w:trPr>
          <w:trHeight w:val="225"/>
        </w:trPr>
        <w:tc>
          <w:tcPr>
            <w:tcW w:w="34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Counsel</w:t>
            </w:r>
          </w:p>
        </w:tc>
        <w:tc>
          <w:tcPr>
            <w:tcW w:w="684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excess of 15 years (not to exceed 18 months total severance)</w:t>
            </w:r>
          </w:p>
        </w:tc>
      </w:tr>
    </w:tbl>
    <w:p>
      <w:pPr>
        <w:spacing w:after="0" w:line="220"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For purposes of this Agreement, “year of service” means twelve (12) consecutive months of continuous full time employment (32 hours or more per week) with the Company. Breaks in service of more than 90 days are not recognized as continuous employment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25741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u w:val="single" w:color="auto"/>
          <w:color w:val="auto"/>
        </w:rPr>
        <w:t>Exhibit B</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 Severance Benefits</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u w:val="single" w:color="auto"/>
          <w:color w:val="auto"/>
        </w:rPr>
        <w:t>Section 3.1 Amount and Term</w:t>
      </w:r>
      <w:r>
        <w:rPr>
          <w:rFonts w:ascii="Arial" w:cs="Arial" w:eastAsia="Arial" w:hAnsi="Arial"/>
          <w:sz w:val="17"/>
          <w:szCs w:val="17"/>
          <w:color w:val="auto"/>
        </w:rPr>
        <w:t>: The amount of the Severance Benefits shall be determined in accordance with your position with the Company immediately before the Date of Termination (exclusive of any Company action constituting Good Reason) as follows:</w:t>
      </w:r>
    </w:p>
    <w:p>
      <w:pPr>
        <w:spacing w:after="0" w:line="189" w:lineRule="exact"/>
        <w:rPr>
          <w:sz w:val="20"/>
          <w:szCs w:val="20"/>
          <w:color w:val="auto"/>
        </w:rPr>
      </w:pPr>
    </w:p>
    <w:p>
      <w:pPr>
        <w:jc w:val="both"/>
        <w:ind w:firstLine="3"/>
        <w:spacing w:after="0" w:line="291" w:lineRule="auto"/>
        <w:tabs>
          <w:tab w:leader="none" w:pos="751" w:val="left"/>
        </w:tabs>
        <w:numPr>
          <w:ilvl w:val="0"/>
          <w:numId w:val="43"/>
        </w:numPr>
        <w:rPr>
          <w:rFonts w:ascii="Arial" w:cs="Arial" w:eastAsia="Arial" w:hAnsi="Arial"/>
          <w:sz w:val="16"/>
          <w:szCs w:val="16"/>
          <w:color w:val="auto"/>
        </w:rPr>
      </w:pPr>
      <w:r>
        <w:rPr>
          <w:rFonts w:ascii="Arial" w:cs="Arial" w:eastAsia="Arial" w:hAnsi="Arial"/>
          <w:sz w:val="16"/>
          <w:szCs w:val="16"/>
          <w:color w:val="auto"/>
        </w:rPr>
        <w:t>SVP/General Counsel - an amount equal to the product of 2.00 times the sum of the following amounts: (1) the average of your annual base salary for the three (3) years immediately preceding the Termination Date, and (2) the average of any bonus payments for the three (3) years immediately preceding the Termination Date. This payment shall be made in cash in a single lump sum immediately following the expiration of the Severance Delay Period.</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u w:val="single" w:color="auto"/>
          <w:color w:val="auto"/>
        </w:rPr>
        <w:t>Section 3.2 Term</w:t>
      </w:r>
      <w:r>
        <w:rPr>
          <w:rFonts w:ascii="Arial" w:cs="Arial" w:eastAsia="Arial" w:hAnsi="Arial"/>
          <w:sz w:val="17"/>
          <w:szCs w:val="17"/>
          <w:color w:val="auto"/>
        </w:rPr>
        <w:t>: Except as otherwise provided in Section 3.2, the Company’s obligation to reimburse premium during the COBRA Continuation Period shall begin as of the Termination Date and end 18 months following the Termination Date. If at this time you are not eligible to receive healthcare coverage from another employer, the Company will continue to reimburse you an amount equal to the monthly COBRA premium for up to an additional 6 months (or, if earlier, the time at which you become eligible to receive such healthcare coverage from another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725741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7"/>
          <w:szCs w:val="17"/>
          <w:b w:val="1"/>
          <w:bCs w:val="1"/>
          <w:u w:val="single" w:color="auto"/>
          <w:color w:val="auto"/>
        </w:rPr>
        <w:t>Exhibit 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GENERAL RELEASE</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 __________, in  consideration of and subject to the performance by Cracker Barrel Old Country Store, Inc. (together with each of its Subsidiaries,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of its obligations under the Severance and Noncompetition Agreement, dated as of the date as of _____________ (the “</w:t>
      </w:r>
      <w:r>
        <w:rPr>
          <w:rFonts w:ascii="Arial" w:cs="Arial" w:eastAsia="Arial" w:hAnsi="Arial"/>
          <w:sz w:val="15"/>
          <w:szCs w:val="15"/>
          <w:u w:val="single" w:color="auto"/>
          <w:color w:val="auto"/>
        </w:rPr>
        <w:t>Agreement</w:t>
      </w:r>
      <w:r>
        <w:rPr>
          <w:rFonts w:ascii="Arial" w:cs="Arial" w:eastAsia="Arial" w:hAnsi="Arial"/>
          <w:sz w:val="15"/>
          <w:szCs w:val="15"/>
          <w:color w:val="auto"/>
        </w:rPr>
        <w:t>”), do hereby release</w:t>
      </w:r>
    </w:p>
    <w:p>
      <w:pPr>
        <w:spacing w:after="0" w:line="34" w:lineRule="exact"/>
        <w:rPr>
          <w:sz w:val="20"/>
          <w:szCs w:val="20"/>
          <w:color w:val="auto"/>
        </w:rPr>
      </w:pPr>
    </w:p>
    <w:p>
      <w:pPr>
        <w:spacing w:after="0" w:line="334" w:lineRule="auto"/>
        <w:rPr>
          <w:sz w:val="20"/>
          <w:szCs w:val="20"/>
          <w:color w:val="auto"/>
        </w:rPr>
      </w:pPr>
      <w:r>
        <w:rPr>
          <w:rFonts w:ascii="Arial" w:cs="Arial" w:eastAsia="Arial" w:hAnsi="Arial"/>
          <w:sz w:val="15"/>
          <w:szCs w:val="15"/>
          <w:color w:val="auto"/>
        </w:rPr>
        <w:t>and forever discharge as of the date hereof the Company and its affiliates and all present and former directors, officers, agents, representatives, employees, successors and assigns of the Company and its affiliates and the Company’s direct or indirect owners (collectively, the “</w:t>
      </w:r>
      <w:r>
        <w:rPr>
          <w:rFonts w:ascii="Arial" w:cs="Arial" w:eastAsia="Arial" w:hAnsi="Arial"/>
          <w:sz w:val="15"/>
          <w:szCs w:val="15"/>
          <w:u w:val="single" w:color="auto"/>
          <w:color w:val="auto"/>
        </w:rPr>
        <w:t>Released Parties</w:t>
      </w:r>
      <w:r>
        <w:rPr>
          <w:rFonts w:ascii="Arial" w:cs="Arial" w:eastAsia="Arial" w:hAnsi="Arial"/>
          <w:sz w:val="15"/>
          <w:szCs w:val="15"/>
          <w:color w:val="auto"/>
        </w:rPr>
        <w:t>”) to the extent provided below.</w:t>
      </w:r>
    </w:p>
    <w:p>
      <w:pPr>
        <w:spacing w:after="0" w:line="154" w:lineRule="exact"/>
        <w:rPr>
          <w:sz w:val="20"/>
          <w:szCs w:val="20"/>
          <w:color w:val="auto"/>
        </w:rPr>
      </w:pPr>
    </w:p>
    <w:p>
      <w:pPr>
        <w:jc w:val="both"/>
        <w:ind w:left="620" w:hanging="617"/>
        <w:spacing w:after="0" w:line="276" w:lineRule="auto"/>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understand that any payments or benefits paid (or the right to obtain such payments or benefits granted to me subject to compliance with Section 5) under Section 2 or 3 of the Agreement represent, in part, consideration for signing this General Release and are not salary, wages or benefits to which I was already entitled. I understand and agree that I will not receive the payments and benefits specified in Section 2 or Section 3 of the Agreement unless I execute this General Release and do not revoke this General Release within the time period permitted hereafter or breach this General Release. Such payments and benefits will not be considered compensation for purposes of any employee benefit plan, program, policy or arrangement maintained or hereafter established by the Company or its affiliates. I also acknowledge and represent that I have received all payments and benefits that I am entitled to receive (as of the date hereof) by virtue of any employment by the Company.</w:t>
      </w:r>
    </w:p>
    <w:p>
      <w:pPr>
        <w:spacing w:after="0" w:line="196" w:lineRule="exact"/>
        <w:rPr>
          <w:rFonts w:ascii="Arial" w:cs="Arial" w:eastAsia="Arial" w:hAnsi="Arial"/>
          <w:sz w:val="16"/>
          <w:szCs w:val="16"/>
          <w:color w:val="auto"/>
        </w:rPr>
      </w:pPr>
    </w:p>
    <w:p>
      <w:pPr>
        <w:jc w:val="both"/>
        <w:ind w:left="620" w:hanging="617"/>
        <w:spacing w:after="0" w:line="272" w:lineRule="auto"/>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Except as provided in paragraph 4 below,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this General Release becomes effective and enforceable) and whether known or unknown, suspected, or claimed against the Company or any of the Released Parties which I, my spouse, or any of my heirs, executors, administrators or assigns, may have, which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the Genetic Information Nondiscrimination Act of 2008;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Arial" w:cs="Arial" w:eastAsia="Arial" w:hAnsi="Arial"/>
          <w:sz w:val="16"/>
          <w:szCs w:val="16"/>
          <w:u w:val="single" w:color="auto"/>
          <w:color w:val="auto"/>
        </w:rPr>
        <w:t>Claims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379730</wp:posOffset>
            </wp:positionV>
            <wp:extent cx="725741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53" w:name="page54"/>
    <w:bookmarkEnd w:id="53"/>
    <w:p>
      <w:pPr>
        <w:ind w:left="620" w:hanging="617"/>
        <w:spacing w:after="0"/>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represent that I have made no assignment or transfer of any right, claim, demand, cause of action, or other matter covered by paragraph 2 above.</w:t>
      </w:r>
    </w:p>
    <w:p>
      <w:pPr>
        <w:spacing w:after="0" w:line="254" w:lineRule="exact"/>
        <w:rPr>
          <w:rFonts w:ascii="Arial" w:cs="Arial" w:eastAsia="Arial" w:hAnsi="Arial"/>
          <w:sz w:val="16"/>
          <w:szCs w:val="16"/>
          <w:color w:val="auto"/>
        </w:rPr>
      </w:pPr>
    </w:p>
    <w:p>
      <w:pPr>
        <w:jc w:val="both"/>
        <w:ind w:left="620" w:hanging="617"/>
        <w:spacing w:after="0" w:line="256"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I further agree that I am not aware of any pending charge or complaint of the type described in paragraph 2 as of the execution of this General Release.</w:t>
      </w:r>
    </w:p>
    <w:p>
      <w:pPr>
        <w:spacing w:after="0" w:line="214" w:lineRule="exact"/>
        <w:rPr>
          <w:rFonts w:ascii="Arial" w:cs="Arial" w:eastAsia="Arial" w:hAnsi="Arial"/>
          <w:sz w:val="17"/>
          <w:szCs w:val="17"/>
          <w:color w:val="auto"/>
        </w:rPr>
      </w:pPr>
    </w:p>
    <w:p>
      <w:pPr>
        <w:ind w:left="620" w:hanging="617"/>
        <w:spacing w:after="0" w:line="280"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89" w:lineRule="exact"/>
        <w:rPr>
          <w:rFonts w:ascii="Arial" w:cs="Arial" w:eastAsia="Arial" w:hAnsi="Arial"/>
          <w:sz w:val="17"/>
          <w:szCs w:val="17"/>
          <w:color w:val="auto"/>
        </w:rPr>
      </w:pPr>
    </w:p>
    <w:p>
      <w:pPr>
        <w:jc w:val="both"/>
        <w:ind w:left="620" w:hanging="617"/>
        <w:spacing w:after="0" w:line="266"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agree that if I violate this General Release by suing the Company or the other Released Parties for any claim that does not arise under the Age Discrimination in Employment Act, I will pay all costs and expenses of defending against the suit incurred by the Released Parties, including reasonable attorneys’ fees, and return all payments received by me pursuant to the Agreement.</w:t>
      </w:r>
    </w:p>
    <w:p>
      <w:pPr>
        <w:spacing w:after="0" w:line="201" w:lineRule="exact"/>
        <w:rPr>
          <w:rFonts w:ascii="Arial" w:cs="Arial" w:eastAsia="Arial" w:hAnsi="Arial"/>
          <w:sz w:val="17"/>
          <w:szCs w:val="17"/>
          <w:color w:val="auto"/>
        </w:rPr>
      </w:pPr>
    </w:p>
    <w:p>
      <w:pPr>
        <w:jc w:val="both"/>
        <w:ind w:left="620" w:hanging="617"/>
        <w:spacing w:after="0" w:line="294" w:lineRule="auto"/>
        <w:tabs>
          <w:tab w:leader="none" w:pos="6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 agree that this General Release is confidential and agree not to disclose any information regarding the terms of this General Release, except to my immediate family and any tax, legal or other counsel I have consulted regarding the meaning or effect hereof or as required by law, and I will instruct each of the foregoing not to disclose the same to anyone. Notwithstanding anything herein to the contrary, each of the parties (and each affiliate and person acting on behalf of any such party) agree that each party (and each employee, representative, and other agent of such party) may disclose to any and all persons, without limitation of any kind, the tax treatment and tax structure of this transaction contemplated in the Agreement and all materials of any kind (including opinions or other tax analyses) that are provided to such party or such person relating to such tax treatment and tax structure, except to the extent necessary to comply with any applicable federal or state securities laws. This authorization is not intended to permit disclosure of any other information including (without limitation) (i) any portion of any materials to the extent not related to the tax treatment or tax structure of this transaction, (ii) the identities of participants or potential participants in the Agreement, (iii) any financial information (except to the extent such information is related to the tax treatment or tax structure of this transaction), or (iv) any other term or detail not relevant to the tax treatment or the tax structure of this transaction.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4" w:name="page55"/>
    <w:bookmarkEnd w:id="54"/>
    <w:p>
      <w:pPr>
        <w:jc w:val="both"/>
        <w:ind w:left="620" w:hanging="617"/>
        <w:spacing w:after="0" w:line="266" w:lineRule="auto"/>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non-disclosure provision in this General Release does not prohibit or restrict me (or my attorney) from responding to any inquiry about this General Release or its underlying facts and circumstances by the Securities and Exchange Commission (SEC), the Financial Industry Regulatory Authority (FINRA), any other self-regulatory organization or governmental entity.</w:t>
      </w:r>
    </w:p>
    <w:p>
      <w:pPr>
        <w:spacing w:after="0" w:line="201" w:lineRule="exact"/>
        <w:rPr>
          <w:rFonts w:ascii="Arial" w:cs="Arial" w:eastAsia="Arial" w:hAnsi="Arial"/>
          <w:sz w:val="17"/>
          <w:szCs w:val="17"/>
          <w:color w:val="auto"/>
        </w:rPr>
      </w:pPr>
    </w:p>
    <w:p>
      <w:pPr>
        <w:ind w:left="620" w:hanging="617"/>
        <w:spacing w:after="0" w:line="280" w:lineRule="auto"/>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 agree to reasonably cooperate with the Company in any internal investigation, any administrative, regulatory, or judicial proceeding or any dispute with a third party.</w:t>
      </w:r>
    </w:p>
    <w:p>
      <w:pPr>
        <w:spacing w:after="0" w:line="189" w:lineRule="exact"/>
        <w:rPr>
          <w:rFonts w:ascii="Arial" w:cs="Arial" w:eastAsia="Arial" w:hAnsi="Arial"/>
          <w:sz w:val="17"/>
          <w:szCs w:val="17"/>
          <w:color w:val="auto"/>
        </w:rPr>
      </w:pPr>
    </w:p>
    <w:p>
      <w:pPr>
        <w:jc w:val="both"/>
        <w:ind w:left="620" w:hanging="617"/>
        <w:spacing w:after="0" w:line="256" w:lineRule="auto"/>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 agree not to disparage the Company, its past and present investors, officers, directors or employees or its affiliates and to keep all confidential and proprietary information about the past or present business affairs of the Company and its affiliates confidential in accordance with the terms of the Agreement unless a prior written release from the Company is obtained. I further agree that as of the date hereof, I have returned to the Company any and all property, tangible or intangible, relating to its business, which I possessed or had control over at any time (including, but not limited to, Company-provided credit cards, building or office access cards, keys, computer equipment, manuals, files, documents, records, software, customer data base and other data) and that I shall not retain any copies, compilations, extracts, excerpts, summaries or other notes of any such manuals, files, documents, records, software, customer data base or other data. Nothing in this Agreement will prohibit the making of any truthful statements made by any Person in response to a lawful subpoena or legal proceeding or to enforce such Person’s rights under this Agreement, or any other agreement between you, the Company, and its Subsidiaries.</w:t>
      </w:r>
    </w:p>
    <w:p>
      <w:pPr>
        <w:spacing w:after="0" w:line="214" w:lineRule="exact"/>
        <w:rPr>
          <w:rFonts w:ascii="Arial" w:cs="Arial" w:eastAsia="Arial" w:hAnsi="Arial"/>
          <w:sz w:val="17"/>
          <w:szCs w:val="17"/>
          <w:color w:val="auto"/>
        </w:rPr>
      </w:pPr>
    </w:p>
    <w:p>
      <w:pPr>
        <w:jc w:val="both"/>
        <w:ind w:left="620" w:hanging="617"/>
        <w:spacing w:after="0" w:line="278" w:lineRule="auto"/>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Notwithstanding anything in this General Release to the contrary, this General Release shall not relinquish, diminish, or in any way affect (i) any rights or claims arising out of any breach by the Company or by any Released Party of the Agreement after the date hereof, (ii) any rights or obligations under applicable law which cannot be waived or released pursuant to an agreement, (iii) any rights to payments or benefits under Section 2 or Section 3 of the Agreement, (iv) my rights of indemnification and directors and officers insurance coverage to which I may be entitled solely with regards to my service as an officer or director of the Company; (v) my rights with regard to accrued benefits under any employee benefit plan, policy or arrangement maintained by the Company or under COBRA; and (vi) my rights as a stockholder or other equityholder of the Company and/or its affiliates.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5" w:name="page56"/>
    <w:bookmarkEnd w:id="55"/>
    <w:p>
      <w:pPr>
        <w:jc w:val="both"/>
        <w:ind w:left="620" w:hanging="617"/>
        <w:spacing w:after="0" w:line="283" w:lineRule="auto"/>
        <w:tabs>
          <w:tab w:leader="none" w:pos="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BY SIGNING THIS GENERAL RELEASE, I REPRESENT AND AGREE THAT:</w:t>
      </w:r>
    </w:p>
    <w:p>
      <w:pPr>
        <w:spacing w:after="0" w:line="243" w:lineRule="exact"/>
        <w:rPr>
          <w:sz w:val="20"/>
          <w:szCs w:val="20"/>
          <w:color w:val="auto"/>
        </w:rPr>
      </w:pPr>
    </w:p>
    <w:p>
      <w:pPr>
        <w:ind w:left="620" w:hanging="617"/>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HAVE READ IT CAREFULLY;</w:t>
      </w:r>
    </w:p>
    <w:p>
      <w:pPr>
        <w:spacing w:after="0" w:line="243" w:lineRule="exact"/>
        <w:rPr>
          <w:rFonts w:ascii="Arial" w:cs="Arial" w:eastAsia="Arial" w:hAnsi="Arial"/>
          <w:sz w:val="17"/>
          <w:szCs w:val="17"/>
          <w:color w:val="auto"/>
        </w:rPr>
      </w:pPr>
    </w:p>
    <w:p>
      <w:pPr>
        <w:jc w:val="both"/>
        <w:ind w:left="620" w:hanging="617"/>
        <w:spacing w:after="0" w:line="262"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204" w:lineRule="exact"/>
        <w:rPr>
          <w:rFonts w:ascii="Arial" w:cs="Arial" w:eastAsia="Arial" w:hAnsi="Arial"/>
          <w:sz w:val="17"/>
          <w:szCs w:val="17"/>
          <w:color w:val="auto"/>
        </w:rPr>
      </w:pPr>
    </w:p>
    <w:p>
      <w:pPr>
        <w:ind w:left="620" w:hanging="617"/>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VOLUNTARILY CONSENT TO EVERYTHING IN IT;</w:t>
      </w:r>
    </w:p>
    <w:p>
      <w:pPr>
        <w:spacing w:after="0" w:line="243" w:lineRule="exact"/>
        <w:rPr>
          <w:rFonts w:ascii="Arial" w:cs="Arial" w:eastAsia="Arial" w:hAnsi="Arial"/>
          <w:sz w:val="17"/>
          <w:szCs w:val="17"/>
          <w:color w:val="auto"/>
        </w:rPr>
      </w:pPr>
    </w:p>
    <w:p>
      <w:pPr>
        <w:ind w:left="620" w:hanging="617"/>
        <w:spacing w:after="0" w:line="280"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HAVE BEEN ADVISED TO CONSULT WITH AN ATTORNEY BEFORE EXECUTING IT AND I HAVE DONE SO OR, AFTER CAREFUL READING AND CONSIDERATION, I HAVE CHOSEN NOT TO DO SO OF MY OWN VOLITION;</w:t>
      </w:r>
    </w:p>
    <w:p>
      <w:pPr>
        <w:spacing w:after="0" w:line="189" w:lineRule="exact"/>
        <w:rPr>
          <w:rFonts w:ascii="Arial" w:cs="Arial" w:eastAsia="Arial" w:hAnsi="Arial"/>
          <w:sz w:val="17"/>
          <w:szCs w:val="17"/>
          <w:color w:val="auto"/>
        </w:rPr>
      </w:pPr>
    </w:p>
    <w:p>
      <w:pPr>
        <w:ind w:left="620" w:hanging="617"/>
        <w:spacing w:after="0" w:line="280"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HAVE HAD AT LEAST 21 DAYS FROM THE DATE OF MY RECEIPT OF THIS RELEASE SUBSTANTIALLY IN ITS FINAL FORM ON [_______________ __, _____] TO CONSIDER IT;</w:t>
      </w:r>
    </w:p>
    <w:p>
      <w:pPr>
        <w:spacing w:after="0" w:line="189" w:lineRule="exact"/>
        <w:rPr>
          <w:rFonts w:ascii="Arial" w:cs="Arial" w:eastAsia="Arial" w:hAnsi="Arial"/>
          <w:sz w:val="17"/>
          <w:szCs w:val="17"/>
          <w:color w:val="auto"/>
        </w:rPr>
      </w:pPr>
    </w:p>
    <w:p>
      <w:pPr>
        <w:ind w:left="620" w:hanging="617"/>
        <w:spacing w:after="0" w:line="280"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CHANGES TO THE AGREEMENT SINCE [_______________ ___, _____] EITHER ARE NOT MATERIAL OR WERE MADE AT MY REQUEST.</w:t>
      </w:r>
    </w:p>
    <w:p>
      <w:pPr>
        <w:spacing w:after="0" w:line="189" w:lineRule="exact"/>
        <w:rPr>
          <w:rFonts w:ascii="Arial" w:cs="Arial" w:eastAsia="Arial" w:hAnsi="Arial"/>
          <w:sz w:val="17"/>
          <w:szCs w:val="17"/>
          <w:color w:val="auto"/>
        </w:rPr>
      </w:pPr>
    </w:p>
    <w:p>
      <w:pPr>
        <w:ind w:left="620" w:hanging="617"/>
        <w:spacing w:after="0" w:line="280"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UNDERSTAND THAT I HAVE SEVEN DAYS AFTER THE EXECUTION OF THIS RELEASE TO REVOKE IT AND THAT THIS RELEASE SHALL NOT BECOME EFFECTIVE OR ENFORCEABLE UNTIL THE REVOCATION PERIOD HAS EXPIRED;</w:t>
      </w:r>
    </w:p>
    <w:p>
      <w:pPr>
        <w:spacing w:after="0" w:line="189" w:lineRule="exact"/>
        <w:rPr>
          <w:rFonts w:ascii="Arial" w:cs="Arial" w:eastAsia="Arial" w:hAnsi="Arial"/>
          <w:sz w:val="17"/>
          <w:szCs w:val="17"/>
          <w:color w:val="auto"/>
        </w:rPr>
      </w:pPr>
    </w:p>
    <w:p>
      <w:pPr>
        <w:ind w:left="620" w:hanging="617"/>
        <w:spacing w:after="0" w:line="280"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HAVE SIGNED THIS GENERAL RELEASE KNOWINGLY AND VOLUNTARILY AND WITH THE ADVICE OF ANY COUNSEL RETAINED TO ADVISE ME WITH RESPECT TO IT; AND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6" w:name="page57"/>
    <w:bookmarkEnd w:id="56"/>
    <w:p>
      <w:pPr>
        <w:ind w:left="620" w:hanging="617"/>
        <w:spacing w:after="0" w:line="280"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AGREE THAT THE PROVISIONS OF THIS GENERAL RELEASE MAY NOT BE AMENDED, WAIVED, CHANGED OR MODIFIED EXCEPT BY AN INSTRUMENT IN WRITING SIGNED BY AN AUTHORIZED REPRESENTATIVE OF THE COMPANY AND BY ME.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14605</wp:posOffset>
            </wp:positionV>
            <wp:extent cx="181102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11020" cy="16510"/>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14605</wp:posOffset>
            </wp:positionV>
            <wp:extent cx="299910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99105" cy="16510"/>
                    </a:xfrm>
                    <a:prstGeom prst="rect">
                      <a:avLst/>
                    </a:prstGeom>
                    <a:noFill/>
                  </pic:spPr>
                </pic:pic>
              </a:graphicData>
            </a:graphic>
          </wp:anchor>
        </w:drawing>
      </w:r>
    </w:p>
    <w:p>
      <w:pPr>
        <w:spacing w:after="0" w:line="223"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4681220</wp:posOffset>
            </wp:positionH>
            <wp:positionV relativeFrom="paragraph">
              <wp:posOffset>14605</wp:posOffset>
            </wp:positionV>
            <wp:extent cx="257302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73020"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162560</wp:posOffset>
            </wp:positionV>
            <wp:extent cx="399097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990975" cy="16510"/>
                    </a:xfrm>
                    <a:prstGeom prst="rect">
                      <a:avLst/>
                    </a:prstGeom>
                    <a:noFill/>
                  </pic:spPr>
                </pic:pic>
              </a:graphicData>
            </a:graphic>
          </wp:anchor>
        </w:drawing>
      </w:r>
    </w:p>
    <w:p>
      <w:pPr>
        <w:spacing w:after="0" w:line="249" w:lineRule="exact"/>
        <w:rPr>
          <w:sz w:val="20"/>
          <w:szCs w:val="20"/>
          <w:color w:val="auto"/>
        </w:rPr>
      </w:pPr>
    </w:p>
    <w:p>
      <w:pPr>
        <w:ind w:left="8980"/>
        <w:spacing w:after="0"/>
        <w:rPr>
          <w:sz w:val="20"/>
          <w:szCs w:val="20"/>
          <w:color w:val="auto"/>
        </w:rPr>
      </w:pPr>
      <w:r>
        <w:rPr>
          <w:rFonts w:ascii="Arial" w:cs="Arial" w:eastAsia="Arial" w:hAnsi="Arial"/>
          <w:sz w:val="17"/>
          <w:szCs w:val="17"/>
          <w:color w:val="auto"/>
        </w:rPr>
        <w:t>(Print)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ACCEPTED: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CRACKER BARREL OLD COUNTRY STORE, INC.</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14605</wp:posOffset>
            </wp:positionV>
            <wp:extent cx="196659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66595" cy="1651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14605</wp:posOffset>
            </wp:positionV>
            <wp:extent cx="196659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66595" cy="1651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14605</wp:posOffset>
            </wp:positionV>
            <wp:extent cx="196659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66595" cy="1651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u w:val="single" w:color="auto"/>
          <w:color w:val="auto"/>
        </w:rPr>
        <w:t>Exhibit 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Noncompete/Nonsolicitation</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In further consideration of the benefits to you hereunder, you agree that:</w:t>
      </w:r>
    </w:p>
    <w:p>
      <w:pPr>
        <w:spacing w:after="0" w:line="243" w:lineRule="exact"/>
        <w:rPr>
          <w:sz w:val="20"/>
          <w:szCs w:val="20"/>
          <w:color w:val="auto"/>
        </w:rPr>
      </w:pPr>
    </w:p>
    <w:p>
      <w:pPr>
        <w:jc w:val="both"/>
        <w:ind w:firstLine="3"/>
        <w:spacing w:after="0" w:line="272" w:lineRule="auto"/>
        <w:tabs>
          <w:tab w:leader="none" w:pos="689"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During your employment with the Company and its Subsidiaries, and for one year thereafter in the event that you are receiving severance benefits pursuant to Exhibit A or Exhibit B of this Agreement or have been terminated for Cause as defined by Paragraph 1.2, you shall not directly or indirectly own any interest in, manage, control, participate in, consult with, render services for, be employed in an executive, managerial or administrative capacity by, or in any manner engage in, any business within the United States that is engaging in the multi-unit restaurant business that offers full service family or casual dining, including, but not limited to, Biglari Holdings, Inc. (Steak n Shake and Western Sizzlin), Bob Evans Farms, Brinker International (Chili’s, Maggiano’s, Romano’s Macaroni Grill), Darden Restaurants, Inc. (Red Lobster, Olive Garden, Longhorn Steakhouse, The Capital Grille, Bahama Breeze, Seasons 52), Denny’s, DineEquity, Inc. (IHOP, Applebee’s), First Watch, Huddle House, O’Charley’s, Perkins, Ruby Tuesday, Shoney’s, and Waffle House, or any other businesses that are competitive with any of the businesses engaged in by the Company or its Subsidiaries during the last twelve months of your employment with the Company and its Subsidiaries or, as of the date of termination of such employment, are contemplated to exist during the twelve-month period following the date of the termination of your employment (collectively, the “Restricted Business”). You acknowledge that during the course of your employment with the Company and its Subsidiaries, as a result of your senior executive position within the Company, you have and will become familiar with the Company’s and its Subsidiaries’ business strategies, trade secrets, personnel and with other Confidential Information concerning the Company and its Subsidiaries at the very highest level and that your services have been and shall continue to be of special, unique, and extraordinary value to the Company and its Subsidiaries. Nothing herein shall prohibit you from (i) being a passive owner of not more than 2% of the outstanding stock of any class of a corporation that is publicly traded, so long as you have no active participation in the business of such corporation; or (ii) becoming employed, engaged, associated or otherwise participating with a separately managed division or subsidiary of a competitive business that does not engage in the Restricted Business (provided that your services are provided only to such division or subsidiary); or (iii) accepting employment with any federal or state government or governmental subdivision or agency.</w:t>
      </w:r>
    </w:p>
    <w:p>
      <w:pPr>
        <w:spacing w:after="0" w:line="197" w:lineRule="exact"/>
        <w:rPr>
          <w:rFonts w:ascii="Arial" w:cs="Arial" w:eastAsia="Arial" w:hAnsi="Arial"/>
          <w:sz w:val="16"/>
          <w:szCs w:val="16"/>
          <w:color w:val="auto"/>
        </w:rPr>
      </w:pPr>
    </w:p>
    <w:p>
      <w:pPr>
        <w:jc w:val="both"/>
        <w:ind w:firstLine="3"/>
        <w:spacing w:after="0" w:line="274" w:lineRule="auto"/>
        <w:tabs>
          <w:tab w:leader="none" w:pos="807"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During your employment with the Company and its Subsidiaries and for eighteen months thereafter, you agree that, you shall not directly or indirectly through another Person (i) induce or attempt to induce any employee of the Company or any Subsidiary to leave the employ of the Company or such Subsidiary, or in any way interfere with the relationship between the Company or any Subsidiary and any employee thereof; (ii) hire any Person who was an employee of the Company or any Subsidiary, at any time during the twelve-month period immediately following the termination of your employment with the Company; or (iii) induce or attempt to induce any member, provider, payor or other business relation of the Company or any Subsidiary to cease or materially reduce doing business with the Company or such Subsidiary, or in any way interfere with the relationship between any such customer, supplier, licensee or business relation and the Company or any Subsidiary (including, without limitation, making any negative or disparaging statements or communications regarding the Company or its Subsidiaries). Notwithstanding the foregoing, nothing in this Agreement shall prohibit you from employing an individual (i) with the consent of the Company or (ii) who responds to general solicitations in publications or on websites, or through the use of search firms, so long as such general solicitations or search firm activities are not targeted specifically at an employee (or former employee, as described above) of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376555</wp:posOffset>
            </wp:positionV>
            <wp:extent cx="725741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58" w:name="page59"/>
    <w:bookmarkEnd w:id="58"/>
    <w:p>
      <w:pPr>
        <w:jc w:val="both"/>
        <w:ind w:firstLine="3"/>
        <w:spacing w:after="0" w:line="262" w:lineRule="auto"/>
        <w:tabs>
          <w:tab w:leader="none" w:pos="696"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you breach any of these Noncompete/Nonsolicitation covenants, you agree that the Company shall have the right to enforce such covenants by way of a temporary restraining order and/or a preliminary and/or permanent injunction by any court having jurisdiction, without the posting of any bond or security by the Company and that should the Company commence an action for injunctive relief, the Company shall also have the right in the same proceeding to seek and obtain money damages caused by the breach.</w:t>
      </w:r>
    </w:p>
    <w:p>
      <w:pPr>
        <w:spacing w:after="0" w:line="204" w:lineRule="exact"/>
        <w:rPr>
          <w:rFonts w:ascii="Arial" w:cs="Arial" w:eastAsia="Arial" w:hAnsi="Arial"/>
          <w:sz w:val="17"/>
          <w:szCs w:val="17"/>
          <w:color w:val="auto"/>
        </w:rPr>
      </w:pPr>
    </w:p>
    <w:p>
      <w:pPr>
        <w:jc w:val="both"/>
        <w:ind w:firstLine="3"/>
        <w:spacing w:after="0" w:line="318" w:lineRule="auto"/>
        <w:tabs>
          <w:tab w:leader="none" w:pos="674" w:val="left"/>
        </w:tabs>
        <w:numPr>
          <w:ilvl w:val="0"/>
          <w:numId w:val="51"/>
        </w:numPr>
        <w:rPr>
          <w:rFonts w:ascii="Arial" w:cs="Arial" w:eastAsia="Arial" w:hAnsi="Arial"/>
          <w:sz w:val="15"/>
          <w:szCs w:val="15"/>
          <w:color w:val="auto"/>
        </w:rPr>
      </w:pPr>
      <w:r>
        <w:rPr>
          <w:rFonts w:ascii="Arial" w:cs="Arial" w:eastAsia="Arial" w:hAnsi="Arial"/>
          <w:sz w:val="15"/>
          <w:szCs w:val="15"/>
          <w:color w:val="auto"/>
        </w:rPr>
        <w:t>If any of the provisions of the above Noncompete/Nonsolicitation covenants above is construed to be invalid or unenforceable in any respect, you agree that the same may be modified as the court may direct in order to make such provision reasonable and enforceable, and such modification of the provision shall not affect the remainder of the provisions of the covenants, and such provision will be given the maximum possible effect and the modified agreement will be fully enforceable.</w:t>
      </w:r>
    </w:p>
    <w:p>
      <w:pPr>
        <w:spacing w:after="0" w:line="166" w:lineRule="exact"/>
        <w:rPr>
          <w:rFonts w:ascii="Arial" w:cs="Arial" w:eastAsia="Arial" w:hAnsi="Arial"/>
          <w:sz w:val="15"/>
          <w:szCs w:val="15"/>
          <w:color w:val="auto"/>
        </w:rPr>
      </w:pPr>
    </w:p>
    <w:p>
      <w:pPr>
        <w:ind w:firstLine="3"/>
        <w:spacing w:after="0" w:line="280" w:lineRule="auto"/>
        <w:tabs>
          <w:tab w:leader="none" w:pos="772"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the event you breach any of these Noncompete/Nonsolicitation covenants, you agree that the Noncompete Period shall be extended by the amount of time in which you are in breach of the covenants.</w:t>
      </w:r>
    </w:p>
    <w:p>
      <w:pPr>
        <w:spacing w:after="0" w:line="189" w:lineRule="exact"/>
        <w:rPr>
          <w:rFonts w:ascii="Arial" w:cs="Arial" w:eastAsia="Arial" w:hAnsi="Arial"/>
          <w:sz w:val="17"/>
          <w:szCs w:val="17"/>
          <w:color w:val="auto"/>
        </w:rPr>
      </w:pPr>
    </w:p>
    <w:p>
      <w:pPr>
        <w:jc w:val="both"/>
        <w:ind w:firstLine="3"/>
        <w:spacing w:after="0" w:line="266" w:lineRule="auto"/>
        <w:tabs>
          <w:tab w:leader="none" w:pos="7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You agree that should you breach any of the covenants contained herein, you will pay all costs and expenses, including reasonable attorneys' fees, which may arise or accrue from any action to enforce the terms and obligations hereunder pursued by the Company, whether such remedy is pursued by a legal action or whether such costs and expenses are incurred with or without suit or before or after judgment.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14605</wp:posOffset>
            </wp:positionV>
            <wp:extent cx="482663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826635" cy="16510"/>
                    </a:xfrm>
                    <a:prstGeom prst="rect">
                      <a:avLst/>
                    </a:prstGeom>
                    <a:noFill/>
                  </pic:spPr>
                </pic:pic>
              </a:graphicData>
            </a:graphic>
          </wp:anchor>
        </w:drawing>
      </w:r>
    </w:p>
    <w:p>
      <w:pPr>
        <w:spacing w:after="0" w:line="223"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14605</wp:posOffset>
            </wp:positionV>
            <wp:extent cx="227838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78380" cy="16510"/>
                    </a:xfrm>
                    <a:prstGeom prst="rect">
                      <a:avLst/>
                    </a:prstGeom>
                    <a:noFill/>
                  </pic:spPr>
                </pic:pic>
              </a:graphicData>
            </a:graphic>
          </wp:anchor>
        </w:drawing>
      </w:r>
    </w:p>
    <w:p>
      <w:pPr>
        <w:spacing w:after="0" w:line="17"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(Print)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7329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9" w:name="page60"/>
    <w:bookmarkEnd w:id="59"/>
    <w:tbl>
      <w:tblPr>
        <w:tblLayout w:type="fixed"/>
        <w:tblInd w:w="5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60" w:type="dxa"/>
            <w:vAlign w:val="bottom"/>
            <w:gridSpan w:val="2"/>
          </w:tcPr>
          <w:p>
            <w:pPr>
              <w:ind w:left="780"/>
              <w:spacing w:after="0"/>
              <w:rPr>
                <w:sz w:val="20"/>
                <w:szCs w:val="20"/>
                <w:color w:val="auto"/>
              </w:rPr>
            </w:pPr>
            <w:r>
              <w:rPr>
                <w:rFonts w:ascii="Arial" w:cs="Arial" w:eastAsia="Arial" w:hAnsi="Arial"/>
                <w:sz w:val="17"/>
                <w:szCs w:val="17"/>
                <w:b w:val="1"/>
                <w:bCs w:val="1"/>
                <w:color w:val="auto"/>
                <w:w w:val="90"/>
              </w:rPr>
              <w:t>Exhibit 10.3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540" w:type="dxa"/>
            <w:vAlign w:val="bottom"/>
            <w:gridSpan w:val="7"/>
          </w:tcPr>
          <w:p>
            <w:pPr>
              <w:jc w:val="center"/>
              <w:ind w:right="2880"/>
              <w:spacing w:after="0"/>
              <w:rPr>
                <w:sz w:val="20"/>
                <w:szCs w:val="20"/>
                <w:color w:val="auto"/>
              </w:rPr>
            </w:pPr>
            <w:r>
              <w:rPr>
                <w:rFonts w:ascii="Arial" w:cs="Arial" w:eastAsia="Arial" w:hAnsi="Arial"/>
                <w:sz w:val="17"/>
                <w:szCs w:val="17"/>
                <w:color w:val="auto"/>
                <w:w w:val="98"/>
              </w:rPr>
              <w:t>SCHEDULE IDENTIFYING MATERIAL DIFFERENCES AMONG</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540" w:type="dxa"/>
            <w:vAlign w:val="bottom"/>
            <w:gridSpan w:val="7"/>
          </w:tcPr>
          <w:p>
            <w:pPr>
              <w:jc w:val="center"/>
              <w:ind w:right="2880"/>
              <w:spacing w:after="0"/>
              <w:rPr>
                <w:sz w:val="20"/>
                <w:szCs w:val="20"/>
                <w:color w:val="auto"/>
              </w:rPr>
            </w:pPr>
            <w:r>
              <w:rPr>
                <w:rFonts w:ascii="Arial" w:cs="Arial" w:eastAsia="Arial" w:hAnsi="Arial"/>
                <w:sz w:val="17"/>
                <w:szCs w:val="17"/>
                <w:color w:val="auto"/>
                <w:w w:val="97"/>
              </w:rPr>
              <w:t>CHANGE IN CONTROL AND SEVERANCE AGREEMENTS</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540" w:type="dxa"/>
            <w:vAlign w:val="bottom"/>
            <w:gridSpan w:val="7"/>
          </w:tcPr>
          <w:p>
            <w:pPr>
              <w:jc w:val="center"/>
              <w:ind w:right="2860"/>
              <w:spacing w:after="0"/>
              <w:rPr>
                <w:sz w:val="20"/>
                <w:szCs w:val="20"/>
                <w:color w:val="auto"/>
              </w:rPr>
            </w:pPr>
            <w:r>
              <w:rPr>
                <w:rFonts w:ascii="Arial" w:cs="Arial" w:eastAsia="Arial" w:hAnsi="Arial"/>
                <w:sz w:val="17"/>
                <w:szCs w:val="17"/>
                <w:color w:val="auto"/>
                <w:w w:val="97"/>
              </w:rPr>
              <w:t>BETWEEN CRACKER BARREL OLD COUNTRY STORE, INC. AND</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380" w:type="dxa"/>
            <w:vAlign w:val="bottom"/>
            <w:gridSpan w:val="3"/>
          </w:tcPr>
          <w:p>
            <w:pPr>
              <w:jc w:val="center"/>
              <w:ind w:left="1194"/>
              <w:spacing w:after="0"/>
              <w:rPr>
                <w:sz w:val="20"/>
                <w:szCs w:val="20"/>
                <w:color w:val="auto"/>
              </w:rPr>
            </w:pPr>
            <w:r>
              <w:rPr>
                <w:rFonts w:ascii="Arial" w:cs="Arial" w:eastAsia="Arial" w:hAnsi="Arial"/>
                <w:sz w:val="17"/>
                <w:szCs w:val="17"/>
                <w:color w:val="auto"/>
              </w:rPr>
              <w:t>THE INDIVIDUALS LISTED BELOW</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60" w:type="dxa"/>
            <w:vAlign w:val="bottom"/>
            <w:gridSpan w:val="4"/>
          </w:tcPr>
          <w:p>
            <w:pPr>
              <w:jc w:val="center"/>
              <w:ind w:right="420"/>
              <w:spacing w:after="0"/>
              <w:rPr>
                <w:sz w:val="20"/>
                <w:szCs w:val="20"/>
                <w:color w:val="auto"/>
              </w:rPr>
            </w:pPr>
            <w:r>
              <w:rPr>
                <w:rFonts w:ascii="Arial" w:cs="Arial" w:eastAsia="Arial" w:hAnsi="Arial"/>
                <w:sz w:val="17"/>
                <w:szCs w:val="17"/>
                <w:color w:val="auto"/>
                <w:w w:val="90"/>
              </w:rPr>
              <w:t>Severance Benefits Upon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80" w:type="dxa"/>
            <w:vAlign w:val="bottom"/>
            <w:gridSpan w:val="3"/>
          </w:tcPr>
          <w:p>
            <w:pPr>
              <w:ind w:left="2060"/>
              <w:spacing w:after="0" w:line="180" w:lineRule="exact"/>
              <w:rPr>
                <w:sz w:val="20"/>
                <w:szCs w:val="20"/>
                <w:color w:val="auto"/>
              </w:rPr>
            </w:pPr>
            <w:r>
              <w:rPr>
                <w:rFonts w:ascii="Arial" w:cs="Arial" w:eastAsia="Arial" w:hAnsi="Arial"/>
                <w:sz w:val="17"/>
                <w:szCs w:val="17"/>
                <w:color w:val="auto"/>
              </w:rPr>
              <w:t>Severance Benefits</w:t>
            </w:r>
          </w:p>
        </w:tc>
        <w:tc>
          <w:tcPr>
            <w:tcW w:w="1220" w:type="dxa"/>
            <w:vAlign w:val="bottom"/>
          </w:tcPr>
          <w:p>
            <w:pPr>
              <w:spacing w:after="0"/>
              <w:rPr>
                <w:sz w:val="15"/>
                <w:szCs w:val="15"/>
                <w:color w:val="auto"/>
              </w:rPr>
            </w:pPr>
          </w:p>
        </w:tc>
        <w:tc>
          <w:tcPr>
            <w:tcW w:w="2940" w:type="dxa"/>
            <w:vAlign w:val="bottom"/>
            <w:gridSpan w:val="3"/>
          </w:tcPr>
          <w:p>
            <w:pPr>
              <w:jc w:val="center"/>
              <w:ind w:right="1660"/>
              <w:spacing w:after="0" w:line="180" w:lineRule="exact"/>
              <w:rPr>
                <w:sz w:val="20"/>
                <w:szCs w:val="20"/>
                <w:color w:val="auto"/>
              </w:rPr>
            </w:pPr>
            <w:r>
              <w:rPr>
                <w:rFonts w:ascii="Arial" w:cs="Arial" w:eastAsia="Arial" w:hAnsi="Arial"/>
                <w:sz w:val="17"/>
                <w:szCs w:val="17"/>
                <w:color w:val="auto"/>
                <w:w w:val="92"/>
              </w:rPr>
              <w:t>Change of Control</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Douglas E. Barber,</w:t>
            </w:r>
          </w:p>
        </w:tc>
        <w:tc>
          <w:tcPr>
            <w:tcW w:w="4380" w:type="dxa"/>
            <w:vAlign w:val="bottom"/>
            <w:gridSpan w:val="3"/>
            <w:shd w:val="clear" w:color="auto" w:fill="CCEEFF"/>
          </w:tcPr>
          <w:p>
            <w:pPr>
              <w:ind w:left="1120"/>
              <w:spacing w:after="0" w:line="194" w:lineRule="exact"/>
              <w:rPr>
                <w:sz w:val="20"/>
                <w:szCs w:val="20"/>
                <w:color w:val="auto"/>
              </w:rPr>
            </w:pPr>
            <w:r>
              <w:rPr>
                <w:rFonts w:ascii="Arial" w:cs="Arial" w:eastAsia="Arial" w:hAnsi="Arial"/>
                <w:sz w:val="17"/>
                <w:szCs w:val="17"/>
                <w:color w:val="auto"/>
              </w:rPr>
              <w:t>18 months base salary</w:t>
            </w:r>
          </w:p>
        </w:tc>
        <w:tc>
          <w:tcPr>
            <w:tcW w:w="3600" w:type="dxa"/>
            <w:vAlign w:val="bottom"/>
            <w:gridSpan w:val="3"/>
            <w:shd w:val="clear" w:color="auto" w:fill="CCEEFF"/>
          </w:tcPr>
          <w:p>
            <w:pPr>
              <w:ind w:left="140"/>
              <w:spacing w:after="0" w:line="194" w:lineRule="exact"/>
              <w:rPr>
                <w:sz w:val="20"/>
                <w:szCs w:val="20"/>
                <w:color w:val="auto"/>
              </w:rPr>
            </w:pPr>
            <w:r>
              <w:rPr>
                <w:rFonts w:ascii="Arial" w:cs="Arial" w:eastAsia="Arial" w:hAnsi="Arial"/>
                <w:sz w:val="17"/>
                <w:szCs w:val="17"/>
                <w:color w:val="auto"/>
                <w:w w:val="97"/>
              </w:rPr>
              <w:t>3.00 times average annual salary plus average</w:t>
            </w: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Executive Vice President and</w:t>
            </w:r>
          </w:p>
        </w:tc>
        <w:tc>
          <w:tcPr>
            <w:tcW w:w="20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bonus during 3 years preceding termination</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Chief People Officer</w:t>
            </w:r>
          </w:p>
        </w:tc>
        <w:tc>
          <w:tcPr>
            <w:tcW w:w="2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Edward A. Greene,</w:t>
            </w:r>
          </w:p>
        </w:tc>
        <w:tc>
          <w:tcPr>
            <w:tcW w:w="4380" w:type="dxa"/>
            <w:vAlign w:val="bottom"/>
            <w:gridSpan w:val="3"/>
            <w:shd w:val="clear" w:color="auto" w:fill="CCEEFF"/>
          </w:tcPr>
          <w:p>
            <w:pPr>
              <w:ind w:left="1120"/>
              <w:spacing w:after="0" w:line="194" w:lineRule="exact"/>
              <w:rPr>
                <w:sz w:val="20"/>
                <w:szCs w:val="20"/>
                <w:color w:val="auto"/>
              </w:rPr>
            </w:pPr>
            <w:r>
              <w:rPr>
                <w:rFonts w:ascii="Arial" w:cs="Arial" w:eastAsia="Arial" w:hAnsi="Arial"/>
                <w:sz w:val="17"/>
                <w:szCs w:val="17"/>
                <w:color w:val="auto"/>
              </w:rPr>
              <w:t>12 months base salary plus one additional</w:t>
            </w:r>
          </w:p>
        </w:tc>
        <w:tc>
          <w:tcPr>
            <w:tcW w:w="3600" w:type="dxa"/>
            <w:vAlign w:val="bottom"/>
            <w:gridSpan w:val="3"/>
            <w:shd w:val="clear" w:color="auto" w:fill="CCEEFF"/>
          </w:tcPr>
          <w:p>
            <w:pPr>
              <w:ind w:left="140"/>
              <w:spacing w:after="0" w:line="194" w:lineRule="exact"/>
              <w:rPr>
                <w:sz w:val="20"/>
                <w:szCs w:val="20"/>
                <w:color w:val="auto"/>
              </w:rPr>
            </w:pPr>
            <w:r>
              <w:rPr>
                <w:rFonts w:ascii="Arial" w:cs="Arial" w:eastAsia="Arial" w:hAnsi="Arial"/>
                <w:sz w:val="17"/>
                <w:szCs w:val="17"/>
                <w:color w:val="auto"/>
                <w:w w:val="97"/>
              </w:rPr>
              <w:t>2.00 times average annual salary plus average</w:t>
            </w: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Senior Vice President,</w:t>
            </w:r>
          </w:p>
        </w:tc>
        <w:tc>
          <w:tcPr>
            <w:tcW w:w="4380" w:type="dxa"/>
            <w:vAlign w:val="bottom"/>
            <w:gridSpan w:val="3"/>
            <w:shd w:val="clear" w:color="auto" w:fill="CCEEFF"/>
          </w:tcPr>
          <w:p>
            <w:pPr>
              <w:ind w:left="1120"/>
              <w:spacing w:after="0"/>
              <w:rPr>
                <w:sz w:val="20"/>
                <w:szCs w:val="20"/>
                <w:color w:val="auto"/>
              </w:rPr>
            </w:pPr>
            <w:r>
              <w:rPr>
                <w:rFonts w:ascii="Arial" w:cs="Arial" w:eastAsia="Arial" w:hAnsi="Arial"/>
                <w:sz w:val="17"/>
                <w:szCs w:val="17"/>
                <w:color w:val="auto"/>
                <w:w w:val="94"/>
              </w:rPr>
              <w:t>week of severance for each year of service in</w:t>
            </w:r>
          </w:p>
        </w:tc>
        <w:tc>
          <w:tcPr>
            <w:tcW w:w="36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bonus during 3 years preceding termination</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Strategic Initiatives</w:t>
            </w:r>
          </w:p>
        </w:tc>
        <w:tc>
          <w:tcPr>
            <w:tcW w:w="4380" w:type="dxa"/>
            <w:vAlign w:val="bottom"/>
            <w:gridSpan w:val="3"/>
            <w:shd w:val="clear" w:color="auto" w:fill="CCEEFF"/>
          </w:tcPr>
          <w:p>
            <w:pPr>
              <w:ind w:left="1120"/>
              <w:spacing w:after="0"/>
              <w:rPr>
                <w:sz w:val="20"/>
                <w:szCs w:val="20"/>
                <w:color w:val="auto"/>
              </w:rPr>
            </w:pPr>
            <w:r>
              <w:rPr>
                <w:rFonts w:ascii="Arial" w:cs="Arial" w:eastAsia="Arial" w:hAnsi="Arial"/>
                <w:sz w:val="17"/>
                <w:szCs w:val="17"/>
                <w:color w:val="auto"/>
              </w:rPr>
              <w:t>excess of 15 years*</w:t>
            </w: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Lawrence E. Hyatt,</w:t>
            </w:r>
          </w:p>
        </w:tc>
        <w:tc>
          <w:tcPr>
            <w:tcW w:w="4380" w:type="dxa"/>
            <w:vAlign w:val="bottom"/>
            <w:gridSpan w:val="3"/>
            <w:shd w:val="clear" w:color="auto" w:fill="CCEEFF"/>
          </w:tcPr>
          <w:p>
            <w:pPr>
              <w:ind w:left="1120"/>
              <w:spacing w:after="0" w:line="194" w:lineRule="exact"/>
              <w:rPr>
                <w:sz w:val="20"/>
                <w:szCs w:val="20"/>
                <w:color w:val="auto"/>
              </w:rPr>
            </w:pPr>
            <w:r>
              <w:rPr>
                <w:rFonts w:ascii="Arial" w:cs="Arial" w:eastAsia="Arial" w:hAnsi="Arial"/>
                <w:sz w:val="17"/>
                <w:szCs w:val="17"/>
                <w:color w:val="auto"/>
              </w:rPr>
              <w:t>12 months base salary plus one additional</w:t>
            </w:r>
          </w:p>
        </w:tc>
        <w:tc>
          <w:tcPr>
            <w:tcW w:w="3600" w:type="dxa"/>
            <w:vAlign w:val="bottom"/>
            <w:gridSpan w:val="3"/>
            <w:shd w:val="clear" w:color="auto" w:fill="CCEEFF"/>
          </w:tcPr>
          <w:p>
            <w:pPr>
              <w:ind w:left="140"/>
              <w:spacing w:after="0" w:line="194" w:lineRule="exact"/>
              <w:rPr>
                <w:sz w:val="20"/>
                <w:szCs w:val="20"/>
                <w:color w:val="auto"/>
              </w:rPr>
            </w:pPr>
            <w:r>
              <w:rPr>
                <w:rFonts w:ascii="Arial" w:cs="Arial" w:eastAsia="Arial" w:hAnsi="Arial"/>
                <w:sz w:val="17"/>
                <w:szCs w:val="17"/>
                <w:color w:val="auto"/>
                <w:w w:val="97"/>
              </w:rPr>
              <w:t>2.00 times average annual salary plus average</w:t>
            </w: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Senior Vice President and</w:t>
            </w:r>
          </w:p>
        </w:tc>
        <w:tc>
          <w:tcPr>
            <w:tcW w:w="4380" w:type="dxa"/>
            <w:vAlign w:val="bottom"/>
            <w:gridSpan w:val="3"/>
            <w:shd w:val="clear" w:color="auto" w:fill="CCEEFF"/>
          </w:tcPr>
          <w:p>
            <w:pPr>
              <w:ind w:left="1120"/>
              <w:spacing w:after="0"/>
              <w:rPr>
                <w:sz w:val="20"/>
                <w:szCs w:val="20"/>
                <w:color w:val="auto"/>
              </w:rPr>
            </w:pPr>
            <w:r>
              <w:rPr>
                <w:rFonts w:ascii="Arial" w:cs="Arial" w:eastAsia="Arial" w:hAnsi="Arial"/>
                <w:sz w:val="17"/>
                <w:szCs w:val="17"/>
                <w:color w:val="auto"/>
                <w:w w:val="94"/>
              </w:rPr>
              <w:t>week of severance for each year of service in</w:t>
            </w:r>
          </w:p>
        </w:tc>
        <w:tc>
          <w:tcPr>
            <w:tcW w:w="36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bonus during 3 years preceding termination</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Chief Financial Officer</w:t>
            </w:r>
          </w:p>
        </w:tc>
        <w:tc>
          <w:tcPr>
            <w:tcW w:w="4380" w:type="dxa"/>
            <w:vAlign w:val="bottom"/>
            <w:gridSpan w:val="3"/>
            <w:shd w:val="clear" w:color="auto" w:fill="CCEEFF"/>
          </w:tcPr>
          <w:p>
            <w:pPr>
              <w:ind w:left="1120"/>
              <w:spacing w:after="0"/>
              <w:rPr>
                <w:sz w:val="20"/>
                <w:szCs w:val="20"/>
                <w:color w:val="auto"/>
              </w:rPr>
            </w:pPr>
            <w:r>
              <w:rPr>
                <w:rFonts w:ascii="Arial" w:cs="Arial" w:eastAsia="Arial" w:hAnsi="Arial"/>
                <w:sz w:val="17"/>
                <w:szCs w:val="17"/>
                <w:color w:val="auto"/>
              </w:rPr>
              <w:t>excess of 15 years*</w:t>
            </w: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3290" cy="349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 Not to exceed 18 months total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340360</wp:posOffset>
            </wp:positionV>
            <wp:extent cx="727329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276" w:right="2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CERTIFICATION</w:t>
      </w:r>
    </w:p>
    <w:p>
      <w:pPr>
        <w:spacing w:after="0" w:line="24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 Sandra B. Cochran, certify that:</w:t>
      </w:r>
    </w:p>
    <w:p>
      <w:pPr>
        <w:spacing w:after="0" w:line="243" w:lineRule="exact"/>
        <w:rPr>
          <w:sz w:val="20"/>
          <w:szCs w:val="20"/>
          <w:color w:val="auto"/>
        </w:rPr>
      </w:pPr>
    </w:p>
    <w:p>
      <w:pPr>
        <w:ind w:left="1480" w:hanging="457"/>
        <w:spacing w:after="0"/>
        <w:tabs>
          <w:tab w:leader="none" w:pos="14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Cracker Barrel Old Country Store, Inc.;</w:t>
      </w:r>
    </w:p>
    <w:p>
      <w:pPr>
        <w:spacing w:after="0" w:line="243" w:lineRule="exact"/>
        <w:rPr>
          <w:rFonts w:ascii="Arial" w:cs="Arial" w:eastAsia="Arial" w:hAnsi="Arial"/>
          <w:sz w:val="17"/>
          <w:szCs w:val="17"/>
          <w:color w:val="auto"/>
        </w:rPr>
      </w:pPr>
    </w:p>
    <w:p>
      <w:pPr>
        <w:jc w:val="both"/>
        <w:ind w:left="1480" w:hanging="457"/>
        <w:spacing w:after="0" w:line="266" w:lineRule="auto"/>
        <w:tabs>
          <w:tab w:leader="none" w:pos="14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7"/>
          <w:szCs w:val="17"/>
          <w:color w:val="auto"/>
        </w:rPr>
      </w:pPr>
    </w:p>
    <w:p>
      <w:pPr>
        <w:ind w:left="1480" w:hanging="457"/>
        <w:spacing w:after="0" w:line="312" w:lineRule="auto"/>
        <w:tabs>
          <w:tab w:leader="none" w:pos="14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jc w:val="both"/>
        <w:ind w:left="1480" w:hanging="457"/>
        <w:spacing w:after="0" w:line="294" w:lineRule="auto"/>
        <w:tabs>
          <w:tab w:leader="none" w:pos="1480" w:val="left"/>
        </w:tabs>
        <w:numPr>
          <w:ilvl w:val="1"/>
          <w:numId w:val="52"/>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7"/>
          <w:szCs w:val="17"/>
          <w:color w:val="auto"/>
        </w:rPr>
        <w:t>15d-15(f)) for the registrant and have:</w:t>
      </w:r>
    </w:p>
    <w:p>
      <w:pPr>
        <w:spacing w:after="0" w:line="232" w:lineRule="exact"/>
        <w:rPr>
          <w:rFonts w:ascii="Arial" w:cs="Arial" w:eastAsia="Arial" w:hAnsi="Arial"/>
          <w:sz w:val="15"/>
          <w:szCs w:val="15"/>
          <w:color w:val="auto"/>
        </w:rPr>
      </w:pPr>
    </w:p>
    <w:p>
      <w:pPr>
        <w:jc w:val="both"/>
        <w:ind w:left="1940" w:hanging="466"/>
        <w:spacing w:after="0" w:line="266" w:lineRule="auto"/>
        <w:tabs>
          <w:tab w:leader="none" w:pos="1940" w:val="left"/>
        </w:tabs>
        <w:numPr>
          <w:ilvl w:val="2"/>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940" w:hanging="466"/>
        <w:spacing w:after="0" w:line="266" w:lineRule="auto"/>
        <w:tabs>
          <w:tab w:leader="none" w:pos="1940" w:val="left"/>
        </w:tabs>
        <w:numPr>
          <w:ilvl w:val="2"/>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940" w:hanging="466"/>
        <w:spacing w:after="0" w:line="349" w:lineRule="auto"/>
        <w:tabs>
          <w:tab w:leader="none" w:pos="1940" w:val="left"/>
        </w:tabs>
        <w:numPr>
          <w:ilvl w:val="2"/>
          <w:numId w:val="5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940" w:hanging="466"/>
        <w:spacing w:after="0" w:line="266" w:lineRule="auto"/>
        <w:tabs>
          <w:tab w:leader="none" w:pos="1940" w:val="left"/>
        </w:tabs>
        <w:numPr>
          <w:ilvl w:val="2"/>
          <w:numId w:val="5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1480" w:hanging="470"/>
        <w:spacing w:after="0" w:line="349" w:lineRule="auto"/>
        <w:tabs>
          <w:tab w:leader="none" w:pos="14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5"/>
          <w:szCs w:val="15"/>
          <w:color w:val="auto"/>
        </w:rPr>
      </w:pPr>
    </w:p>
    <w:p>
      <w:pPr>
        <w:ind w:left="1940" w:hanging="466"/>
        <w:spacing w:after="0" w:line="312" w:lineRule="auto"/>
        <w:tabs>
          <w:tab w:leader="none" w:pos="1940" w:val="left"/>
        </w:tabs>
        <w:numPr>
          <w:ilvl w:val="2"/>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940" w:hanging="466"/>
        <w:spacing w:after="0" w:line="280" w:lineRule="auto"/>
        <w:tabs>
          <w:tab w:leader="none" w:pos="1940" w:val="left"/>
        </w:tabs>
        <w:numPr>
          <w:ilvl w:val="2"/>
          <w:numId w:val="5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May 22, 2012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/s/Sandra B. Cochran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Sandra B. Cochran, President and</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27329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CERTIFICATION</w:t>
      </w:r>
    </w:p>
    <w:p>
      <w:pPr>
        <w:spacing w:after="0" w:line="24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 Lawrence E. Hyatt, certify that:</w:t>
      </w:r>
    </w:p>
    <w:p>
      <w:pPr>
        <w:spacing w:after="0" w:line="243" w:lineRule="exact"/>
        <w:rPr>
          <w:sz w:val="20"/>
          <w:szCs w:val="20"/>
          <w:color w:val="auto"/>
        </w:rPr>
      </w:pPr>
    </w:p>
    <w:p>
      <w:pPr>
        <w:ind w:left="1480" w:hanging="457"/>
        <w:spacing w:after="0"/>
        <w:tabs>
          <w:tab w:leader="none" w:pos="14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Cracker Barrel Old Country Store, Inc.;</w:t>
      </w:r>
    </w:p>
    <w:p>
      <w:pPr>
        <w:spacing w:after="0" w:line="243" w:lineRule="exact"/>
        <w:rPr>
          <w:rFonts w:ascii="Arial" w:cs="Arial" w:eastAsia="Arial" w:hAnsi="Arial"/>
          <w:sz w:val="17"/>
          <w:szCs w:val="17"/>
          <w:color w:val="auto"/>
        </w:rPr>
      </w:pPr>
    </w:p>
    <w:p>
      <w:pPr>
        <w:jc w:val="both"/>
        <w:ind w:left="1480" w:hanging="457"/>
        <w:spacing w:after="0" w:line="266" w:lineRule="auto"/>
        <w:tabs>
          <w:tab w:leader="none" w:pos="14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7"/>
          <w:szCs w:val="17"/>
          <w:color w:val="auto"/>
        </w:rPr>
      </w:pPr>
    </w:p>
    <w:p>
      <w:pPr>
        <w:ind w:left="1480" w:hanging="457"/>
        <w:spacing w:after="0" w:line="312" w:lineRule="auto"/>
        <w:tabs>
          <w:tab w:leader="none" w:pos="14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jc w:val="both"/>
        <w:ind w:left="1480" w:hanging="457"/>
        <w:spacing w:after="0" w:line="294" w:lineRule="auto"/>
        <w:tabs>
          <w:tab w:leader="none" w:pos="1480" w:val="left"/>
        </w:tabs>
        <w:numPr>
          <w:ilvl w:val="1"/>
          <w:numId w:val="5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7"/>
          <w:szCs w:val="17"/>
          <w:color w:val="auto"/>
        </w:rPr>
        <w:t>15d-15(f)) for the registrant and have:</w:t>
      </w:r>
    </w:p>
    <w:p>
      <w:pPr>
        <w:spacing w:after="0" w:line="232" w:lineRule="exact"/>
        <w:rPr>
          <w:rFonts w:ascii="Arial" w:cs="Arial" w:eastAsia="Arial" w:hAnsi="Arial"/>
          <w:sz w:val="15"/>
          <w:szCs w:val="15"/>
          <w:color w:val="auto"/>
        </w:rPr>
      </w:pPr>
    </w:p>
    <w:p>
      <w:pPr>
        <w:jc w:val="both"/>
        <w:ind w:left="1940" w:hanging="466"/>
        <w:spacing w:after="0" w:line="266" w:lineRule="auto"/>
        <w:tabs>
          <w:tab w:leader="none" w:pos="1940" w:val="left"/>
        </w:tabs>
        <w:numPr>
          <w:ilvl w:val="2"/>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940" w:hanging="466"/>
        <w:spacing w:after="0" w:line="266" w:lineRule="auto"/>
        <w:tabs>
          <w:tab w:leader="none" w:pos="1940" w:val="left"/>
        </w:tabs>
        <w:numPr>
          <w:ilvl w:val="2"/>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940" w:hanging="466"/>
        <w:spacing w:after="0" w:line="349" w:lineRule="auto"/>
        <w:tabs>
          <w:tab w:leader="none" w:pos="1940" w:val="left"/>
        </w:tabs>
        <w:numPr>
          <w:ilvl w:val="2"/>
          <w:numId w:val="5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940" w:hanging="466"/>
        <w:spacing w:after="0" w:line="266" w:lineRule="auto"/>
        <w:tabs>
          <w:tab w:leader="none" w:pos="1940" w:val="left"/>
        </w:tabs>
        <w:numPr>
          <w:ilvl w:val="2"/>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1480" w:hanging="470"/>
        <w:spacing w:after="0" w:line="349" w:lineRule="auto"/>
        <w:tabs>
          <w:tab w:leader="none" w:pos="14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5"/>
          <w:szCs w:val="15"/>
          <w:color w:val="auto"/>
        </w:rPr>
      </w:pPr>
    </w:p>
    <w:p>
      <w:pPr>
        <w:ind w:left="1940" w:hanging="466"/>
        <w:spacing w:after="0" w:line="312" w:lineRule="auto"/>
        <w:tabs>
          <w:tab w:leader="none" w:pos="1940" w:val="left"/>
        </w:tabs>
        <w:numPr>
          <w:ilvl w:val="2"/>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940" w:hanging="466"/>
        <w:spacing w:after="0" w:line="280" w:lineRule="auto"/>
        <w:tabs>
          <w:tab w:leader="none" w:pos="1940" w:val="left"/>
        </w:tabs>
        <w:numPr>
          <w:ilvl w:val="2"/>
          <w:numId w:val="5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May 22, 2012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/s/Lawrence E. Hyatt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Lawrence E. Hyatt, Senior Vice President</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727329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32.1</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CERTIFICATION OF CHIEF EXECUTIVE OFFICER</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18 U.S.C. SECTION 1350, AS ADOPTED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PURSUANT TO SECTION 906 OF THE SARBANES-OXLEY ACT OF 2002</w:t>
      </w:r>
    </w:p>
    <w:p>
      <w:pPr>
        <w:spacing w:after="0" w:line="233" w:lineRule="exact"/>
        <w:rPr>
          <w:sz w:val="20"/>
          <w:szCs w:val="20"/>
          <w:color w:val="auto"/>
        </w:rPr>
      </w:pPr>
    </w:p>
    <w:p>
      <w:pPr>
        <w:jc w:val="both"/>
        <w:ind w:right="240"/>
        <w:spacing w:after="0" w:line="26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April 27, 2012,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202" w:lineRule="exact"/>
        <w:rPr>
          <w:sz w:val="20"/>
          <w:szCs w:val="20"/>
          <w:color w:val="auto"/>
        </w:rPr>
      </w:pPr>
    </w:p>
    <w:p>
      <w:pPr>
        <w:ind w:left="320" w:hanging="317"/>
        <w:spacing w:after="0"/>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60" w:type="dxa"/>
            <w:vAlign w:val="bottom"/>
            <w:gridSpan w:val="3"/>
          </w:tcPr>
          <w:p>
            <w:pPr>
              <w:spacing w:after="0"/>
              <w:rPr>
                <w:sz w:val="20"/>
                <w:szCs w:val="20"/>
                <w:color w:val="auto"/>
              </w:rPr>
            </w:pPr>
            <w:r>
              <w:rPr>
                <w:rFonts w:ascii="Arial" w:cs="Arial" w:eastAsia="Arial" w:hAnsi="Arial"/>
                <w:sz w:val="17"/>
                <w:szCs w:val="17"/>
                <w:color w:val="auto"/>
              </w:rPr>
              <w:t>Date: May 22, 2012</w:t>
            </w:r>
          </w:p>
        </w:tc>
        <w:tc>
          <w:tcPr>
            <w:tcW w:w="8600" w:type="dxa"/>
            <w:vAlign w:val="bottom"/>
            <w:gridSpan w:val="3"/>
          </w:tcPr>
          <w:p>
            <w:pPr>
              <w:ind w:left="1500"/>
              <w:spacing w:after="0"/>
              <w:rPr>
                <w:sz w:val="20"/>
                <w:szCs w:val="20"/>
                <w:color w:val="auto"/>
              </w:rPr>
            </w:pPr>
            <w:r>
              <w:rPr>
                <w:rFonts w:ascii="Arial" w:cs="Arial" w:eastAsia="Arial" w:hAnsi="Arial"/>
                <w:sz w:val="17"/>
                <w:szCs w:val="17"/>
                <w:color w:val="auto"/>
              </w:rPr>
              <w:t>By: /s/Sandra B. Cochran</w:t>
            </w:r>
          </w:p>
        </w:tc>
      </w:tr>
      <w:tr>
        <w:trPr>
          <w:trHeight w:val="213"/>
        </w:trPr>
        <w:tc>
          <w:tcPr>
            <w:tcW w:w="4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9"/>
              </w:rPr>
              <w:t>Sandra B. Cochran</w:t>
            </w:r>
          </w:p>
        </w:tc>
        <w:tc>
          <w:tcPr>
            <w:tcW w:w="53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7"/>
                <w:szCs w:val="17"/>
                <w:color w:val="auto"/>
              </w:rPr>
              <w:t>President and Chief Executive Officer</w:t>
            </w:r>
          </w:p>
        </w:tc>
      </w:tr>
      <w:tr>
        <w:trPr>
          <w:trHeight w:val="527"/>
        </w:trPr>
        <w:tc>
          <w:tcPr>
            <w:tcW w:w="4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282" w:right="199" w:bottom="1440" w:gutter="0" w:footer="0" w:header="0"/>
        </w:sectPr>
      </w:pPr>
    </w:p>
    <w:bookmarkStart w:id="63" w:name="page64"/>
    <w:bookmarkEnd w:id="63"/>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32.2</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CERTIFICATION OF CHIEF FINANCIAL OFFICER</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18 U.S.C. SECTION 1350, AS ADOPTED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SECTION 906 OF THE SARBANES-OXLEY ACT OF 2002</w:t>
      </w:r>
    </w:p>
    <w:p>
      <w:pPr>
        <w:spacing w:after="0" w:line="233"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In connection with the Quarterly Report of Cracker Barrel Old Country Store, Inc. (the “Issuer”) on Form 10-Q for the fiscal quarter ended April 27, 2012,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183" w:lineRule="exact"/>
        <w:rPr>
          <w:sz w:val="20"/>
          <w:szCs w:val="20"/>
          <w:color w:val="auto"/>
        </w:rPr>
      </w:pPr>
    </w:p>
    <w:p>
      <w:pPr>
        <w:ind w:left="320" w:hanging="317"/>
        <w:spacing w:after="0"/>
        <w:tabs>
          <w:tab w:leader="none" w:pos="3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60" w:type="dxa"/>
            <w:vAlign w:val="bottom"/>
            <w:gridSpan w:val="3"/>
          </w:tcPr>
          <w:p>
            <w:pPr>
              <w:spacing w:after="0"/>
              <w:rPr>
                <w:sz w:val="20"/>
                <w:szCs w:val="20"/>
                <w:color w:val="auto"/>
              </w:rPr>
            </w:pPr>
            <w:r>
              <w:rPr>
                <w:rFonts w:ascii="Arial" w:cs="Arial" w:eastAsia="Arial" w:hAnsi="Arial"/>
                <w:sz w:val="17"/>
                <w:szCs w:val="17"/>
                <w:color w:val="auto"/>
              </w:rPr>
              <w:t>Date: May 22, 2012</w:t>
            </w:r>
          </w:p>
        </w:tc>
        <w:tc>
          <w:tcPr>
            <w:tcW w:w="8600" w:type="dxa"/>
            <w:vAlign w:val="bottom"/>
            <w:gridSpan w:val="3"/>
          </w:tcPr>
          <w:p>
            <w:pPr>
              <w:ind w:left="1500"/>
              <w:spacing w:after="0"/>
              <w:rPr>
                <w:sz w:val="20"/>
                <w:szCs w:val="20"/>
                <w:color w:val="auto"/>
              </w:rPr>
            </w:pPr>
            <w:r>
              <w:rPr>
                <w:rFonts w:ascii="Arial" w:cs="Arial" w:eastAsia="Arial" w:hAnsi="Arial"/>
                <w:sz w:val="17"/>
                <w:szCs w:val="17"/>
                <w:color w:val="auto"/>
              </w:rPr>
              <w:t>By: /s/Lawrence E. Hyatt</w:t>
            </w:r>
          </w:p>
        </w:tc>
      </w:tr>
      <w:tr>
        <w:trPr>
          <w:trHeight w:val="213"/>
        </w:trPr>
        <w:tc>
          <w:tcPr>
            <w:tcW w:w="4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Lawrence E. Hyatt,</w:t>
            </w:r>
          </w:p>
        </w:tc>
        <w:tc>
          <w:tcPr>
            <w:tcW w:w="53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7"/>
                <w:szCs w:val="17"/>
                <w:color w:val="auto"/>
              </w:rPr>
              <w:t>Senior Vice President and Chief Financial Officer</w:t>
            </w:r>
          </w:p>
        </w:tc>
      </w:tr>
      <w:tr>
        <w:trPr>
          <w:trHeight w:val="579"/>
        </w:trPr>
        <w:tc>
          <w:tcPr>
            <w:tcW w:w="4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60"/>
      </w:cols>
      <w:pgMar w:left="240" w:top="27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x"/>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2"/>
    </w:lvl>
  </w:abstractNum>
  <w:abstractNum w:abstractNumId="6">
    <w:nsid w:val="6CEAF087"/>
    <w:multiLevelType w:val="hybridMultilevel"/>
    <w:lvl w:ilvl="0">
      <w:lvlJc w:val="left"/>
      <w:lvlText w:val="%1."/>
      <w:numFmt w:val="decimal"/>
      <w:start w:val="3"/>
    </w:lvl>
  </w:abstractNum>
  <w:abstractNum w:abstractNumId="7">
    <w:nsid w:val="22221A70"/>
    <w:multiLevelType w:val="hybridMultilevel"/>
    <w:lvl w:ilvl="0">
      <w:lvlJc w:val="left"/>
      <w:lvlText w:val="%1."/>
      <w:numFmt w:val="decimal"/>
      <w:start w:val="5"/>
    </w:lvl>
  </w:abstractNum>
  <w:abstractNum w:abstractNumId="8">
    <w:nsid w:val="4516DDE9"/>
    <w:multiLevelType w:val="hybridMultilevel"/>
    <w:lvl w:ilvl="0">
      <w:lvlJc w:val="left"/>
      <w:lvlText w:val="%1."/>
      <w:numFmt w:val="decimal"/>
      <w:start w:val="6"/>
    </w:lvl>
  </w:abstractNum>
  <w:abstractNum w:abstractNumId="9">
    <w:nsid w:val="3006C83E"/>
    <w:multiLevelType w:val="hybridMultilevel"/>
    <w:lvl w:ilvl="0">
      <w:lvlJc w:val="left"/>
      <w:lvlText w:val="%1."/>
      <w:numFmt w:val="decimal"/>
      <w:start w:val="7"/>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1."/>
      <w:numFmt w:val="decimal"/>
      <w:start w:val="8"/>
    </w:lvl>
  </w:abstractNum>
  <w:abstractNum w:abstractNumId="12">
    <w:nsid w:val="5577F8E1"/>
    <w:multiLevelType w:val="hybridMultilevel"/>
    <w:lvl w:ilvl="0">
      <w:lvlJc w:val="left"/>
      <w:lvlText w:val="%1."/>
      <w:numFmt w:val="decimal"/>
      <w:start w:val="9"/>
    </w:lvl>
  </w:abstractNum>
  <w:abstractNum w:abstractNumId="13">
    <w:nsid w:val="440BADFC"/>
    <w:multiLevelType w:val="hybridMultilevel"/>
    <w:lvl w:ilvl="0">
      <w:lvlJc w:val="left"/>
      <w:lvlText w:val="%1."/>
      <w:numFmt w:val="decimal"/>
      <w:start w:val="10"/>
    </w:lvl>
  </w:abstractNum>
  <w:abstractNum w:abstractNumId="14">
    <w:nsid w:val="5072367"/>
    <w:multiLevelType w:val="hybridMultilevel"/>
    <w:lvl w:ilvl="0">
      <w:lvlJc w:val="left"/>
      <w:lvlText w:val="%1."/>
      <w:numFmt w:val="decimal"/>
      <w:start w:val="11"/>
    </w:lvl>
  </w:abstractNum>
  <w:abstractNum w:abstractNumId="15">
    <w:nsid w:val="3804823E"/>
    <w:multiLevelType w:val="hybridMultilevel"/>
    <w:lvl w:ilvl="0">
      <w:lvlJc w:val="left"/>
      <w:lvlText w:val="%1."/>
      <w:numFmt w:val="decimal"/>
      <w:start w:val="12"/>
    </w:lvl>
  </w:abstractNum>
  <w:abstractNum w:abstractNumId="16">
    <w:nsid w:val="77465F01"/>
    <w:multiLevelType w:val="hybridMultilevel"/>
    <w:lvl w:ilvl="0">
      <w:lvlJc w:val="left"/>
      <w:lvlText w:val="%1."/>
      <w:numFmt w:val="decimal"/>
      <w:start w:val="13"/>
    </w:lvl>
  </w:abstractNum>
  <w:abstractNum w:abstractNumId="17">
    <w:nsid w:val="7724C67E"/>
    <w:multiLevelType w:val="hybridMultilevel"/>
    <w:lvl w:ilvl="0">
      <w:lvlJc w:val="left"/>
      <w:lvlText w:val="%1."/>
      <w:numFmt w:val="decimal"/>
      <w:start w:val="14"/>
    </w:lvl>
  </w:abstractNum>
  <w:abstractNum w:abstractNumId="18">
    <w:nsid w:val="5C482A97"/>
    <w:multiLevelType w:val="hybridMultilevel"/>
    <w:lvl w:ilvl="0">
      <w:lvlJc w:val="left"/>
      <w:lvlText w:val="%1."/>
      <w:numFmt w:val="decimal"/>
      <w:start w:val="15"/>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lowerLetter"/>
      <w:start w:val="1"/>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1)"/>
      <w:numFmt w:val="lowerLetter"/>
      <w:start w:val="2"/>
    </w:lvl>
  </w:abstractNum>
  <w:abstractNum w:abstractNumId="29">
    <w:nsid w:val="1D4ED43B"/>
    <w:multiLevelType w:val="hybridMultilevel"/>
    <w:lvl w:ilvl="0">
      <w:lvlJc w:val="left"/>
      <w:lvlText w:val="%1."/>
      <w:numFmt w:val="decimal"/>
      <w:start w:val="2"/>
    </w:lvl>
  </w:abstractNum>
  <w:abstractNum w:abstractNumId="30">
    <w:nsid w:val="725A06FB"/>
    <w:multiLevelType w:val="hybridMultilevel"/>
    <w:lvl w:ilvl="0">
      <w:lvlJc w:val="left"/>
      <w:lvlText w:val="%1."/>
      <w:numFmt w:val="decimal"/>
      <w:start w:val="3"/>
    </w:lvl>
  </w:abstractNum>
  <w:abstractNum w:abstractNumId="31">
    <w:nsid w:val="2CD89A32"/>
    <w:multiLevelType w:val="hybridMultilevel"/>
    <w:lvl w:ilvl="0">
      <w:lvlJc w:val="left"/>
      <w:lvlText w:val="%1."/>
      <w:numFmt w:val="decimal"/>
      <w:start w:val="4"/>
    </w:lvl>
  </w:abstractNum>
  <w:abstractNum w:abstractNumId="32">
    <w:nsid w:val="57E4CCAF"/>
    <w:multiLevelType w:val="hybridMultilevel"/>
    <w:lvl w:ilvl="0">
      <w:lvlJc w:val="left"/>
      <w:lvlText w:val="%1."/>
      <w:numFmt w:val="decimal"/>
      <w:start w:val="5"/>
    </w:lvl>
    <w:lvl w:ilvl="1">
      <w:lvlJc w:val="left"/>
      <w:lvlText w:val="(%2)"/>
      <w:numFmt w:val="lowerLetter"/>
      <w:start w:val="1"/>
    </w:lvl>
  </w:abstractNum>
  <w:abstractNum w:abstractNumId="33">
    <w:nsid w:val="7A6D8D3C"/>
    <w:multiLevelType w:val="hybridMultilevel"/>
    <w:lvl w:ilvl="0">
      <w:lvlJc w:val="left"/>
      <w:lvlText w:val="(%1)"/>
      <w:numFmt w:val="lowerLetter"/>
      <w:start w:val="3"/>
    </w:lvl>
  </w:abstractNum>
  <w:abstractNum w:abstractNumId="34">
    <w:nsid w:val="4B588F54"/>
    <w:multiLevelType w:val="hybridMultilevel"/>
    <w:lvl w:ilvl="0">
      <w:lvlJc w:val="left"/>
      <w:lvlText w:val="%1."/>
      <w:numFmt w:val="decimal"/>
      <w:start w:val="6"/>
    </w:lvl>
  </w:abstractNum>
  <w:abstractNum w:abstractNumId="35">
    <w:nsid w:val="542289EC"/>
    <w:multiLevelType w:val="hybridMultilevel"/>
    <w:lvl w:ilvl="0">
      <w:lvlJc w:val="left"/>
      <w:lvlText w:val="(%1)"/>
      <w:numFmt w:val="lowerLetter"/>
      <w:start w:val="1"/>
    </w:lvl>
  </w:abstractNum>
  <w:abstractNum w:abstractNumId="36">
    <w:nsid w:val="6DE91B18"/>
    <w:multiLevelType w:val="hybridMultilevel"/>
    <w:lvl w:ilvl="0">
      <w:lvlJc w:val="left"/>
      <w:lvlText w:val="(%1)"/>
      <w:numFmt w:val="lowerLetter"/>
      <w:start w:val="2"/>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lowerLetter"/>
      <w:start w:val="2"/>
    </w:lvl>
  </w:abstractNum>
  <w:abstractNum w:abstractNumId="39">
    <w:nsid w:val="32FFF902"/>
    <w:multiLevelType w:val="hybridMultilevel"/>
    <w:lvl w:ilvl="0">
      <w:lvlJc w:val="left"/>
      <w:lvlText w:val="(%1)"/>
      <w:numFmt w:val="lowerLetter"/>
      <w:start w:val="4"/>
    </w:lvl>
  </w:abstractNum>
  <w:abstractNum w:abstractNumId="40">
    <w:nsid w:val="684A481A"/>
    <w:multiLevelType w:val="hybridMultilevel"/>
    <w:lvl w:ilvl="0">
      <w:lvlJc w:val="left"/>
      <w:lvlText w:val="(%1)"/>
      <w:numFmt w:val="lowerLetter"/>
      <w:start w:val="4"/>
    </w:lvl>
  </w:abstractNum>
  <w:abstractNum w:abstractNumId="41">
    <w:nsid w:val="579478FE"/>
    <w:multiLevelType w:val="hybridMultilevel"/>
    <w:lvl w:ilvl="0">
      <w:lvlJc w:val="left"/>
      <w:lvlText w:val="(%1)"/>
      <w:numFmt w:val="lowerLetter"/>
      <w:start w:val="6"/>
    </w:lvl>
  </w:abstractNum>
  <w:abstractNum w:abstractNumId="42">
    <w:nsid w:val="749ABB43"/>
    <w:multiLevelType w:val="hybridMultilevel"/>
    <w:lvl w:ilvl="0">
      <w:lvlJc w:val="left"/>
      <w:lvlText w:val="(%1)"/>
      <w:numFmt w:val="lowerLetter"/>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3"/>
    </w:lvl>
  </w:abstractNum>
  <w:abstractNum w:abstractNumId="45">
    <w:nsid w:val="79A1DEAA"/>
    <w:multiLevelType w:val="hybridMultilevel"/>
    <w:lvl w:ilvl="0">
      <w:lvlJc w:val="left"/>
      <w:lvlText w:val="%1."/>
      <w:numFmt w:val="decimal"/>
      <w:start w:val="8"/>
    </w:lvl>
  </w:abstractNum>
  <w:abstractNum w:abstractNumId="46">
    <w:nsid w:val="75C6C33A"/>
    <w:multiLevelType w:val="hybridMultilevel"/>
    <w:lvl w:ilvl="0">
      <w:lvlJc w:val="left"/>
      <w:lvlText w:val="%1."/>
      <w:numFmt w:val="decimal"/>
      <w:start w:val="12"/>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lowerRoman"/>
      <w:start w:val="1"/>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lowerLetter"/>
      <w:start w:val="3"/>
    </w:lvl>
  </w:abstractNum>
  <w:abstractNum w:abstractNumId="51">
    <w:nsid w:val="4F4EF0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2">
    <w:nsid w:val="23F9C13C"/>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53">
    <w:nsid w:val="649BB77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4">
    <w:nsid w:val="275AC794"/>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2019-12-09T13:46:04Z</dcterms:created>
  <dcterms:modified xsi:type="dcterms:W3CDTF">2019-12-09T13:46:04Z</dcterms:modified>
</cp:coreProperties>
</file>