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3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980" w:right="4040" w:hanging="324"/>
        <w:spacing w:after="0" w:line="266" w:lineRule="auto"/>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October 31, 2014</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980" w:right="4060" w:hanging="324"/>
        <w:spacing w:after="0" w:line="277" w:lineRule="auto"/>
        <w:tabs>
          <w:tab w:leader="none" w:pos="97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________from to_____________</w:t>
      </w:r>
    </w:p>
    <w:p>
      <w:pPr>
        <w:spacing w:after="0" w:line="170"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001</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3"/>
              </w:rPr>
              <w:t>305 Hartmann Drive</w:t>
            </w:r>
          </w:p>
        </w:tc>
        <w:tc>
          <w:tcPr>
            <w:tcW w:w="4040" w:type="dxa"/>
            <w:vAlign w:val="bottom"/>
          </w:tcPr>
          <w:p>
            <w:pPr>
              <w:spacing w:after="0"/>
              <w:rPr>
                <w:sz w:val="24"/>
                <w:szCs w:val="24"/>
                <w:color w:val="auto"/>
              </w:rPr>
            </w:pP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2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28" w:right="239" w:bottom="1440" w:gutter="0" w:footer="0" w:header="0"/>
        </w:sectPr>
      </w:pPr>
    </w:p>
    <w:p>
      <w:pPr>
        <w:spacing w:after="0" w:line="138" w:lineRule="exact"/>
        <w:rPr>
          <w:sz w:val="24"/>
          <w:szCs w:val="24"/>
          <w:color w:val="auto"/>
        </w:rPr>
      </w:pPr>
    </w:p>
    <w:p>
      <w:pPr>
        <w:ind w:left="10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5920" w:space="720"/>
            <w:col w:w="1200" w:space="100"/>
            <w:col w:w="3480"/>
          </w:cols>
          <w:pgMar w:left="240" w:top="528" w:right="239" w:bottom="1440" w:gutter="0" w:footer="0" w:header="0"/>
          <w:type w:val="continuous"/>
        </w:sectPr>
      </w:pPr>
    </w:p>
    <w:p>
      <w:pPr>
        <w:spacing w:after="0" w:line="48"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580" w:space="180"/>
            <w:col w:w="3160" w:space="720"/>
            <w:col w:w="1960" w:space="100"/>
            <w:col w:w="2720"/>
          </w:cols>
          <w:pgMar w:left="240" w:top="528"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248"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23,913,881 Shares of Common Stock</w:t>
      </w:r>
    </w:p>
    <w:p>
      <w:pPr>
        <w:spacing w:after="0" w:line="23"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Outstanding as of November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40" w:type="dxa"/>
            <w:vAlign w:val="bottom"/>
            <w:gridSpan w:val="8"/>
          </w:tcPr>
          <w:p>
            <w:pPr>
              <w:jc w:val="center"/>
              <w:ind w:right="158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6"/>
          </w:tcPr>
          <w:p>
            <w:pPr>
              <w:jc w:val="center"/>
              <w:ind w:right="4160"/>
              <w:spacing w:after="0"/>
              <w:rPr>
                <w:sz w:val="20"/>
                <w:szCs w:val="20"/>
                <w:color w:val="auto"/>
              </w:rPr>
            </w:pPr>
            <w:r>
              <w:rPr>
                <w:rFonts w:ascii="Arial" w:cs="Arial" w:eastAsia="Arial" w:hAnsi="Arial"/>
                <w:sz w:val="18"/>
                <w:szCs w:val="18"/>
                <w:b w:val="1"/>
                <w:bCs w:val="1"/>
                <w:color w:val="auto"/>
                <w:w w:val="99"/>
              </w:rPr>
              <w:t>FORM 10-Q</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40" w:type="dxa"/>
            <w:vAlign w:val="bottom"/>
            <w:gridSpan w:val="8"/>
          </w:tcPr>
          <w:p>
            <w:pPr>
              <w:jc w:val="center"/>
              <w:ind w:right="1600"/>
              <w:spacing w:after="0"/>
              <w:rPr>
                <w:sz w:val="20"/>
                <w:szCs w:val="20"/>
                <w:color w:val="auto"/>
              </w:rPr>
            </w:pPr>
            <w:r>
              <w:rPr>
                <w:rFonts w:ascii="Arial" w:cs="Arial" w:eastAsia="Arial" w:hAnsi="Arial"/>
                <w:sz w:val="18"/>
                <w:szCs w:val="18"/>
                <w:b w:val="1"/>
                <w:bCs w:val="1"/>
                <w:color w:val="auto"/>
                <w:w w:val="92"/>
              </w:rPr>
              <w:t>For the Quarter Ended October 31, 2014</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6"/>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380" w:type="dxa"/>
            <w:vAlign w:val="bottom"/>
            <w:gridSpan w:val="16"/>
          </w:tcPr>
          <w:p>
            <w:pPr>
              <w:spacing w:after="0"/>
              <w:rPr>
                <w:sz w:val="20"/>
                <w:szCs w:val="20"/>
                <w:color w:val="auto"/>
              </w:rPr>
            </w:pPr>
            <w:r>
              <w:rPr>
                <w:rFonts w:ascii="Arial" w:cs="Arial" w:eastAsia="Arial" w:hAnsi="Arial"/>
                <w:sz w:val="18"/>
                <w:szCs w:val="18"/>
                <w:b w:val="1"/>
                <w:bCs w:val="1"/>
                <w:color w:val="auto"/>
              </w:rPr>
              <w:t>PART I. FINANCIAL INFORMATION</w:t>
            </w:r>
          </w:p>
        </w:tc>
        <w:tc>
          <w:tcPr>
            <w:tcW w:w="1060" w:type="dxa"/>
            <w:vAlign w:val="bottom"/>
            <w:gridSpan w:val="4"/>
          </w:tcPr>
          <w:p>
            <w:pPr>
              <w:ind w:left="5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53"/>
        </w:trPr>
        <w:tc>
          <w:tcPr>
            <w:tcW w:w="10380" w:type="dxa"/>
            <w:vAlign w:val="bottom"/>
            <w:gridSpan w:val="16"/>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5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2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October 31, 2014 and August 1, 2014</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20" w:type="dxa"/>
            <w:vAlign w:val="bottom"/>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Income for the Quarters Ended October 31, 2014 and November 1, 2013</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20" w:type="dxa"/>
            <w:vAlign w:val="bottom"/>
            <w:gridSpan w:val="13"/>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 Condensed Consolidated Statements of Comprehensive Income for the Quarters Ended October 31, 2014 and November 1, 2013</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20" w:type="dxa"/>
            <w:vAlign w:val="bottom"/>
            <w:gridSpan w:val="1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Cash Flows for the Quarters Ended October 31, 2014 and November 1, 2013</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20" w:type="dxa"/>
            <w:vAlign w:val="bottom"/>
            <w:gridSpan w:val="13"/>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About Market Risk</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38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60" w:type="dxa"/>
            <w:vAlign w:val="bottom"/>
            <w:gridSpan w:val="15"/>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5460" w:type="dxa"/>
            <w:vAlign w:val="bottom"/>
            <w:tcBorders>
              <w:top w:val="single" w:sz="8" w:color="CCEEFF"/>
            </w:tcBorders>
            <w:gridSpan w:val="7"/>
          </w:tcPr>
          <w:p>
            <w:pPr>
              <w:jc w:val="center"/>
              <w:ind w:left="3568"/>
              <w:spacing w:after="0"/>
              <w:rPr>
                <w:sz w:val="20"/>
                <w:szCs w:val="20"/>
                <w:color w:val="auto"/>
              </w:rPr>
            </w:pPr>
            <w:r>
              <w:rPr>
                <w:rFonts w:ascii="Arial" w:cs="Arial" w:eastAsia="Arial" w:hAnsi="Arial"/>
                <w:sz w:val="14"/>
                <w:szCs w:val="14"/>
                <w:color w:val="auto"/>
                <w:w w:val="76"/>
              </w:rPr>
              <w:t>2</w:t>
            </w:r>
          </w:p>
        </w:tc>
        <w:tc>
          <w:tcPr>
            <w:tcW w:w="70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color w:val="auto"/>
                <w:w w:val="87"/>
              </w:rPr>
              <w:t>(In thousands, except share data)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October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August 1,</w:t>
            </w:r>
          </w:p>
        </w:tc>
        <w:tc>
          <w:tcPr>
            <w:tcW w:w="0" w:type="dxa"/>
            <w:vAlign w:val="bottom"/>
          </w:tcPr>
          <w:p>
            <w:pPr>
              <w:spacing w:after="0"/>
              <w:rPr>
                <w:sz w:val="1"/>
                <w:szCs w:val="1"/>
                <w:color w:val="auto"/>
              </w:rPr>
            </w:pPr>
          </w:p>
        </w:tc>
      </w:tr>
      <w:tr>
        <w:trPr>
          <w:trHeight w:val="237"/>
        </w:trPr>
        <w:tc>
          <w:tcPr>
            <w:tcW w:w="8820" w:type="dxa"/>
            <w:vAlign w:val="bottom"/>
            <w:gridSpan w:val="3"/>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15,672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1,878,980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1,867,121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1,041,206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1,043,284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1,424,027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1,432,248</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92,401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10,258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interest rate swap liability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199,461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330,332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interest rate swap liability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Arial" w:cs="Arial" w:eastAsia="Arial" w:hAnsi="Arial"/>
                <w:sz w:val="18"/>
                <w:szCs w:val="18"/>
                <w:color w:val="auto"/>
                <w:w w:val="96"/>
              </w:rPr>
              <w:t>Preferred stock – 100,000,000 shares of $.01 par value authorized; 300,000 shares designated as Series A Junior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 400,000,000 shares of $.01 par value authorized; 23,905,172 shares issued and outstanding at October</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 2014, and 23,821,227 shares issued and outstanding at August 1, 2014</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39,947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503,184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493,167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538,161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1,424,027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1,432,248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right="160" w:firstLine="8"/>
        <w:spacing w:after="0" w:line="277" w:lineRule="auto"/>
        <w:tabs>
          <w:tab w:leader="none" w:pos="15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August 1, 2014, as filed with the Securities and Exchange Commission in the Company’s Annual Report on Form 10-K for the fiscal year ended August 1, 2014.</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5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80" w:type="dxa"/>
            <w:vAlign w:val="bottom"/>
          </w:tcPr>
          <w:p>
            <w:pPr>
              <w:jc w:val="center"/>
              <w:ind w:left="253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18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80" w:type="dxa"/>
            <w:vAlign w:val="bottom"/>
          </w:tcPr>
          <w:p>
            <w:pPr>
              <w:jc w:val="center"/>
              <w:ind w:left="2510"/>
              <w:spacing w:after="0"/>
              <w:rPr>
                <w:sz w:val="20"/>
                <w:szCs w:val="20"/>
                <w:color w:val="auto"/>
              </w:rPr>
            </w:pPr>
            <w:r>
              <w:rPr>
                <w:rFonts w:ascii="Arial" w:cs="Arial" w:eastAsia="Arial" w:hAnsi="Arial"/>
                <w:sz w:val="18"/>
                <w:szCs w:val="18"/>
                <w:color w:val="auto"/>
                <w:w w:val="88"/>
              </w:rPr>
              <w:t>(In thousands, except share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80" w:type="dxa"/>
            <w:vAlign w:val="bottom"/>
          </w:tcPr>
          <w:p>
            <w:pPr>
              <w:jc w:val="center"/>
              <w:ind w:left="2510"/>
              <w:spacing w:after="0"/>
              <w:rPr>
                <w:sz w:val="20"/>
                <w:szCs w:val="20"/>
                <w:color w:val="auto"/>
              </w:rPr>
            </w:pPr>
            <w:r>
              <w:rPr>
                <w:rFonts w:ascii="Arial" w:cs="Arial" w:eastAsia="Arial" w:hAnsi="Arial"/>
                <w:sz w:val="18"/>
                <w:szCs w:val="18"/>
                <w:color w:val="auto"/>
                <w:w w:val="91"/>
              </w:rPr>
              <w:t>(Unaudited)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31,</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683,428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222,295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461,133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443,212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Labor and other related expenses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242,327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236,747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130,172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Store operating income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88,634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34,024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27,160</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23,862,195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23,817,436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24,001,438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23,925,088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
        </w:trPr>
        <w:tc>
          <w:tcPr>
            <w:tcW w:w="8500" w:type="dxa"/>
            <w:vAlign w:val="bottom"/>
            <w:gridSpan w:val="3"/>
            <w:vMerge w:val="restart"/>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5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280"/>
              <w:spacing w:after="0" w:line="201" w:lineRule="exact"/>
              <w:rPr>
                <w:sz w:val="20"/>
                <w:szCs w:val="20"/>
                <w:color w:val="auto"/>
              </w:rPr>
            </w:pPr>
            <w:r>
              <w:rPr>
                <w:rFonts w:ascii="Arial" w:cs="Arial" w:eastAsia="Arial" w:hAnsi="Arial"/>
                <w:sz w:val="18"/>
                <w:szCs w:val="18"/>
                <w:color w:val="auto"/>
                <w:w w:val="91"/>
              </w:rPr>
              <w:t>October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26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34,024</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before income tax benefit:</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b w:val="1"/>
                <w:bCs w:val="1"/>
                <w:color w:val="auto"/>
              </w:rPr>
              <w:t>CRACKER BARREL OLD COUNTRY STORE, INC.</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color w:val="auto"/>
                <w:w w:val="90"/>
              </w:rPr>
              <w:t>(Unaudited and in thousands)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280"/>
              <w:spacing w:after="0" w:line="201" w:lineRule="exact"/>
              <w:rPr>
                <w:sz w:val="20"/>
                <w:szCs w:val="20"/>
                <w:color w:val="auto"/>
              </w:rPr>
            </w:pPr>
            <w:r>
              <w:rPr>
                <w:rFonts w:ascii="Arial" w:cs="Arial" w:eastAsia="Arial" w:hAnsi="Arial"/>
                <w:sz w:val="18"/>
                <w:szCs w:val="18"/>
                <w:color w:val="auto"/>
                <w:w w:val="91"/>
              </w:rPr>
              <w:t>October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34,024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Loss on disposition of property and equipment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(12,315)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Other long-term assets and liabilities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(18,437)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gridSpan w:val="2"/>
          </w:tcPr>
          <w:p>
            <w:pPr>
              <w:spacing w:after="0" w:line="201" w:lineRule="exact"/>
              <w:rPr>
                <w:sz w:val="20"/>
                <w:szCs w:val="20"/>
                <w:color w:val="auto"/>
              </w:rPr>
            </w:pPr>
            <w:r>
              <w:rPr>
                <w:rFonts w:ascii="Arial" w:cs="Arial" w:eastAsia="Arial" w:hAnsi="Arial"/>
                <w:sz w:val="18"/>
                <w:szCs w:val="18"/>
                <w:color w:val="auto"/>
              </w:rPr>
              <w:t>(Taxes withheld) and proceeds from issuance of share-based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gridSpan w:val="3"/>
          </w:tcPr>
          <w:p>
            <w:pPr>
              <w:spacing w:after="0"/>
              <w:rPr>
                <w:sz w:val="20"/>
                <w:szCs w:val="20"/>
                <w:color w:val="auto"/>
              </w:rPr>
            </w:pPr>
            <w:r>
              <w:rPr>
                <w:rFonts w:ascii="Arial" w:cs="Arial" w:eastAsia="Arial" w:hAnsi="Arial"/>
                <w:sz w:val="18"/>
                <w:szCs w:val="18"/>
                <w:color w:val="auto"/>
              </w:rPr>
              <w:t>compensation awards, net</w:t>
            </w: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Principal payments under long-term debt and other long-term obligations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Purchases and retirement of common stock</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on common stock</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119,361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121,718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105,851</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net of amounts capitalized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7,091</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Dividends declared but not yet paid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24,183</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17,958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17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October 31, 2014 and August 1, 2014 and the related condensed consolidated statements of income, comprehensive income and cash flows for the quarters ended October 31, 2014 and November 1, 2013, respectively,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August 1, 2014 (the “2014 Form 10-K”). The accounting policies used in preparing these condensed consolidated financial statements are the same as described in the 2014 Form 10-K. References to a year in these Notes to Condensed Consolidated Financial Statements are to the Company’s fiscal year unless otherwise noted.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Adopted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Reporting Discontinued Operations and Disclosures of Disposals of Components of an Entity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April 2014, the Financial Accounting Standards Board (“FASB”) issued accounting guidance which changes the criteria for disposals to qualify as discontinued operations and requires new disclosures about disposals of both discontinued operations and certain other disposals that do not meet the new definition. This accounting guidance is effective for fiscal years beginning on or after December 15, 2014 and interim periods within those years on a prospective basis. The Company is currently evaluating the impact of adopting this accounting guidance, but it is not expected to have a significant impact on the Company’s consolidated financial position or results of operations upon adoption in the first quarter of 2016.</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it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2016 and interim periods within those years. Early application is not permitted. A company may apply this accounting guidance either retrospectively or using the cumulative effect transition method. The Company is currently evaluating the impact of adopting this accounting guidance in the first quarter of 2018.</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October 31, 2014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58,465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58,587</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8,600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August 1, 2014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88,390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7,943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Consolidated Balance Sheets as other assets.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October 31, 2014 and August 1, 2014.</w:t>
      </w:r>
    </w:p>
    <w:p>
      <w:pPr>
        <w:spacing w:after="0" w:line="17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were comprised of the following at:</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October 31, 2014</w:t>
            </w:r>
          </w:p>
        </w:tc>
        <w:tc>
          <w:tcPr>
            <w:tcW w:w="18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August 1, 2014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Restaurant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22,371</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Supplies</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23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177,741</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165,426</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45"/>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2"/>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at:</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October 31, 2014</w:t>
            </w:r>
          </w:p>
        </w:tc>
        <w:tc>
          <w:tcPr>
            <w:tcW w:w="180" w:type="dxa"/>
            <w:vAlign w:val="bottom"/>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August 1, 2014</w:t>
            </w:r>
          </w:p>
        </w:tc>
        <w:tc>
          <w:tcPr>
            <w:tcW w:w="1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 expiring on July 8, 2016</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12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Term loan payable on or before July 8, 2016</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181,250</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w:t>
            </w:r>
          </w:p>
        </w:tc>
        <w:tc>
          <w:tcPr>
            <w:tcW w:w="12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393,750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Current maturities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368,750</w:t>
            </w:r>
          </w:p>
        </w:tc>
        <w:tc>
          <w:tcPr>
            <w:tcW w:w="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$750,000 credit facility (the “Credit Facility”) consists of a $250,000 term loan and a $500,000 revolving credit facility (the “Revolving Credit Facility”). At October 31, 2014, the Company had $212,500 of outstanding borrowings under the Revolving Credit Facility and $20,152 of standby letters of credit, which reduce the Company’s borrowing availability under the Revolving Credit Facility (see Note 11 for more information on the Company’s standby letters of credit). At October 31, 2014, the Company had $267,348 in borrowing availability under the Revolving Credit Facility.</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Credit Facility, outstanding borrowings bear interest, at the Company’s election, either at LIBOR or prime plus a percentage point spread based on certain specified financial ratios under the Credit Facility. As of October 31, 2014, the Company’s outstanding borrowings were swapped at a weighted average interest rate of 3.73% (see Note 5 for information on the Company’s interest rate swaps).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Facility contains customary financial covenants, which include maintenance of a maximum consolidated total leverage ratio and a minimum consolidated interest coverage ratio. At October 31, 2014, the Company was in compliance with all debt covenants.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Credit Facility also imposes restrictions on the amount of dividends the Company is permitted to pay and the amount of shares the Company is permitted to repurchase. Provided there is no default existing and the total of the Company’s availability under the Revolving Credit Facility plus the Company’s cash and cash equivalents on hand is at least $100,000 (the “liquidity requirements”), the Company may declare and pay cash dividends on shares of its common stock and repurchase shares of its common stock if the aggregate amount of dividends paid and shares repurchased in any fiscal year is less than the sum of (1) 20% of Consolidated EBITDA from continuing operations (as defined in the Credit Facility) (the “20% limitation”) during the immediately preceding fiscal year and (2) provided the Company’s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162"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The Company’s policy has been to manage interest cost using a mix of fixed and variable rate debt. To manage this risk in a cost efficient manner, the Company uses derivative instruments, specifically interest rate swaps.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weighted average credit spread at October 31, 2014 was 1.50%. All of the Company’s interest rate swaps are accounted for as cash flow hedges.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October 31, 2014 is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5"/>
              </w:rPr>
              <w:t>Term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Notional</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25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Trade Date</w:t>
            </w:r>
          </w:p>
        </w:tc>
        <w:tc>
          <w:tcPr>
            <w:tcW w:w="100" w:type="dxa"/>
            <w:vAlign w:val="bottom"/>
          </w:tcPr>
          <w:p>
            <w:pPr>
              <w:spacing w:after="0"/>
              <w:rPr>
                <w:sz w:val="20"/>
                <w:szCs w:val="20"/>
                <w:color w:val="auto"/>
              </w:rPr>
            </w:pPr>
          </w:p>
        </w:tc>
        <w:tc>
          <w:tcPr>
            <w:tcW w:w="35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Effective Date</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(in Years)</w:t>
            </w:r>
          </w:p>
        </w:tc>
        <w:tc>
          <w:tcPr>
            <w:tcW w:w="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Fixed Rate</w:t>
            </w:r>
          </w:p>
        </w:tc>
        <w:tc>
          <w:tcPr>
            <w:tcW w:w="180" w:type="dxa"/>
            <w:vAlign w:val="bottom"/>
          </w:tcPr>
          <w:p>
            <w:pPr>
              <w:spacing w:after="0"/>
              <w:rPr>
                <w:sz w:val="20"/>
                <w:szCs w:val="20"/>
                <w:color w:val="auto"/>
              </w:rPr>
            </w:pPr>
          </w:p>
        </w:tc>
      </w:tr>
      <w:tr>
        <w:trPr>
          <w:trHeight w:val="216"/>
        </w:trPr>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10, 2010</w:t>
            </w:r>
          </w:p>
        </w:tc>
        <w:tc>
          <w:tcPr>
            <w:tcW w:w="1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May 3, 2013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r>
      <w:tr>
        <w:trPr>
          <w:trHeight w:val="216"/>
        </w:trPr>
        <w:tc>
          <w:tcPr>
            <w:tcW w:w="2500" w:type="dxa"/>
            <w:vAlign w:val="bottom"/>
          </w:tcPr>
          <w:p>
            <w:pPr>
              <w:ind w:left="100"/>
              <w:spacing w:after="0"/>
              <w:rPr>
                <w:sz w:val="20"/>
                <w:szCs w:val="20"/>
                <w:color w:val="auto"/>
              </w:rPr>
            </w:pPr>
            <w:r>
              <w:rPr>
                <w:rFonts w:ascii="Arial" w:cs="Arial" w:eastAsia="Arial" w:hAnsi="Arial"/>
                <w:sz w:val="18"/>
                <w:szCs w:val="18"/>
                <w:color w:val="auto"/>
              </w:rPr>
              <w:t>July 25, 2011</w:t>
            </w: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2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July 25, 2011</w:t>
            </w:r>
          </w:p>
        </w:tc>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2500" w:type="dxa"/>
            <w:vAlign w:val="bottom"/>
          </w:tcPr>
          <w:p>
            <w:pPr>
              <w:ind w:left="100"/>
              <w:spacing w:after="0"/>
              <w:rPr>
                <w:sz w:val="20"/>
                <w:szCs w:val="20"/>
                <w:color w:val="auto"/>
              </w:rPr>
            </w:pPr>
            <w:r>
              <w:rPr>
                <w:rFonts w:ascii="Arial" w:cs="Arial" w:eastAsia="Arial" w:hAnsi="Arial"/>
                <w:sz w:val="18"/>
                <w:szCs w:val="18"/>
                <w:color w:val="auto"/>
              </w:rPr>
              <w:t>September 19, 2011</w:t>
            </w: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September 19, 2011</w:t>
            </w:r>
          </w:p>
        </w:tc>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2500" w:type="dxa"/>
            <w:vAlign w:val="bottom"/>
          </w:tcPr>
          <w:p>
            <w:pPr>
              <w:ind w:left="100"/>
              <w:spacing w:after="0"/>
              <w:rPr>
                <w:sz w:val="20"/>
                <w:szCs w:val="20"/>
                <w:color w:val="auto"/>
              </w:rPr>
            </w:pPr>
            <w:r>
              <w:rPr>
                <w:rFonts w:ascii="Arial" w:cs="Arial" w:eastAsia="Arial" w:hAnsi="Arial"/>
                <w:sz w:val="18"/>
                <w:szCs w:val="18"/>
                <w:color w:val="auto"/>
              </w:rPr>
              <w:t>December 7, 2011</w:t>
            </w: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2013</w:t>
            </w:r>
          </w:p>
        </w:tc>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2500" w:type="dxa"/>
            <w:vAlign w:val="bottom"/>
          </w:tcPr>
          <w:p>
            <w:pPr>
              <w:ind w:left="100"/>
              <w:spacing w:after="0"/>
              <w:rPr>
                <w:sz w:val="20"/>
                <w:szCs w:val="20"/>
                <w:color w:val="auto"/>
              </w:rPr>
            </w:pPr>
            <w:r>
              <w:rPr>
                <w:rFonts w:ascii="Arial" w:cs="Arial" w:eastAsia="Arial" w:hAnsi="Arial"/>
                <w:sz w:val="18"/>
                <w:szCs w:val="18"/>
                <w:color w:val="auto"/>
              </w:rPr>
              <w:t>April 8, 2013</w:t>
            </w: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May 3, 2015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15, 2013</w:t>
            </w:r>
          </w:p>
        </w:tc>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2500" w:type="dxa"/>
            <w:vAlign w:val="bottom"/>
          </w:tcPr>
          <w:p>
            <w:pPr>
              <w:ind w:left="100"/>
              <w:spacing w:after="0"/>
              <w:rPr>
                <w:sz w:val="20"/>
                <w:szCs w:val="20"/>
                <w:color w:val="auto"/>
              </w:rPr>
            </w:pPr>
            <w:r>
              <w:rPr>
                <w:rFonts w:ascii="Arial" w:cs="Arial" w:eastAsia="Arial" w:hAnsi="Arial"/>
                <w:sz w:val="18"/>
                <w:szCs w:val="18"/>
                <w:color w:val="auto"/>
              </w:rPr>
              <w:t>April 22, 2013</w:t>
            </w: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May 3, 2015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25, 2013</w:t>
            </w:r>
          </w:p>
        </w:tc>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2500" w:type="dxa"/>
            <w:vAlign w:val="bottom"/>
          </w:tcPr>
          <w:p>
            <w:pPr>
              <w:ind w:left="100"/>
              <w:spacing w:after="0"/>
              <w:rPr>
                <w:sz w:val="20"/>
                <w:szCs w:val="20"/>
                <w:color w:val="auto"/>
              </w:rPr>
            </w:pPr>
            <w:r>
              <w:rPr>
                <w:rFonts w:ascii="Arial" w:cs="Arial" w:eastAsia="Arial" w:hAnsi="Arial"/>
                <w:sz w:val="18"/>
                <w:szCs w:val="18"/>
                <w:color w:val="auto"/>
              </w:rPr>
              <w:t>June 18, 2014</w:t>
            </w: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May 3, 2015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24, 2014</w:t>
            </w:r>
          </w:p>
        </w:tc>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30"/>
        </w:trPr>
        <w:tc>
          <w:tcPr>
            <w:tcW w:w="2500" w:type="dxa"/>
            <w:vAlign w:val="bottom"/>
          </w:tcPr>
          <w:p>
            <w:pPr>
              <w:ind w:left="100"/>
              <w:spacing w:after="0"/>
              <w:rPr>
                <w:sz w:val="20"/>
                <w:szCs w:val="20"/>
                <w:color w:val="auto"/>
              </w:rPr>
            </w:pPr>
            <w:r>
              <w:rPr>
                <w:rFonts w:ascii="Arial" w:cs="Arial" w:eastAsia="Arial" w:hAnsi="Arial"/>
                <w:sz w:val="18"/>
                <w:szCs w:val="18"/>
                <w:color w:val="auto"/>
              </w:rPr>
              <w:t>July 1, 2014</w:t>
            </w: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May 5, 2015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2.43%</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notional amount for the interest rate swap entered into on June 18, 2014 increases by $40,000 each May over the four-year term of the interest rate swap beginning in May 2016 until the notional amount reaches $160,000 in May 2018. The notional amounts for the interest rate swaps entered into on June 24, 2014 and July 1, 2014 increase by $30,000 each May over the four-year terms of the interest rate swaps beginning in May 2016 until the notional amounts each reach $120,000 in May 2018.</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70"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October 31, 2014 and August 1, 2014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00" w:type="dxa"/>
            <w:vAlign w:val="bottom"/>
          </w:tcPr>
          <w:p>
            <w:pPr>
              <w:spacing w:after="0"/>
              <w:rPr>
                <w:sz w:val="20"/>
                <w:szCs w:val="20"/>
                <w:color w:val="auto"/>
              </w:rPr>
            </w:pPr>
          </w:p>
        </w:tc>
        <w:tc>
          <w:tcPr>
            <w:tcW w:w="5120" w:type="dxa"/>
            <w:vAlign w:val="bottom"/>
          </w:tcPr>
          <w:p>
            <w:pPr>
              <w:ind w:left="1700"/>
              <w:spacing w:after="0"/>
              <w:rPr>
                <w:sz w:val="20"/>
                <w:szCs w:val="20"/>
                <w:color w:val="auto"/>
              </w:rPr>
            </w:pPr>
            <w:r>
              <w:rPr>
                <w:rFonts w:ascii="Arial" w:cs="Arial" w:eastAsia="Arial" w:hAnsi="Arial"/>
                <w:sz w:val="18"/>
                <w:szCs w:val="18"/>
                <w:color w:val="auto"/>
              </w:rPr>
              <w:t>Balance Sheet Location</w:t>
            </w:r>
          </w:p>
        </w:tc>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w w:val="96"/>
              </w:rPr>
              <w:t>October 31, 2014</w:t>
            </w:r>
          </w:p>
        </w:tc>
        <w:tc>
          <w:tcPr>
            <w:tcW w:w="10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w w:val="99"/>
              </w:rPr>
              <w:t>August 1, 2014</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33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522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Current interest rate swap liability</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Long-term interest rate swap liability</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5,388</w:t>
            </w:r>
          </w:p>
        </w:tc>
        <w:tc>
          <w:tcPr>
            <w:tcW w:w="12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assets in the Condensed Consolidated Balance Sheets at October 31, 2014 and August 1,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Net Asset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360"/>
              <w:spacing w:after="0"/>
              <w:rPr>
                <w:sz w:val="20"/>
                <w:szCs w:val="20"/>
                <w:color w:val="auto"/>
              </w:rPr>
            </w:pPr>
            <w:r>
              <w:rPr>
                <w:rFonts w:ascii="Arial" w:cs="Arial" w:eastAsia="Arial" w:hAnsi="Arial"/>
                <w:sz w:val="18"/>
                <w:szCs w:val="18"/>
                <w:color w:val="auto"/>
              </w:rPr>
              <w:t>Gross Asset Amounts</w:t>
            </w:r>
          </w:p>
        </w:tc>
        <w:tc>
          <w:tcPr>
            <w:tcW w:w="120" w:type="dxa"/>
            <w:vAlign w:val="bottom"/>
          </w:tcPr>
          <w:p>
            <w:pPr>
              <w:spacing w:after="0"/>
              <w:rPr>
                <w:sz w:val="20"/>
                <w:szCs w:val="20"/>
                <w:color w:val="auto"/>
              </w:rPr>
            </w:pPr>
          </w:p>
        </w:tc>
        <w:tc>
          <w:tcPr>
            <w:tcW w:w="2200" w:type="dxa"/>
            <w:vAlign w:val="bottom"/>
            <w:gridSpan w:val="4"/>
          </w:tcPr>
          <w:p>
            <w:pPr>
              <w:ind w:left="260"/>
              <w:spacing w:after="0"/>
              <w:rPr>
                <w:sz w:val="20"/>
                <w:szCs w:val="20"/>
                <w:color w:val="auto"/>
              </w:rPr>
            </w:pPr>
            <w:r>
              <w:rPr>
                <w:rFonts w:ascii="Arial" w:cs="Arial" w:eastAsia="Arial" w:hAnsi="Arial"/>
                <w:sz w:val="18"/>
                <w:szCs w:val="18"/>
                <w:color w:val="auto"/>
              </w:rPr>
              <w:t>Liability Amount Offset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80"/>
              <w:spacing w:after="0" w:line="201" w:lineRule="exact"/>
              <w:rPr>
                <w:sz w:val="20"/>
                <w:szCs w:val="20"/>
                <w:color w:val="auto"/>
              </w:rPr>
            </w:pPr>
            <w:r>
              <w:rPr>
                <w:rFonts w:ascii="Arial" w:cs="Arial" w:eastAsia="Arial" w:hAnsi="Arial"/>
                <w:sz w:val="18"/>
                <w:szCs w:val="18"/>
                <w:color w:val="auto"/>
                <w:w w:val="91"/>
              </w:rPr>
              <w:t>October 31,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4"/>
              <w:spacing w:after="0" w:line="201" w:lineRule="exact"/>
              <w:rPr>
                <w:sz w:val="20"/>
                <w:szCs w:val="20"/>
                <w:color w:val="auto"/>
              </w:rPr>
            </w:pPr>
            <w:r>
              <w:rPr>
                <w:rFonts w:ascii="Arial" w:cs="Arial" w:eastAsia="Arial" w:hAnsi="Arial"/>
                <w:sz w:val="18"/>
                <w:szCs w:val="18"/>
                <w:color w:val="auto"/>
                <w:w w:val="91"/>
              </w:rPr>
              <w:t>August 1,</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31,</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left="97"/>
              <w:spacing w:after="0" w:line="201" w:lineRule="exact"/>
              <w:rPr>
                <w:sz w:val="20"/>
                <w:szCs w:val="20"/>
                <w:color w:val="auto"/>
              </w:rPr>
            </w:pPr>
            <w:r>
              <w:rPr>
                <w:rFonts w:ascii="Arial" w:cs="Arial" w:eastAsia="Arial" w:hAnsi="Arial"/>
                <w:sz w:val="18"/>
                <w:szCs w:val="18"/>
                <w:color w:val="auto"/>
                <w:w w:val="91"/>
              </w:rPr>
              <w:t>August 1,</w:t>
            </w:r>
          </w:p>
        </w:tc>
        <w:tc>
          <w:tcPr>
            <w:tcW w:w="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1"/>
              </w:rPr>
              <w:t>October 31,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1"/>
              </w:rPr>
              <w:t>August 1,</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80" w:type="dxa"/>
            <w:vAlign w:val="bottom"/>
            <w:gridSpan w:val="2"/>
          </w:tcPr>
          <w:p>
            <w:pPr>
              <w:jc w:val="right"/>
              <w:ind w:right="137"/>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6"/>
              </w:rPr>
              <w:t>240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46"/>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liabilities in the Condensed Consolidated Balance Sheets at October 31, 2014 and August 1,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Net Liability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260"/>
              <w:spacing w:after="0"/>
              <w:rPr>
                <w:sz w:val="20"/>
                <w:szCs w:val="20"/>
                <w:color w:val="auto"/>
              </w:rPr>
            </w:pPr>
            <w:r>
              <w:rPr>
                <w:rFonts w:ascii="Arial" w:cs="Arial" w:eastAsia="Arial" w:hAnsi="Arial"/>
                <w:sz w:val="18"/>
                <w:szCs w:val="18"/>
                <w:color w:val="auto"/>
              </w:rPr>
              <w:t>Gross Liability Amounts</w:t>
            </w:r>
          </w:p>
        </w:tc>
        <w:tc>
          <w:tcPr>
            <w:tcW w:w="120" w:type="dxa"/>
            <w:vAlign w:val="bottom"/>
          </w:tcPr>
          <w:p>
            <w:pPr>
              <w:spacing w:after="0"/>
              <w:rPr>
                <w:sz w:val="20"/>
                <w:szCs w:val="20"/>
                <w:color w:val="auto"/>
              </w:rPr>
            </w:pPr>
          </w:p>
        </w:tc>
        <w:tc>
          <w:tcPr>
            <w:tcW w:w="2580" w:type="dxa"/>
            <w:vAlign w:val="bottom"/>
            <w:gridSpan w:val="5"/>
          </w:tcPr>
          <w:p>
            <w:pPr>
              <w:ind w:left="360"/>
              <w:spacing w:after="0"/>
              <w:rPr>
                <w:sz w:val="20"/>
                <w:szCs w:val="20"/>
                <w:color w:val="auto"/>
              </w:rPr>
            </w:pPr>
            <w:r>
              <w:rPr>
                <w:rFonts w:ascii="Arial" w:cs="Arial" w:eastAsia="Arial" w:hAnsi="Arial"/>
                <w:sz w:val="18"/>
                <w:szCs w:val="18"/>
                <w:color w:val="auto"/>
              </w:rPr>
              <w:t>Asset Amount Offset</w:t>
            </w: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31,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1"/>
              </w:rPr>
              <w:t>August 1,</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1"/>
              </w:rPr>
              <w:t>October 31,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1"/>
              </w:rPr>
              <w:t>August 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1"/>
              </w:rPr>
              <w:t>October 31,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1"/>
              </w:rPr>
              <w:t>August 1,</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estimated fair value of the Company’s interest rate swap assets and liabilities incorporates the Company’s non-performance risk (see Note 2). The adjustment related to the Company’s non-performance risk at October 31, 2014 and August 1, 2014 resulted in reductions of $47 and $62, respectively, in the fair value of the interest rate swap assets and liabilities. The offset to the interest rate swap assets and liabilities is recorded in accumulated other comprehensive loss (“AOCL”), net of the deferred tax asset, and will be reclassified into earnings over the term of the underlying debt. As of October 31, 2014, the estimated pre-tax portion of AOCL that is expected to be reclassified into earnings over the next twelve months is $5,501. Cash flows related to the interest rate swap are included in interest expense and in operating activities.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AOCL for the quarter ended October 31, 2014 and the year ended August 1,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6920" w:type="dxa"/>
            <w:vAlign w:val="bottom"/>
            <w:gridSpan w:val="8"/>
          </w:tcPr>
          <w:p>
            <w:pPr>
              <w:ind w:left="3140"/>
              <w:spacing w:after="0"/>
              <w:rPr>
                <w:sz w:val="20"/>
                <w:szCs w:val="20"/>
                <w:color w:val="auto"/>
              </w:rPr>
            </w:pPr>
            <w:r>
              <w:rPr>
                <w:rFonts w:ascii="Arial" w:cs="Arial" w:eastAsia="Arial" w:hAnsi="Arial"/>
                <w:sz w:val="18"/>
                <w:szCs w:val="18"/>
                <w:color w:val="auto"/>
                <w:w w:val="94"/>
              </w:rPr>
              <w:t>Amount of (Loss) Income Recognized in AOCL on</w:t>
            </w:r>
          </w:p>
        </w:tc>
      </w:tr>
      <w:tr>
        <w:trPr>
          <w:trHeight w:val="237"/>
        </w:trPr>
        <w:tc>
          <w:tcPr>
            <w:tcW w:w="4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0" w:type="dxa"/>
            <w:vAlign w:val="bottom"/>
            <w:gridSpan w:val="6"/>
          </w:tcPr>
          <w:p>
            <w:pPr>
              <w:ind w:left="540"/>
              <w:spacing w:after="0"/>
              <w:rPr>
                <w:sz w:val="20"/>
                <w:szCs w:val="20"/>
                <w:color w:val="auto"/>
              </w:rPr>
            </w:pPr>
            <w:r>
              <w:rPr>
                <w:rFonts w:ascii="Arial" w:cs="Arial" w:eastAsia="Arial" w:hAnsi="Arial"/>
                <w:sz w:val="18"/>
                <w:szCs w:val="18"/>
                <w:color w:val="auto"/>
              </w:rPr>
              <w:t>Derivatives (Effective Portion)</w:t>
            </w:r>
          </w:p>
        </w:tc>
      </w:tr>
      <w:tr>
        <w:trPr>
          <w:trHeight w:val="223"/>
        </w:trPr>
        <w:tc>
          <w:tcPr>
            <w:tcW w:w="4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96"/>
              </w:rPr>
              <w:t>Quarter Ended</w:t>
            </w: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Year Ended</w:t>
            </w:r>
          </w:p>
        </w:tc>
        <w:tc>
          <w:tcPr>
            <w:tcW w:w="100" w:type="dxa"/>
            <w:vAlign w:val="bottom"/>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Cash flow hedges:</w:t>
            </w:r>
          </w:p>
        </w:tc>
        <w:tc>
          <w:tcPr>
            <w:tcW w:w="3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32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pre-tax effects of the Company’s derivative instruments on income for the quarters ended October 31,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1,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1"/>
              </w:rPr>
              <w:t>Location of Loss Reclassified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Amount of Loss Reclassified</w:t>
            </w:r>
          </w:p>
        </w:tc>
      </w:tr>
      <w:tr>
        <w:trPr>
          <w:trHeight w:val="216"/>
        </w:trPr>
        <w:tc>
          <w:tcPr>
            <w:tcW w:w="526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5"/>
              </w:rPr>
              <w:t>from AOCL into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240"/>
              <w:spacing w:after="0"/>
              <w:rPr>
                <w:sz w:val="20"/>
                <w:szCs w:val="20"/>
                <w:color w:val="auto"/>
              </w:rPr>
            </w:pPr>
            <w:r>
              <w:rPr>
                <w:rFonts w:ascii="Arial" w:cs="Arial" w:eastAsia="Arial" w:hAnsi="Arial"/>
                <w:sz w:val="18"/>
                <w:szCs w:val="18"/>
                <w:color w:val="auto"/>
                <w:w w:val="95"/>
              </w:rPr>
              <w:t>from AOCL into Income</w:t>
            </w:r>
          </w:p>
        </w:tc>
      </w:tr>
      <w:tr>
        <w:trPr>
          <w:trHeight w:val="237"/>
        </w:trPr>
        <w:tc>
          <w:tcPr>
            <w:tcW w:w="5260" w:type="dxa"/>
            <w:vAlign w:val="bottom"/>
          </w:tcPr>
          <w:p>
            <w:pPr>
              <w:spacing w:after="0"/>
              <w:rPr>
                <w:sz w:val="20"/>
                <w:szCs w:val="20"/>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5"/>
              </w:rPr>
              <w:t>(Effective Portion)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center"/>
              <w:ind w:right="240"/>
              <w:spacing w:after="0"/>
              <w:rPr>
                <w:sz w:val="20"/>
                <w:szCs w:val="20"/>
                <w:color w:val="auto"/>
              </w:rPr>
            </w:pPr>
            <w:r>
              <w:rPr>
                <w:rFonts w:ascii="Arial" w:cs="Arial" w:eastAsia="Arial" w:hAnsi="Arial"/>
                <w:sz w:val="18"/>
                <w:szCs w:val="18"/>
                <w:color w:val="auto"/>
                <w:w w:val="95"/>
              </w:rPr>
              <w:t>(Effective Portion)</w:t>
            </w:r>
          </w:p>
        </w:tc>
      </w:tr>
      <w:tr>
        <w:trPr>
          <w:trHeight w:val="223"/>
        </w:trPr>
        <w:tc>
          <w:tcPr>
            <w:tcW w:w="5260" w:type="dxa"/>
            <w:vAlign w:val="bottom"/>
          </w:tcPr>
          <w:p>
            <w:pPr>
              <w:spacing w:after="0"/>
              <w:rPr>
                <w:sz w:val="19"/>
                <w:szCs w:val="19"/>
                <w:color w:val="auto"/>
              </w:rPr>
            </w:pPr>
          </w:p>
        </w:tc>
        <w:tc>
          <w:tcPr>
            <w:tcW w:w="3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5"/>
          </w:tcPr>
          <w:p>
            <w:pPr>
              <w:jc w:val="center"/>
              <w:ind w:right="50"/>
              <w:spacing w:after="0"/>
              <w:rPr>
                <w:sz w:val="20"/>
                <w:szCs w:val="20"/>
                <w:color w:val="auto"/>
              </w:rPr>
            </w:pPr>
            <w:r>
              <w:rPr>
                <w:rFonts w:ascii="Arial" w:cs="Arial" w:eastAsia="Arial" w:hAnsi="Arial"/>
                <w:sz w:val="18"/>
                <w:szCs w:val="18"/>
                <w:color w:val="auto"/>
                <w:w w:val="88"/>
              </w:rPr>
              <w:t>Quarter Ended</w:t>
            </w:r>
          </w:p>
        </w:tc>
        <w:tc>
          <w:tcPr>
            <w:tcW w:w="100" w:type="dxa"/>
            <w:vAlign w:val="bottom"/>
          </w:tcPr>
          <w:p>
            <w:pPr>
              <w:spacing w:after="0"/>
              <w:rPr>
                <w:sz w:val="19"/>
                <w:szCs w:val="19"/>
                <w:color w:val="auto"/>
              </w:rPr>
            </w:pPr>
          </w:p>
        </w:tc>
      </w:tr>
      <w:tr>
        <w:trPr>
          <w:trHeight w:val="202"/>
        </w:trPr>
        <w:tc>
          <w:tcPr>
            <w:tcW w:w="52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October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1"/>
              </w:rPr>
              <w:t>November 1,</w:t>
            </w:r>
          </w:p>
        </w:tc>
        <w:tc>
          <w:tcPr>
            <w:tcW w:w="100" w:type="dxa"/>
            <w:vAlign w:val="bottom"/>
          </w:tcPr>
          <w:p>
            <w:pPr>
              <w:spacing w:after="0"/>
              <w:rPr>
                <w:sz w:val="17"/>
                <w:szCs w:val="17"/>
                <w:color w:val="auto"/>
              </w:rPr>
            </w:pPr>
          </w:p>
        </w:tc>
      </w:tr>
      <w:tr>
        <w:trPr>
          <w:trHeight w:val="237"/>
        </w:trPr>
        <w:tc>
          <w:tcPr>
            <w:tcW w:w="5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Cash flow hedges:</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w:t>
            </w: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quarters ended October 31, 2014 and November 1, 2013.</w:t>
      </w:r>
    </w:p>
    <w:p>
      <w:pPr>
        <w:spacing w:after="0" w:line="1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quarter ended October 31, 2014, the Company issued 83,945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$4,719.</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quarter ended October 31, 2014, total share-based compensation expense was $2,735. The excess tax benefit realized upon exercise of share-based compensation awards was $1,963.</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quarter ended October 31, 2014, the Company paid dividends of $1.00 per share of its common stock. During the first quarter of 2015, the Company declared a regular dividend of $1.00 per share of its common stock that was paid on November 5, 2014 to shareholders of record on October 17, 2014.</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changes in AOCL, net of tax, related to the Company’s interest rate swaps for the quarter ended October 31, 2014 (see Notes 2 and 5):</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Changes in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AOCL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AOCL balance at August 1,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October 31, 2014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the amounts reclassified out of AOCL related to the Company’s interest rate swaps for the quarter ended October 31, 2014:</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Affected Line Item in the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Amount Reclassified</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Condensed Consolidated</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Details about AOCL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from AOCL</w:t>
            </w: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Loss on cash flow hedges: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(2,005)</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for income taxes</w:t>
            </w:r>
          </w:p>
        </w:tc>
      </w:tr>
      <w:tr>
        <w:trPr>
          <w:trHeight w:val="257"/>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w:t>
            </w:r>
          </w:p>
        </w:tc>
      </w:tr>
    </w:tbl>
    <w:p>
      <w:pPr>
        <w:spacing w:after="0" w:line="19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6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r>
      <w:tr>
        <w:trPr>
          <w:trHeight w:val="202"/>
        </w:trPr>
        <w:tc>
          <w:tcPr>
            <w:tcW w:w="49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31,</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1,</w:t>
            </w:r>
          </w:p>
        </w:tc>
        <w:tc>
          <w:tcPr>
            <w:tcW w:w="100" w:type="dxa"/>
            <w:vAlign w:val="bottom"/>
          </w:tcPr>
          <w:p>
            <w:pPr>
              <w:spacing w:after="0"/>
              <w:rPr>
                <w:sz w:val="17"/>
                <w:szCs w:val="17"/>
                <w:color w:val="auto"/>
              </w:rPr>
            </w:pPr>
          </w:p>
        </w:tc>
      </w:tr>
      <w:tr>
        <w:trPr>
          <w:trHeight w:val="237"/>
        </w:trPr>
        <w:tc>
          <w:tcPr>
            <w:tcW w:w="4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521,947</w:t>
            </w:r>
          </w:p>
        </w:tc>
      </w:tr>
      <w:tr>
        <w:trPr>
          <w:trHeight w:val="223"/>
        </w:trPr>
        <w:tc>
          <w:tcPr>
            <w:tcW w:w="4980" w:type="dxa"/>
            <w:vAlign w:val="bottom"/>
          </w:tcPr>
          <w:p>
            <w:pPr>
              <w:ind w:left="180"/>
              <w:spacing w:after="0"/>
              <w:rPr>
                <w:sz w:val="20"/>
                <w:szCs w:val="20"/>
                <w:color w:val="auto"/>
              </w:rPr>
            </w:pPr>
            <w:r>
              <w:rPr>
                <w:rFonts w:ascii="Arial" w:cs="Arial" w:eastAsia="Arial" w:hAnsi="Arial"/>
                <w:sz w:val="18"/>
                <w:szCs w:val="18"/>
                <w:color w:val="auto"/>
              </w:rPr>
              <w:t>Retail</w:t>
            </w: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136,721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127,194</w:t>
            </w:r>
          </w:p>
        </w:tc>
      </w:tr>
      <w:tr>
        <w:trPr>
          <w:trHeight w:val="257"/>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683,428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for the specified periods: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color w:val="auto"/>
                <w:w w:val="91"/>
              </w:rPr>
              <w:t>October 31,</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1,</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outstanding stock options, nonvested stock awards and MSU Grants issued by the Company represent the only dilutive effects on diluted consolidated net income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The following table reconciles the components of diluted earnings per share computations: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color w:val="auto"/>
                <w:w w:val="91"/>
              </w:rPr>
              <w:t>October 31,</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23,862,195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23,817,436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139,243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107,652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24,001,438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23,925,088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2014 and through September 25, 2014, the Company was served with several claims filed as a putative collective action alleging violations of the Fair Labor Standards Act (“FLSA”). The Company believes it has meritorious defenses to these claims and intends to vigorously defend these lawsuits. These proceedings remain in the early stages and include attempts to resolve through mediation. In November 2014, the Company extended a confidential settlement offer during mediation and recorded a provision at October 31, 2014 related to certain claims in one of the lawsuits. The Company believes the confidential settlement offer is immaterial to the Company’s consolidated results of operations and financial position. With the exception of the provision recorded at October 31, 2014, no other provision for any potential liability has been made in the condensed consolidated financial statements of the Company related to these proceedings though an adverse outcome could be material to the Company’s results of operations or financial position. See “Item 1. Legal Proceedings” of Part II of this Quarterly Report on Form 10-Q for further information related to these claims.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matters described above, 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October 31, 2014, the Company had $20,152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October 31, 2014, the Company is secondarily liable for lease payments associated with one property. The Company is not aware of any non-performance under this lease arrangement that would result in the Company having to perform in accordance with the terms of this guarantee; and therefore, no provision has been recorded in the Condensed Consolidated Balance Sheets for amounts to be paid in case of non-performance by the primary obligor under such lease arrangement.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At October 31, 2014 and November 1, 2013, the Company recorded a liability in the Condensed Consolidated Balance Sheets related to legal costs. The Company believes that the amount recorded is immaterial to the Company’s consolidated results of operations and financial position and that the probability of incurring an actual liability under other indemnification agreements is sufficiently remote so that no additional liability has been recorded in the Condensed Consolidated Balance Sheets.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3940"/>
        <w:spacing w:after="0" w:line="282" w:lineRule="auto"/>
        <w:rPr>
          <w:sz w:val="20"/>
          <w:szCs w:val="20"/>
          <w:color w:val="auto"/>
        </w:rPr>
      </w:pPr>
      <w:r>
        <w:rPr>
          <w:rFonts w:ascii="Arial" w:cs="Arial" w:eastAsia="Arial" w:hAnsi="Arial"/>
          <w:sz w:val="18"/>
          <w:szCs w:val="18"/>
          <w:b w:val="1"/>
          <w:bCs w:val="1"/>
          <w:color w:val="auto"/>
        </w:rPr>
        <w:t>ITEM Management's Discussion and Analysis of Financial Condition and Results of Operations 2.</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Cracker Barrel Old Country Store, Inc. and its subsidiaries (collectively, the “Company,” “our” or “we”) are principally engaged in the operation and development in the United States of the Cracker Barrel Old Country StoreÒ (“Cracker Barrel”) concept. At October 31, 2014, we operated 633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August 1, 2014 (the “2014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2014 Form 10-K, which is incorporated herein by this reference, as well as the factors described under “Critical Accounting Estimates” on pages 21-25 of this report or, from time to time, in our filings with the Securities and Exchange Commission (“SEC”), press releases and other communications.</w:t>
      </w:r>
    </w:p>
    <w:p>
      <w:pPr>
        <w:spacing w:after="0" w:line="171"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continue to leverage that strength in 2015 to grow guest sales and profits. Our long-term strategy includes the following:</w:t>
      </w:r>
    </w:p>
    <w:p>
      <w:pPr>
        <w:spacing w:after="0" w:line="147" w:lineRule="exact"/>
        <w:rPr>
          <w:sz w:val="20"/>
          <w:szCs w:val="20"/>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Enhancing the core business by increasing our brand’s relevance to customers in order to drive guest traffic and sales in both restaurant and retail, implementing geographic pricing tiers to optimize average check and re-engineering store processes to increase operating margin;.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the footprint through continued use of our proven site selection tools, introducing a new and more efficient building and equipment prototype and the selective entry into new markets;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Extending the brand by building on the initial success of our licensing business, leveraging our brand strengths into a new fast casual concept and growing our retail business into an omni-channel business.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four priorities for 2015 are to: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 the reach of the brand to drive traffic and sales in both our restaurant and retail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Optimize average guest check through the implementation of geographic pricing tiers;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Apply technology and process enhancements to drive store operating margins;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grow our store base with the opening of six to seven new stores.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our results for the first quarter of 2015 reflect our initial success in implementing these priorities. In the first quarter of 2015, we outperformed traffic and sales of our peers in the Knapp-Track™ Casual Dining Index for the twelfth consecutive quarter. We also implemented our new plate presentation initiative which is expected to reduce the number of dishes used in our operations and reduce our labor costs, improved operating margins and opened two new stores.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quarter ended October 31, 2014 as compared to the same period in the prior year:</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700" w:type="dxa"/>
            <w:vAlign w:val="bottom"/>
            <w:gridSpan w:val="4"/>
          </w:tcPr>
          <w:p>
            <w:pPr>
              <w:jc w:val="right"/>
              <w:ind w:right="920"/>
              <w:spacing w:after="0"/>
              <w:rPr>
                <w:sz w:val="20"/>
                <w:szCs w:val="20"/>
                <w:color w:val="auto"/>
              </w:rPr>
            </w:pPr>
            <w:r>
              <w:rPr>
                <w:rFonts w:ascii="Arial" w:cs="Arial" w:eastAsia="Arial" w:hAnsi="Arial"/>
                <w:sz w:val="18"/>
                <w:szCs w:val="18"/>
                <w:color w:val="auto"/>
              </w:rPr>
              <w:t>Quarter Ended</w:t>
            </w:r>
          </w:p>
        </w:tc>
      </w:tr>
      <w:tr>
        <w:trPr>
          <w:trHeight w:val="202"/>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00"/>
              <w:spacing w:after="0" w:line="201" w:lineRule="exact"/>
              <w:rPr>
                <w:sz w:val="20"/>
                <w:szCs w:val="20"/>
                <w:color w:val="auto"/>
              </w:rPr>
            </w:pPr>
            <w:r>
              <w:rPr>
                <w:rFonts w:ascii="Arial" w:cs="Arial" w:eastAsia="Arial" w:hAnsi="Arial"/>
                <w:sz w:val="18"/>
                <w:szCs w:val="18"/>
                <w:color w:val="auto"/>
                <w:w w:val="99"/>
              </w:rPr>
              <w:t>October 31,</w:t>
            </w:r>
          </w:p>
        </w:tc>
        <w:tc>
          <w:tcPr>
            <w:tcW w:w="116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8"/>
              </w:rPr>
              <w:t>November 1,</w:t>
            </w:r>
          </w:p>
        </w:tc>
        <w:tc>
          <w:tcPr>
            <w:tcW w:w="1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number of stores in operation at the beginning and end of the quarters ended October 31, 2014 and November 1, 2013, respectively:</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1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October 31,</w:t>
            </w:r>
          </w:p>
        </w:tc>
        <w:tc>
          <w:tcPr>
            <w:tcW w:w="220" w:type="dxa"/>
            <w:vAlign w:val="bottom"/>
          </w:tcPr>
          <w:p>
            <w:pPr>
              <w:spacing w:after="0"/>
              <w:rPr>
                <w:sz w:val="17"/>
                <w:szCs w:val="17"/>
                <w:color w:val="auto"/>
              </w:rPr>
            </w:pPr>
          </w:p>
        </w:tc>
        <w:tc>
          <w:tcPr>
            <w:tcW w:w="11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8"/>
              </w:rPr>
              <w:t>November 1,</w:t>
            </w: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period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Opened during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 at end of period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for the first quarter of 2015 increased 5.3% compared to the first quarter of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highlights the key components of revenue for the quarter ended October 31, 2014 as compared to the quarter ended November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91"/>
              </w:rPr>
              <w:t>October 31,</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546,707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136,721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127,194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683,428</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649,141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864.3</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1,080.5</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1,039.8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Restaurant and retail</w:t>
            </w:r>
          </w:p>
        </w:tc>
        <w:tc>
          <w:tcPr>
            <w:tcW w:w="1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p>
      <w:pPr>
        <w:spacing w:after="0" w:line="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first quarter of 2015, our comparable store restaurant sales increase consisted of a 2.5% average check increase for the quarter (including a 2.1% average menu price increase) and a 0.8% guest traffic increase. For the first quarter of 2015, our comparable store retail sales increase resulted primarily from strong performance in bed and bath, décor and apparel merchandise categories and the increase in guest traffic. Restaurant and retail sales from newly opened stores accounted for the balance of the total revenue increase in the first quarter of 2015 as compared to the same period in the prior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in dollar amounts and as percentages of revenues for the first quarter of 2015 as compared to the same period in the prior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r>
      <w:tr>
        <w:trPr>
          <w:trHeight w:val="202"/>
        </w:trPr>
        <w:tc>
          <w:tcPr>
            <w:tcW w:w="8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31,</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1,</w:t>
            </w:r>
          </w:p>
        </w:tc>
        <w:tc>
          <w:tcPr>
            <w:tcW w:w="160" w:type="dxa"/>
            <w:vAlign w:val="bottom"/>
          </w:tcPr>
          <w:p>
            <w:pPr>
              <w:spacing w:after="0"/>
              <w:rPr>
                <w:sz w:val="17"/>
                <w:szCs w:val="17"/>
                <w:color w:val="auto"/>
              </w:rPr>
            </w:pPr>
          </w:p>
        </w:tc>
      </w:tr>
      <w:tr>
        <w:trPr>
          <w:trHeight w:val="237"/>
        </w:trPr>
        <w:tc>
          <w:tcPr>
            <w:tcW w:w="8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142,596</w:t>
            </w:r>
          </w:p>
        </w:tc>
      </w:tr>
      <w:tr>
        <w:trPr>
          <w:trHeight w:val="223"/>
        </w:trPr>
        <w:tc>
          <w:tcPr>
            <w:tcW w:w="8720" w:type="dxa"/>
            <w:vAlign w:val="bottom"/>
          </w:tcPr>
          <w:p>
            <w:pPr>
              <w:ind w:left="18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68,877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63,333</w:t>
            </w:r>
          </w:p>
        </w:tc>
      </w:tr>
      <w:tr>
        <w:trPr>
          <w:trHeight w:val="25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205,929</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720" w:type="dxa"/>
            <w:vAlign w:val="bottom"/>
          </w:tcPr>
          <w:p>
            <w:pPr>
              <w:ind w:left="180"/>
              <w:spacing w:after="0"/>
              <w:rPr>
                <w:sz w:val="20"/>
                <w:szCs w:val="20"/>
                <w:color w:val="auto"/>
              </w:rPr>
            </w:pPr>
            <w:r>
              <w:rPr>
                <w:rFonts w:ascii="Arial" w:cs="Arial" w:eastAsia="Arial" w:hAnsi="Arial"/>
                <w:sz w:val="18"/>
                <w:szCs w:val="18"/>
                <w:color w:val="auto"/>
              </w:rPr>
              <w:t>Retail</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r>
      <w:tr>
        <w:trPr>
          <w:trHeight w:val="21"/>
        </w:trPr>
        <w:tc>
          <w:tcPr>
            <w:tcW w:w="8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restaurant cost of goods sold as a percentage of restaurant revenue in the first quarter of 2015 as compared to the first quarter of 2014 was primarily due to a shift to higher cost menu items, commodity food inflation and higher food waste partially offset by our menu price increase referenced above. Higher cost menu items and higher food waste accounted for increases of 0.5% and 0.2%, respectively, in restaurant cost of goods sold as a percentage of restaurant revenue. Commodity inflation was 3.7% in the first quarter of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the rate of commodity inflation to be approximately 4% to 4.5% for 2015.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8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retail cost of goods sold as a percentage of retail revenue in the first quarter of 2015 as compared to the prior year quarter resulted from higher markdowns partially offset by lower freight, higher initial markup on merchandise and a reduction in the provision for obsolete inventory.</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First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Increase (Decrease)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980" w:type="dxa"/>
            <w:vAlign w:val="bottom"/>
            <w:gridSpan w:val="3"/>
          </w:tcPr>
          <w:p>
            <w:pPr>
              <w:jc w:val="center"/>
              <w:ind w:left="2210"/>
              <w:spacing w:after="0"/>
              <w:rPr>
                <w:sz w:val="20"/>
                <w:szCs w:val="20"/>
                <w:color w:val="auto"/>
              </w:rPr>
            </w:pPr>
            <w:r>
              <w:rPr>
                <w:rFonts w:ascii="Arial" w:cs="Arial" w:eastAsia="Arial" w:hAnsi="Arial"/>
                <w:sz w:val="18"/>
                <w:szCs w:val="18"/>
                <w:color w:val="auto"/>
                <w:w w:val="88"/>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5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Freight</w:t>
            </w:r>
          </w:p>
        </w:tc>
        <w:tc>
          <w:tcPr>
            <w:tcW w:w="498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Higher initial markup on merchandise</w:t>
            </w:r>
          </w:p>
        </w:tc>
        <w:tc>
          <w:tcPr>
            <w:tcW w:w="4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Provision for obsolete inventory</w:t>
            </w:r>
          </w:p>
        </w:tc>
        <w:tc>
          <w:tcPr>
            <w:tcW w:w="498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decreased to 35.5% in the first quarter of 2015 as compared to 36.5% in the first quarter of 2014. This percentage change resulted from the following:</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First Quarter</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(Decrease) Increase as a</w:t>
            </w: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6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Store management compensation</w:t>
            </w:r>
          </w:p>
        </w:tc>
        <w:tc>
          <w:tcPr>
            <w:tcW w:w="494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Employee health care expenses</w:t>
            </w:r>
          </w:p>
        </w:tc>
        <w:tc>
          <w:tcPr>
            <w:tcW w:w="4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Store incentive compensation expense</w:t>
            </w:r>
          </w:p>
        </w:tc>
        <w:tc>
          <w:tcPr>
            <w:tcW w:w="49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store hourly labor costs as a percentage of total revenue for the first quarter of 2015 as compared to the same period in the prior year resulted from menu price increases being higher than wage inflation and improved productivity.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store management compensation expense as a percentage of total revenue for the first quarter of 2015 as compared to the same period in the prior year resulted primarily from the sales increase in the first quarter of 2015 as compared to the prior year period.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our employee health care expenses in the first quarter of 2015 as compared to the same period in the prior year is primarily the result of lower employee enrollment, the recognition of a premium credit related to claims for the plan year ending December 31, 2014 which were incurred during fiscal 2014 partially offset by higher net costs per enrolled employee. During the remainder of 2015, we currently expect to recognize additional premium credits of approximately $2,000 to $3,000 related to the plan year ending December 31, 2014.</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store incentive compensation expense as a percentage of total revenue for the first quarter of 2015 as compared to the same period in the prior year reflected better performance against financial objectives in 2015 as compared to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store manager conference.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decreased to 19.0% in the first quarter of 2015 as compared to 19.3% in the first quarter of 2014. This percentage change resulted primarily from the following:</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First Quarter</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(Decrease) Increase as a</w:t>
            </w: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Store manager conference expense</w:t>
            </w:r>
          </w:p>
        </w:tc>
        <w:tc>
          <w:tcPr>
            <w:tcW w:w="27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Advertising</w:t>
            </w:r>
          </w:p>
        </w:tc>
        <w:tc>
          <w:tcPr>
            <w:tcW w:w="506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insurance</w:t>
            </w:r>
          </w:p>
        </w:tc>
        <w:tc>
          <w:tcPr>
            <w:tcW w:w="5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first quarter of 2014, we held a manager conference which was attended by our store operations management team. We did not hold a manager’s conference in the first quarter of 2015 and we expect to hold our next conference in the first quarter of 2016.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advertising expense as a percentage of total revenue for the first quarter of 2015 as compared to the same period in the prior year resulted from lower media spending partially offset by higher billboard production costs. In the first quarter of 2014, we increased our media spend in support of our Wholesome Fixins’ program launch. In 2015, we refreshed our billboards with new messaging. We plan to spend approximately 2.5% of our total revenue on advertising in 2015 as compared to 2.4% of total revenue in 2014.</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general insurance expense for the first quarter of 2015 as compared to the same period in the prior year resulted primarily from the non-recurrence of a favorable actuarial update recorded in the prior year quarter.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decreased to 4.9% in the first quarter of 2015 as compared to 5.7% in the first quarter of 2014. This percentage change resulted primarily from the following:</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First Quarter</w:t>
            </w: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940" w:type="dxa"/>
            <w:vAlign w:val="bottom"/>
            <w:gridSpan w:val="3"/>
          </w:tcPr>
          <w:p>
            <w:pPr>
              <w:jc w:val="center"/>
              <w:ind w:left="1430"/>
              <w:spacing w:after="0"/>
              <w:rPr>
                <w:sz w:val="20"/>
                <w:szCs w:val="20"/>
                <w:color w:val="auto"/>
              </w:rPr>
            </w:pPr>
            <w:r>
              <w:rPr>
                <w:rFonts w:ascii="Arial" w:cs="Arial" w:eastAsia="Arial" w:hAnsi="Arial"/>
                <w:sz w:val="18"/>
                <w:szCs w:val="18"/>
                <w:color w:val="auto"/>
                <w:w w:val="86"/>
              </w:rPr>
              <w:t>(Decrease) as a Percentage</w:t>
            </w:r>
          </w:p>
        </w:tc>
      </w:tr>
      <w:tr>
        <w:trPr>
          <w:trHeight w:val="237"/>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of Total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Proxy contest expenses in the prior year quarter</w:t>
            </w:r>
          </w:p>
        </w:tc>
        <w:tc>
          <w:tcPr>
            <w:tcW w:w="17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394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45"/>
        </w:trPr>
        <w:tc>
          <w:tcPr>
            <w:tcW w:w="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Arial" w:cs="Arial" w:eastAsia="Arial" w:hAnsi="Arial"/>
                <w:sz w:val="18"/>
                <w:szCs w:val="18"/>
                <w:color w:val="auto"/>
              </w:rPr>
              <w:t>In the first quarter of 2014, we incurred proxy costs of $2,824.</w:t>
            </w: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Lower payroll and related expenses resulted from lower severance expenses in the first quarter of 2015 as compared to the same period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for the first quarter of 2015 remained relatively flat at $4,424 as compared to $4,407 in the first quarter of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Provision for income taxes as a percentage of income before income taxes (the “effective tax rate”) was 33.3% and 31.8% in the first quarters of 2015 and 2014, respectively. The increase in the effective tax rate from the first quarter of 2014 to the first quarter of 2015 resulted primarily from an increase in pre-tax income and the expiration of the Work Opportunity Tax Credit (“WOTC”) on December 31, 2013. We presently expect our effective tax rate for 2015 to be between 32% and 33%. This estimate assumes that the WOTC is not renewed. We estimate that the renewal of the WOTC could reduce our provision for income taxes by $5,000 to $6,000 in 2015.</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$500,000 revolving credit facility (the “Revolving Credit Facility”). Our internally generated cash, along with cash on hand at August 1, 2014, was sufficient to finance all of our growth, dividend payments, working capital needs and other cash payment obligations in the first quarter of 2015.</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October 31, 2014, along with cash generated from our operating activities and the borrowing capacity under our Revolving Credit Facility will be sufficient to finance our continuing operations, our continuing expansion plans, our share repurchase plans and our expected dividend payments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Generated From (Used in) Operations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operating activities provided net cash of $36,729 for the first quarter of 2015, which represented an increase from the $9,231 net cash used during the first quarter of 2014. This increase primarily reflected a lower usage of cash to build retail inventory, lower accounts payable disbursements, the timing of payments for estimated income taxes and higher net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$750,000 credit facility (the “Credit Facility”) consists of a term loan (aggregate amount outstanding at October 31, 2014 was $181,250) and our Revolving Credit Facility. The Credit Facility expires on July 8, 2016. We currently plan to renew or refinance the Credit Facility before the end of 2015.</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October 31, 2014, we had $212,500 of outstanding borrowings under the Revolving Credit Facility and we had $20,152 of standby letters of credit related to securing reserved claims under workers’ compensation insurance which reduce our borrowing availability under the Revolving Credit Facility. At October 31, 2014, we had $267,348 in borrowing availability under our Revolving Credit Facility. See Note 4 to our Condensed Consolidated Financial Statements for further information on our long-term debt.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Facility contains customary financial covenants, which include maintenance of a maximum consolidated total leverage ratio and a minimum consolidated interest coverage ratio. We presently are in compliance with the Credit Facility’s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firstLine="735"/>
        <w:spacing w:after="0" w:line="291" w:lineRule="auto"/>
        <w:rPr>
          <w:sz w:val="20"/>
          <w:szCs w:val="20"/>
          <w:color w:val="auto"/>
        </w:rPr>
      </w:pPr>
      <w:r>
        <w:rPr>
          <w:rFonts w:ascii="Arial" w:cs="Arial" w:eastAsia="Arial" w:hAnsi="Arial"/>
          <w:sz w:val="16"/>
          <w:szCs w:val="16"/>
          <w:color w:val="auto"/>
        </w:rPr>
        <w:t>Capital expenditures (purchase of property and equipment) net of proceeds from insurance recoveries were $18,419 for the first quarter of 2015 as compared to $17,122 for the same period in the prior year. Our capital expenditures consisted primarily of capital expenditures for maintenance programs and costs of new store locations. We estimate that our capital expenditures during 2015 will be between $100,000 and $110,000. This estimate includes the acquisition of sites and construction costs of approximately six or seven new stores that have opened or are expected to open during 2015, as well as for acquisition and construction costs for store locations to be opened in 2016. We also expect to increase capital expenditures for maintenance programs related to our aging store base and technology and operations improvements, which are intended to improve the guest experience and improve margins. We intend to fund our capital expenditures with cash flows from operations and borrowings under our Revolving Credit Facility, as necessary.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Credit Facility imposes restrictions on the amount of dividends we are permitted to pay and the amount of shares we are permitted to repurchase. Provided there is no default existing and the total of our availability under the Revolving Credit Facility plus our cash and cash equivalents on hand is at least $100,000 (the “liquidity requirements”), we may declare and pay cash dividends on shares of our common stock and repurchase shares of our common stock if the aggregate amount of dividends paid and shares repurchased during any fiscal year is less than the sum of (1) 20% of Consolidated EBITDA from continuing operations (as defined in the Credit Facility) (the “20% limitation”) during the immediately preceding fiscal year and (2) provided our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quarter of 2015, we paid dividends of $1.00 per share, or an aggregate of $23,821. During the first quarter of 2015, we declared a dividend of $1.00 per share that was paid on November 5, 2014 to shareholders of record on October 17, 2014.</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$25,000 during 2015. We did not repurchase any shares during the first quarter of 2015.</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quarter of 2015, we issued 83,945 shares of our common stock resulting from the vesting of share-based compensation awards and stock option exercises. Related tax withholding payments on certain share-based compensation awards exceeded proceeds received from the exercise of stock options, which resulted in a net use of cash of $4,719.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first-party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negative working capital of $7,852 at October 31, 2014 versus negative working capital of $14,789 at August 1, 2014. The change in working capital from August 1, 2014 primarily reflects lower incentive compensation accruals resulting from the payment of annual bonuses and certain long-term incentive bonuses in the first quarter of 2015 and higher retail inventories which reflect our normal seasonal build of retail inventory to support our expected holiday sales partially offset by an increase in cash generated by operations and a decrease in receivables due to the reimbursement of certain health care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2014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2014. Refer to the sub-section entitled “Material Commitments” under the section entitled “Liquidity and Capital Resources” presented in the MD&amp;A of our 2014 Form 10-K for additional information regarding our material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2014 Form 10-K. Judgments and uncertainties affecting the application of those policies may result in materially different amounts being reported under different conditions or using different assumptions.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Critical accounting estimates are those that:</w:t>
      </w:r>
    </w:p>
    <w:p>
      <w:pPr>
        <w:spacing w:after="0" w:line="225" w:lineRule="exact"/>
        <w:rPr>
          <w:sz w:val="20"/>
          <w:szCs w:val="20"/>
          <w:color w:val="auto"/>
        </w:rPr>
      </w:pPr>
    </w:p>
    <w:p>
      <w:pPr>
        <w:ind w:left="1000" w:hanging="33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quarter of 2015,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 The fully-insured portion of our health insurance program contains a retrospective feature which could increase or decrease premiums based on actual claims experience.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quarter of 2015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quarter of 2015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2014 Form 10-K for additional information).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Beginning in 2014, our share-based compensation awards accrue dividends. Dividends will be forfeited for any share-based compensation awards that do not vest.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Generally, the fair value of each nonvested stock award that does not accrue dividends is equal to the market price of our common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193"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7" w:lineRule="exact"/>
        <w:rPr>
          <w:sz w:val="20"/>
          <w:szCs w:val="20"/>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update the historical and implied components of the expected volatility assumption when new grants are made.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quarter of 2015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2014 Form 10-K is incorporated in this item of this Quarterly Report on Form 10-Q by this reference. There have been no material changes in our quantitative and qualitative market risks since August 1, 2014.</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5"/>
          <w:szCs w:val="15"/>
          <w:b w:val="1"/>
          <w:bCs w:val="1"/>
          <w:color w:val="auto"/>
        </w:rPr>
        <w:t>Controls and Procedures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October 31, 2014, our disclosure controls and procedures were effective for the purposes set forth in the definition thereof in Exchange Act Rule 13a-15(e).</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October 31, 2014 in our internal control over financial reporting (as defined in Exchange Act Rule 13a-15(f)) that have materially affected, or are reasonably likely to materially affect, our internal control over financial reporting.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5"/>
          <w:szCs w:val="15"/>
          <w:b w:val="1"/>
          <w:bCs w:val="1"/>
          <w:color w:val="auto"/>
        </w:rPr>
        <w:t>Legal Proceedings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FLSA Litigation</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On April 11, 2014, a putative collective action under the Fair Labor Standards Act (“FLSA”) was filed in the United States District Court for the Northern District of New York, </w:t>
      </w:r>
      <w:r>
        <w:rPr>
          <w:rFonts w:ascii="Arial" w:cs="Arial" w:eastAsia="Arial" w:hAnsi="Arial"/>
          <w:sz w:val="16"/>
          <w:szCs w:val="16"/>
          <w:i w:val="1"/>
          <w:iCs w:val="1"/>
          <w:color w:val="auto"/>
        </w:rPr>
        <w:t>Proper v. Cracker Barrel Old Country Store, Inc.</w:t>
      </w:r>
      <w:r>
        <w:rPr>
          <w:rFonts w:ascii="Arial" w:cs="Arial" w:eastAsia="Arial" w:hAnsi="Arial"/>
          <w:sz w:val="16"/>
          <w:szCs w:val="16"/>
          <w:color w:val="auto"/>
        </w:rPr>
        <w:t xml:space="preserve">, in which the named plaintiff is challenging the Company’s classification of associate managers as being exempt from the minimum wage and overtime requirements and is asserting various New York state law wage notice claims. Two other putative collective action suits alleging claims under the FLSA, </w:t>
      </w:r>
      <w:r>
        <w:rPr>
          <w:rFonts w:ascii="Arial" w:cs="Arial" w:eastAsia="Arial" w:hAnsi="Arial"/>
          <w:sz w:val="16"/>
          <w:szCs w:val="16"/>
          <w:i w:val="1"/>
          <w:iCs w:val="1"/>
          <w:color w:val="auto"/>
        </w:rPr>
        <w:t>Hill and Hernandez v. Cracker Barrel</w:t>
      </w:r>
      <w:r>
        <w:rPr>
          <w:rFonts w:ascii="Arial" w:cs="Arial" w:eastAsia="Arial" w:hAnsi="Arial"/>
          <w:sz w:val="16"/>
          <w:szCs w:val="16"/>
          <w:color w:val="auto"/>
        </w:rPr>
        <w:t xml:space="preserve"> and </w:t>
      </w:r>
      <w:r>
        <w:rPr>
          <w:rFonts w:ascii="Arial" w:cs="Arial" w:eastAsia="Arial" w:hAnsi="Arial"/>
          <w:sz w:val="16"/>
          <w:szCs w:val="16"/>
          <w:i w:val="1"/>
          <w:iCs w:val="1"/>
          <w:color w:val="auto"/>
        </w:rPr>
        <w:t>Perzan et al. v. Cracker Barrel</w:t>
      </w:r>
      <w:r>
        <w:rPr>
          <w:rFonts w:ascii="Arial" w:cs="Arial" w:eastAsia="Arial" w:hAnsi="Arial"/>
          <w:sz w:val="16"/>
          <w:szCs w:val="16"/>
          <w:color w:val="auto"/>
        </w:rPr>
        <w:t xml:space="preserve">, were filed in the United States District Courts for the Middle District of Florida in August 2014 and for the District of Massachusetts in September 2014, respectively. These lawsuits assert essentially duplicative claims under select state laws challenging the same exempt classification of associate managers. The plaintiffs in these lawsuits seek an unspecified amount of alleged back wages, liquidated damages, statutory damages and attorneys' fees. Unlike a class action, a collective action requires potential class members to “opt in” rather than “opt out”. If any of these putative collection actions is conditionally certified, the Company would have an opportunity to seek to have the class de-certified and/or seek to have the case dismissed on its merits. We believe that we have meritorious defenses to all of the claims raised in these three lawsuits, and accordingly, plan to defend them vigorously. All of these proceedings, including attempts to resolve through mediation, remain in the early stages with significant uncertainty as to factual issues, outcome of legal proceedings (including certification of the collective action), and likely number of opt-in plaintiffs and/or damages claimed. At this time the likelihood of an unfavorable outcome nor the amount of the ultimate liability, if any, with respect to these cases, taken as a whole, cannot be determined. However, the Company has recorded a provision at October 31, 2014 related to certain New York state law claims in the </w:t>
      </w:r>
      <w:r>
        <w:rPr>
          <w:rFonts w:ascii="Arial" w:cs="Arial" w:eastAsia="Arial" w:hAnsi="Arial"/>
          <w:sz w:val="16"/>
          <w:szCs w:val="16"/>
          <w:i w:val="1"/>
          <w:iCs w:val="1"/>
          <w:color w:val="auto"/>
        </w:rPr>
        <w:t>Proper</w:t>
      </w:r>
      <w:r>
        <w:rPr>
          <w:rFonts w:ascii="Arial" w:cs="Arial" w:eastAsia="Arial" w:hAnsi="Arial"/>
          <w:sz w:val="16"/>
          <w:szCs w:val="16"/>
          <w:color w:val="auto"/>
        </w:rPr>
        <w:t xml:space="preserve"> lawsuit. In November 2014, the Company extended a confidential settlement offer in the </w:t>
      </w:r>
      <w:r>
        <w:rPr>
          <w:rFonts w:ascii="Arial" w:cs="Arial" w:eastAsia="Arial" w:hAnsi="Arial"/>
          <w:sz w:val="16"/>
          <w:szCs w:val="16"/>
          <w:i w:val="1"/>
          <w:iCs w:val="1"/>
          <w:color w:val="auto"/>
        </w:rPr>
        <w:t>Proper</w:t>
      </w:r>
      <w:r>
        <w:rPr>
          <w:rFonts w:ascii="Arial" w:cs="Arial" w:eastAsia="Arial" w:hAnsi="Arial"/>
          <w:sz w:val="16"/>
          <w:szCs w:val="16"/>
          <w:color w:val="auto"/>
        </w:rPr>
        <w:t xml:space="preserve"> lawsuit during mediation that it believes to be reasonable in the circumstances in an attempt to resolve these claims and to avoid the ongoing expense of litigation with respect to them. The Company believes the settlement offer is immaterial to the Company’s consolidated results of operations and financial position. With the exception of this provision relating to New York state law claims recorded at October 31, 2014, no other provision for any potential liability has been made in the condensed consolidated financial statements of the Company related to these proceedings.</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matters described above, the Company and its subsidiaries are party to various other legal and regulatory proceedings and claims incidental to their business in the ordinary course. In the opinion of management, based upon information currently available, the ultimate liability with respect to these other proceedings and claims will not materially affect the Company's consolidated results of operations or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risk factors previously disclosed in “Item 1A. Risk Factors” of our 2014 Form 10-K.</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6"/>
          <w:szCs w:val="16"/>
          <w:b w:val="1"/>
          <w:bCs w:val="1"/>
          <w:color w:val="auto"/>
        </w:rPr>
        <w:t>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immediately following the signature page 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CRACKER BARREL OLD COUNTRY STORE,</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spacing w:after="0"/>
        <w:tabs>
          <w:tab w:leader="none" w:pos="5680" w:val="left"/>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/s/Lawrence E. Hyatt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23495</wp:posOffset>
            </wp:positionV>
            <wp:extent cx="21780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Lawrence E. Hyatt, Senior Vice President and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tabs>
          <w:tab w:leader="none" w:pos="5680" w:val="left"/>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/s/P. Douglas Couvillion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23495</wp:posOffset>
            </wp:positionV>
            <wp:extent cx="21780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0" w:lineRule="exact"/>
        <w:rPr>
          <w:sz w:val="20"/>
          <w:szCs w:val="20"/>
          <w:color w:val="auto"/>
        </w:rPr>
      </w:pPr>
    </w:p>
    <w:p>
      <w:pPr>
        <w:ind w:left="6280"/>
        <w:spacing w:after="0"/>
        <w:tabs>
          <w:tab w:leader="none" w:pos="6600" w:val="left"/>
          <w:tab w:leader="none" w:pos="7400" w:val="left"/>
          <w:tab w:leader="none" w:pos="8420" w:val="left"/>
          <w:tab w:leader="none" w:pos="8960" w:val="left"/>
        </w:tabs>
        <w:rPr>
          <w:sz w:val="20"/>
          <w:szCs w:val="20"/>
          <w:color w:val="auto"/>
        </w:rPr>
      </w:pPr>
      <w:r>
        <w:rPr>
          <w:rFonts w:ascii="Arial" w:cs="Arial" w:eastAsia="Arial" w:hAnsi="Arial"/>
          <w:sz w:val="18"/>
          <w:szCs w:val="18"/>
          <w:color w:val="auto"/>
        </w:rPr>
        <w:t>P.</w:t>
        <w:tab/>
        <w:t>Douglas</w:t>
        <w:tab/>
        <w:t>Couvillion,</w:t>
        <w:tab/>
        <w:t>Vice</w:t>
      </w:r>
      <w:r>
        <w:rPr>
          <w:sz w:val="20"/>
          <w:szCs w:val="20"/>
          <w:color w:val="auto"/>
        </w:rPr>
        <w:tab/>
      </w:r>
      <w:r>
        <w:rPr>
          <w:rFonts w:ascii="Arial" w:cs="Arial" w:eastAsia="Arial" w:hAnsi="Arial"/>
          <w:sz w:val="15"/>
          <w:szCs w:val="15"/>
          <w:color w:val="auto"/>
        </w:rPr>
        <w:t>President,</w:t>
      </w:r>
    </w:p>
    <w:p>
      <w:pPr>
        <w:spacing w:after="0" w:line="23" w:lineRule="exact"/>
        <w:rPr>
          <w:sz w:val="20"/>
          <w:szCs w:val="20"/>
          <w:color w:val="auto"/>
        </w:rPr>
      </w:pPr>
    </w:p>
    <w:p>
      <w:pPr>
        <w:ind w:left="6480"/>
        <w:spacing w:after="0"/>
        <w:tabs>
          <w:tab w:leader="none" w:pos="7460" w:val="left"/>
          <w:tab w:leader="none" w:pos="8480" w:val="left"/>
          <w:tab w:leader="none" w:pos="9040" w:val="left"/>
        </w:tabs>
        <w:rPr>
          <w:sz w:val="20"/>
          <w:szCs w:val="20"/>
          <w:color w:val="auto"/>
        </w:rPr>
      </w:pPr>
      <w:r>
        <w:rPr>
          <w:rFonts w:ascii="Arial" w:cs="Arial" w:eastAsia="Arial" w:hAnsi="Arial"/>
          <w:sz w:val="18"/>
          <w:szCs w:val="18"/>
          <w:color w:val="auto"/>
        </w:rPr>
        <w:t>Corporate</w:t>
        <w:tab/>
        <w:t>Controller</w:t>
        <w:tab/>
        <w:t>and</w:t>
      </w:r>
      <w:r>
        <w:rPr>
          <w:sz w:val="20"/>
          <w:szCs w:val="20"/>
          <w:color w:val="auto"/>
        </w:rPr>
        <w:tab/>
      </w:r>
      <w:r>
        <w:rPr>
          <w:rFonts w:ascii="Arial" w:cs="Arial" w:eastAsia="Arial" w:hAnsi="Arial"/>
          <w:sz w:val="16"/>
          <w:szCs w:val="16"/>
          <w:color w:val="auto"/>
        </w:rPr>
        <w:t>Principal</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Cracker Barrel Old Country Store, Inc. and Subsidiaries FY 2015 Annual Bonus Plan</w:t>
            </w:r>
            <w:r>
              <w:rPr>
                <w:rFonts w:ascii="Arial" w:cs="Arial" w:eastAsia="Arial" w:hAnsi="Arial"/>
                <w:sz w:val="30"/>
                <w:szCs w:val="30"/>
                <w:color w:val="auto"/>
                <w:w w:val="93"/>
                <w:vertAlign w:val="superscript"/>
              </w:rPr>
              <w:t>†</w:t>
            </w:r>
            <w:r>
              <w:rPr>
                <w:rFonts w:ascii="Arial" w:cs="Arial" w:eastAsia="Arial" w:hAnsi="Arial"/>
                <w:sz w:val="18"/>
                <w:szCs w:val="18"/>
                <w:color w:val="auto"/>
                <w:w w:val="93"/>
              </w:rPr>
              <w:t xml:space="preserve"> (incorporated by reference to Exhibit 10.1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Company’s Current Report on Form 8-K filed on October 7,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10380" w:type="dxa"/>
            <w:vAlign w:val="bottom"/>
            <w:shd w:val="clear" w:color="auto" w:fill="CCEEFF"/>
          </w:tcPr>
          <w:p>
            <w:pPr>
              <w:ind w:left="340"/>
              <w:spacing w:after="0" w:line="202" w:lineRule="exact"/>
              <w:rPr>
                <w:sz w:val="20"/>
                <w:szCs w:val="20"/>
                <w:color w:val="auto"/>
              </w:rPr>
            </w:pPr>
            <w:r>
              <w:rPr>
                <w:rFonts w:ascii="Arial" w:cs="Arial" w:eastAsia="Arial" w:hAnsi="Arial"/>
                <w:sz w:val="15"/>
                <w:szCs w:val="15"/>
                <w:color w:val="auto"/>
              </w:rPr>
              <w:t>Cracker Barrel Old Country Store, Inc. and Subsidiaries FY 2015 Long-Term Incentive Program</w:t>
            </w:r>
            <w:r>
              <w:rPr>
                <w:rFonts w:ascii="Arial" w:cs="Arial" w:eastAsia="Arial" w:hAnsi="Arial"/>
                <w:sz w:val="23"/>
                <w:szCs w:val="23"/>
                <w:color w:val="auto"/>
                <w:vertAlign w:val="superscript"/>
              </w:rPr>
              <w:t>†</w:t>
            </w:r>
            <w:r>
              <w:rPr>
                <w:rFonts w:ascii="Arial" w:cs="Arial" w:eastAsia="Arial" w:hAnsi="Arial"/>
                <w:sz w:val="15"/>
                <w:szCs w:val="15"/>
                <w:color w:val="auto"/>
              </w:rPr>
              <w:t xml:space="preserve"> (incorporated by reference to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10.2 to the Company’s Current Report on Form 8-K filed on October 7,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Denotes management contract or compensatory plan, contract or arrangement.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500" w:hanging="425"/>
        <w:spacing w:after="0" w:line="264"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00" w:right="20" w:hanging="425"/>
        <w:spacing w:after="0" w:line="342" w:lineRule="auto"/>
        <w:tabs>
          <w:tab w:leader="none" w:pos="15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Lawrence E. Hyatt, certify that:</w:t>
      </w:r>
    </w:p>
    <w:p>
      <w:pPr>
        <w:spacing w:after="0" w:line="252" w:lineRule="exact"/>
        <w:rPr>
          <w:sz w:val="20"/>
          <w:szCs w:val="20"/>
          <w:color w:val="auto"/>
        </w:rPr>
      </w:pPr>
    </w:p>
    <w:p>
      <w:pPr>
        <w:ind w:left="1400" w:hanging="325"/>
        <w:spacing w:after="0"/>
        <w:tabs>
          <w:tab w:leader="none" w:pos="14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00" w:right="20" w:hanging="325"/>
        <w:spacing w:after="0" w:line="342" w:lineRule="auto"/>
        <w:tabs>
          <w:tab w:leader="none" w:pos="14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00" w:hanging="325"/>
        <w:spacing w:after="0" w:line="291" w:lineRule="auto"/>
        <w:tabs>
          <w:tab w:leader="none" w:pos="14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800" w:hanging="414"/>
        <w:spacing w:after="0" w:line="286" w:lineRule="auto"/>
        <w:tabs>
          <w:tab w:leader="none" w:pos="180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800" w:hanging="414"/>
        <w:spacing w:after="0" w:line="264" w:lineRule="auto"/>
        <w:tabs>
          <w:tab w:leader="none" w:pos="18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800" w:hanging="414"/>
        <w:spacing w:after="0" w:line="264" w:lineRule="auto"/>
        <w:tabs>
          <w:tab w:leader="none" w:pos="18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800" w:hanging="414"/>
        <w:spacing w:after="0" w:line="264" w:lineRule="auto"/>
        <w:tabs>
          <w:tab w:leader="none" w:pos="18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jc w:val="both"/>
        <w:ind w:left="1420" w:hanging="359"/>
        <w:spacing w:after="0" w:line="264"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800" w:hanging="414"/>
        <w:spacing w:after="0" w:line="342" w:lineRule="auto"/>
        <w:tabs>
          <w:tab w:leader="none" w:pos="18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20" w:hanging="414"/>
        <w:spacing w:after="0" w:line="277" w:lineRule="auto"/>
        <w:tabs>
          <w:tab w:leader="none" w:pos="18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Hyatt,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October 31, 2014,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sz w:val="20"/>
                <w:szCs w:val="20"/>
                <w:color w:val="auto"/>
              </w:rPr>
            </w:pPr>
            <w:r>
              <w:rPr>
                <w:rFonts w:ascii="Arial" w:cs="Arial" w:eastAsia="Arial" w:hAnsi="Arial"/>
                <w:sz w:val="18"/>
                <w:szCs w:val="18"/>
                <w:color w:val="auto"/>
                <w:w w:val="90"/>
              </w:rPr>
              <w:t>Date: November 25, 2014</w:t>
            </w:r>
          </w:p>
        </w:tc>
        <w:tc>
          <w:tcPr>
            <w:tcW w:w="9540" w:type="dxa"/>
            <w:vAlign w:val="bottom"/>
            <w:gridSpan w:val="4"/>
          </w:tcPr>
          <w:p>
            <w:pPr>
              <w:ind w:left="3840"/>
              <w:spacing w:after="0"/>
              <w:rPr>
                <w:sz w:val="20"/>
                <w:szCs w:val="20"/>
                <w:color w:val="auto"/>
              </w:rPr>
            </w:pPr>
            <w:r>
              <w:rPr>
                <w:rFonts w:ascii="Arial" w:cs="Arial" w:eastAsia="Arial" w:hAnsi="Arial"/>
                <w:sz w:val="18"/>
                <w:szCs w:val="18"/>
                <w:color w:val="auto"/>
              </w:rPr>
              <w:t>By: /s/Sandra B. Cochran</w:t>
            </w: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4180" w:type="dxa"/>
            <w:vAlign w:val="bottom"/>
          </w:tcPr>
          <w:p>
            <w:pPr>
              <w:spacing w:after="0"/>
              <w:rPr>
                <w:sz w:val="19"/>
                <w:szCs w:val="19"/>
                <w:color w:val="auto"/>
              </w:rPr>
            </w:pPr>
          </w:p>
        </w:tc>
        <w:tc>
          <w:tcPr>
            <w:tcW w:w="15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4"/>
              </w:rPr>
              <w:t>Sandra B. Cochran</w:t>
            </w:r>
          </w:p>
        </w:tc>
        <w:tc>
          <w:tcPr>
            <w:tcW w:w="3820" w:type="dxa"/>
            <w:vAlign w:val="bottom"/>
            <w:gridSpan w:val="2"/>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5360" w:type="dxa"/>
            <w:vAlign w:val="bottom"/>
            <w:gridSpan w:val="3"/>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1440" w:type="dxa"/>
            <w:vAlign w:val="bottom"/>
            <w:tcBorders>
              <w:top w:val="single" w:sz="8" w:color="auto"/>
            </w:tcBorders>
            <w:shd w:val="clear" w:color="auto" w:fill="808080"/>
          </w:tcPr>
          <w:p>
            <w:pPr>
              <w:spacing w:after="0" w:line="20" w:lineRule="exact"/>
              <w:rPr>
                <w:sz w:val="1"/>
                <w:szCs w:val="1"/>
                <w:color w:val="auto"/>
              </w:rPr>
            </w:pPr>
          </w:p>
        </w:tc>
        <w:tc>
          <w:tcPr>
            <w:tcW w:w="4180" w:type="dxa"/>
            <w:vAlign w:val="bottom"/>
            <w:tcBorders>
              <w:top w:val="single" w:sz="8" w:color="auto"/>
            </w:tcBorders>
            <w:shd w:val="clear" w:color="auto" w:fill="808080"/>
          </w:tcPr>
          <w:p>
            <w:pPr>
              <w:spacing w:after="0" w:line="20" w:lineRule="exact"/>
              <w:rPr>
                <w:sz w:val="1"/>
                <w:szCs w:val="1"/>
                <w:color w:val="auto"/>
              </w:rPr>
            </w:pPr>
          </w:p>
        </w:tc>
        <w:tc>
          <w:tcPr>
            <w:tcW w:w="1540" w:type="dxa"/>
            <w:vAlign w:val="bottom"/>
            <w:tcBorders>
              <w:top w:val="single" w:sz="8" w:color="auto"/>
            </w:tcBorders>
            <w:shd w:val="clear" w:color="auto" w:fill="808080"/>
          </w:tcPr>
          <w:p>
            <w:pPr>
              <w:spacing w:after="0" w:line="20" w:lineRule="exact"/>
              <w:rPr>
                <w:sz w:val="1"/>
                <w:szCs w:val="1"/>
                <w:color w:val="auto"/>
              </w:rPr>
            </w:pPr>
          </w:p>
        </w:tc>
        <w:tc>
          <w:tcPr>
            <w:tcW w:w="380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October 31, 2014,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sz w:val="20"/>
                <w:szCs w:val="20"/>
                <w:color w:val="auto"/>
              </w:rPr>
            </w:pPr>
            <w:r>
              <w:rPr>
                <w:rFonts w:ascii="Arial" w:cs="Arial" w:eastAsia="Arial" w:hAnsi="Arial"/>
                <w:sz w:val="18"/>
                <w:szCs w:val="18"/>
                <w:color w:val="auto"/>
                <w:w w:val="90"/>
              </w:rPr>
              <w:t>Date: November 25, 2014</w:t>
            </w:r>
          </w:p>
        </w:tc>
        <w:tc>
          <w:tcPr>
            <w:tcW w:w="9540" w:type="dxa"/>
            <w:vAlign w:val="bottom"/>
            <w:gridSpan w:val="4"/>
          </w:tcPr>
          <w:p>
            <w:pPr>
              <w:ind w:left="3840"/>
              <w:spacing w:after="0"/>
              <w:rPr>
                <w:sz w:val="20"/>
                <w:szCs w:val="20"/>
                <w:color w:val="auto"/>
              </w:rPr>
            </w:pPr>
            <w:r>
              <w:rPr>
                <w:rFonts w:ascii="Arial" w:cs="Arial" w:eastAsia="Arial" w:hAnsi="Arial"/>
                <w:sz w:val="18"/>
                <w:szCs w:val="18"/>
                <w:color w:val="auto"/>
              </w:rPr>
              <w:t>By: /s/Lawrence E. Hyatt</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540" w:type="dxa"/>
            <w:vAlign w:val="bottom"/>
            <w:gridSpan w:val="4"/>
          </w:tcPr>
          <w:p>
            <w:pPr>
              <w:ind w:left="4260"/>
              <w:spacing w:after="0"/>
              <w:rPr>
                <w:sz w:val="20"/>
                <w:szCs w:val="20"/>
                <w:color w:val="auto"/>
              </w:rPr>
            </w:pPr>
            <w:r>
              <w:rPr>
                <w:rFonts w:ascii="Arial" w:cs="Arial" w:eastAsia="Arial" w:hAnsi="Arial"/>
                <w:sz w:val="18"/>
                <w:szCs w:val="18"/>
                <w:color w:val="auto"/>
              </w:rPr>
              <w:t>Lawrence E. Hyatt,</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540" w:type="dxa"/>
            <w:vAlign w:val="bottom"/>
            <w:gridSpan w:val="4"/>
          </w:tcPr>
          <w:p>
            <w:pPr>
              <w:ind w:left="4260"/>
              <w:spacing w:after="0"/>
              <w:rPr>
                <w:sz w:val="20"/>
                <w:szCs w:val="20"/>
                <w:color w:val="auto"/>
              </w:rPr>
            </w:pPr>
            <w:r>
              <w:rPr>
                <w:rFonts w:ascii="Arial" w:cs="Arial" w:eastAsia="Arial" w:hAnsi="Arial"/>
                <w:sz w:val="18"/>
                <w:szCs w:val="18"/>
                <w:color w:val="auto"/>
              </w:rPr>
              <w:t>Senior Vice President and Chief Financial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1440" w:type="dxa"/>
            <w:vAlign w:val="bottom"/>
            <w:tcBorders>
              <w:top w:val="single" w:sz="8" w:color="auto"/>
            </w:tcBorders>
            <w:shd w:val="clear" w:color="auto" w:fill="808080"/>
          </w:tcPr>
          <w:p>
            <w:pPr>
              <w:spacing w:after="0" w:line="20" w:lineRule="exact"/>
              <w:rPr>
                <w:sz w:val="1"/>
                <w:szCs w:val="1"/>
                <w:color w:val="auto"/>
              </w:rPr>
            </w:pPr>
          </w:p>
        </w:tc>
        <w:tc>
          <w:tcPr>
            <w:tcW w:w="4340" w:type="dxa"/>
            <w:vAlign w:val="bottom"/>
            <w:tcBorders>
              <w:top w:val="single" w:sz="8" w:color="auto"/>
            </w:tcBorders>
            <w:shd w:val="clear" w:color="auto" w:fill="808080"/>
          </w:tcPr>
          <w:p>
            <w:pPr>
              <w:spacing w:after="0" w:line="20" w:lineRule="exact"/>
              <w:rPr>
                <w:sz w:val="1"/>
                <w:szCs w:val="1"/>
                <w:color w:val="auto"/>
              </w:rPr>
            </w:pPr>
          </w:p>
        </w:tc>
        <w:tc>
          <w:tcPr>
            <w:tcW w:w="1360" w:type="dxa"/>
            <w:vAlign w:val="bottom"/>
            <w:tcBorders>
              <w:top w:val="single" w:sz="8" w:color="auto"/>
            </w:tcBorders>
            <w:shd w:val="clear" w:color="auto" w:fill="808080"/>
          </w:tcPr>
          <w:p>
            <w:pPr>
              <w:spacing w:after="0" w:line="20" w:lineRule="exact"/>
              <w:rPr>
                <w:sz w:val="1"/>
                <w:szCs w:val="1"/>
                <w:color w:val="auto"/>
              </w:rPr>
            </w:pPr>
          </w:p>
        </w:tc>
        <w:tc>
          <w:tcPr>
            <w:tcW w:w="382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
    <w:nsid w:val="721DA31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0">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2019-12-06T20:06:29Z</dcterms:created>
  <dcterms:modified xsi:type="dcterms:W3CDTF">2019-12-06T20:06:29Z</dcterms:modified>
</cp:coreProperties>
</file>