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5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00" w:right="4120" w:hanging="244"/>
        <w:spacing w:after="0" w:line="261"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January 31, 2014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900" w:right="4140" w:hanging="244"/>
        <w:spacing w:after="0" w:line="277" w:lineRule="auto"/>
        <w:tabs>
          <w:tab w:leader="none" w:pos="913"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 to _____________</w:t>
      </w:r>
    </w:p>
    <w:p>
      <w:pPr>
        <w:spacing w:after="0" w:line="1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001</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81280</wp:posOffset>
            </wp:positionV>
            <wp:extent cx="74993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9935" cy="3873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1"/>
              </w:rPr>
              <w:t>305 Hartmann Drive, P.O. Box 787</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37088</w:t>
            </w:r>
            <w:r>
              <w:rPr>
                <w:rFonts w:ascii="MS PGothic" w:cs="MS PGothic" w:eastAsia="MS PGothic" w:hAnsi="MS PGothic"/>
                <w:sz w:val="18"/>
                <w:szCs w:val="18"/>
                <w:color w:val="auto"/>
                <w:w w:val="91"/>
              </w:rPr>
              <w:t>‑</w:t>
            </w:r>
            <w:r>
              <w:rPr>
                <w:rFonts w:ascii="Arial" w:cs="Arial" w:eastAsia="Arial" w:hAnsi="Arial"/>
                <w:sz w:val="18"/>
                <w:szCs w:val="18"/>
                <w:color w:val="auto"/>
                <w:w w:val="91"/>
              </w:rPr>
              <w:t>0787</w:t>
            </w: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41" w:right="239" w:bottom="1440" w:gutter="0" w:footer="0" w:header="0"/>
        </w:sectPr>
      </w:pPr>
    </w:p>
    <w:p>
      <w:pPr>
        <w:spacing w:after="0" w:line="165" w:lineRule="exact"/>
        <w:rPr>
          <w:sz w:val="24"/>
          <w:szCs w:val="24"/>
          <w:color w:val="auto"/>
        </w:rPr>
      </w:pPr>
    </w:p>
    <w:p>
      <w:pPr>
        <w:ind w:left="10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5920" w:space="720"/>
            <w:col w:w="1200" w:space="100"/>
            <w:col w:w="3480"/>
          </w:cols>
          <w:pgMar w:left="240" w:top="541" w:right="239" w:bottom="1440" w:gutter="0" w:footer="0" w:header="0"/>
          <w:type w:val="continuous"/>
        </w:sectPr>
      </w:pPr>
    </w:p>
    <w:p>
      <w:pPr>
        <w:spacing w:after="0" w:line="48"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580" w:space="180"/>
            <w:col w:w="3160" w:space="720"/>
            <w:col w:w="1960" w:space="100"/>
            <w:col w:w="2720"/>
          </w:cols>
          <w:pgMar w:left="240" w:top="541"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248"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23,820,077 Shares of Common Stock</w:t>
      </w:r>
    </w:p>
    <w:p>
      <w:pPr>
        <w:spacing w:after="0" w:line="23"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Outstanding as of February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40" w:type="dxa"/>
            <w:vAlign w:val="bottom"/>
            <w:gridSpan w:val="8"/>
          </w:tcPr>
          <w:p>
            <w:pPr>
              <w:jc w:val="center"/>
              <w:ind w:right="158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80" w:type="dxa"/>
            <w:vAlign w:val="bottom"/>
            <w:gridSpan w:val="6"/>
          </w:tcPr>
          <w:p>
            <w:pPr>
              <w:jc w:val="center"/>
              <w:ind w:right="4160"/>
              <w:spacing w:after="0"/>
              <w:rPr>
                <w:sz w:val="20"/>
                <w:szCs w:val="20"/>
                <w:color w:val="auto"/>
              </w:rPr>
            </w:pPr>
            <w:r>
              <w:rPr>
                <w:rFonts w:ascii="Arial" w:cs="Arial" w:eastAsia="Arial" w:hAnsi="Arial"/>
                <w:sz w:val="18"/>
                <w:szCs w:val="18"/>
                <w:b w:val="1"/>
                <w:bCs w:val="1"/>
                <w:color w:val="auto"/>
                <w:w w:val="99"/>
              </w:rPr>
              <w:t>FORM 10-Q</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740" w:type="dxa"/>
            <w:vAlign w:val="bottom"/>
            <w:gridSpan w:val="8"/>
          </w:tcPr>
          <w:p>
            <w:pPr>
              <w:jc w:val="center"/>
              <w:ind w:right="1600"/>
              <w:spacing w:after="0"/>
              <w:rPr>
                <w:sz w:val="20"/>
                <w:szCs w:val="20"/>
                <w:color w:val="auto"/>
              </w:rPr>
            </w:pPr>
            <w:r>
              <w:rPr>
                <w:rFonts w:ascii="Arial" w:cs="Arial" w:eastAsia="Arial" w:hAnsi="Arial"/>
                <w:sz w:val="18"/>
                <w:szCs w:val="18"/>
                <w:b w:val="1"/>
                <w:bCs w:val="1"/>
                <w:color w:val="auto"/>
                <w:w w:val="92"/>
              </w:rPr>
              <w:t>For the Quarter Ended January 31, 2014</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80" w:type="dxa"/>
            <w:vAlign w:val="bottom"/>
            <w:gridSpan w:val="6"/>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380" w:type="dxa"/>
            <w:vAlign w:val="bottom"/>
            <w:gridSpan w:val="19"/>
          </w:tcPr>
          <w:p>
            <w:pPr>
              <w:spacing w:after="0"/>
              <w:rPr>
                <w:sz w:val="20"/>
                <w:szCs w:val="20"/>
                <w:color w:val="auto"/>
              </w:rPr>
            </w:pPr>
            <w:r>
              <w:rPr>
                <w:rFonts w:ascii="Arial" w:cs="Arial" w:eastAsia="Arial" w:hAnsi="Arial"/>
                <w:sz w:val="18"/>
                <w:szCs w:val="18"/>
                <w:b w:val="1"/>
                <w:bCs w:val="1"/>
                <w:color w:val="auto"/>
              </w:rPr>
              <w:t>PART I. FINANCIAL INFORMATION</w:t>
            </w:r>
          </w:p>
        </w:tc>
        <w:tc>
          <w:tcPr>
            <w:tcW w:w="1040" w:type="dxa"/>
            <w:vAlign w:val="bottom"/>
            <w:gridSpan w:val="3"/>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53"/>
        </w:trPr>
        <w:tc>
          <w:tcPr>
            <w:tcW w:w="10380" w:type="dxa"/>
            <w:vAlign w:val="bottom"/>
            <w:gridSpan w:val="19"/>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gridSpan w:val="18"/>
            <w:shd w:val="clear" w:color="auto" w:fill="CCEEFF"/>
          </w:tcPr>
          <w:p>
            <w:pPr>
              <w:ind w:left="42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a) </w:t>
            </w:r>
            <w:hyperlink w:anchor="page3">
              <w:r>
                <w:rPr>
                  <w:rFonts w:ascii="Arial" w:cs="Arial" w:eastAsia="Arial" w:hAnsi="Arial"/>
                  <w:sz w:val="18"/>
                  <w:szCs w:val="18"/>
                  <w:color w:val="0000EE"/>
                </w:rPr>
                <w:t>Condensed Consolidated Balance Sheets as of January 31, 2014 and August 2, 2013</w:t>
              </w:r>
            </w:hyperlink>
          </w:p>
        </w:tc>
        <w:tc>
          <w:tcPr>
            <w:tcW w:w="600" w:type="dxa"/>
            <w:vAlign w:val="bottom"/>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79"/>
              </w:rPr>
              <w:t>3</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b)</w:t>
            </w:r>
          </w:p>
        </w:tc>
        <w:tc>
          <w:tcPr>
            <w:tcW w:w="9700" w:type="dxa"/>
            <w:vAlign w:val="bottom"/>
            <w:gridSpan w:val="17"/>
            <w:shd w:val="clear" w:color="auto" w:fill="CCEEFF"/>
          </w:tcPr>
          <w:p>
            <w:pPr>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Income for the Quarters and Six Months Ended January 31, 2014 and February 1, 2013</w:t>
              </w:r>
            </w:hyperlink>
          </w:p>
        </w:tc>
        <w:tc>
          <w:tcPr>
            <w:tcW w:w="600" w:type="dxa"/>
            <w:vAlign w:val="bottom"/>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79"/>
              </w:rPr>
              <w:t>4</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Borders>
              <w:bottom w:val="single" w:sz="8" w:color="CCEEFF"/>
            </w:tcBorders>
            <w:shd w:val="clear" w:color="auto" w:fill="CCEEFF"/>
          </w:tcPr>
          <w:p>
            <w:pPr>
              <w:ind w:left="420"/>
              <w:spacing w:after="0" w:line="176" w:lineRule="exact"/>
              <w:rPr>
                <w:sz w:val="20"/>
                <w:szCs w:val="20"/>
                <w:color w:val="auto"/>
              </w:rPr>
            </w:pPr>
            <w:r>
              <w:rPr>
                <w:rFonts w:ascii="Arial" w:cs="Arial" w:eastAsia="Arial" w:hAnsi="Arial"/>
                <w:sz w:val="18"/>
                <w:szCs w:val="18"/>
                <w:color w:val="auto"/>
              </w:rPr>
              <w:t>c)</w:t>
            </w:r>
          </w:p>
        </w:tc>
        <w:tc>
          <w:tcPr>
            <w:tcW w:w="9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Quarters and Six Months Ended January 31, 2014 and</w:t>
              </w:r>
            </w:hyperlink>
          </w:p>
        </w:tc>
        <w:tc>
          <w:tcPr>
            <w:tcW w:w="600" w:type="dxa"/>
            <w:vAlign w:val="bottom"/>
            <w:tcBorders>
              <w:bottom w:val="single" w:sz="8" w:color="CCEEFF"/>
            </w:tcBorders>
            <w:gridSpan w:val="3"/>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79"/>
              </w:rPr>
              <w:t>5</w:t>
            </w:r>
          </w:p>
        </w:tc>
        <w:tc>
          <w:tcPr>
            <w:tcW w:w="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February 1, 2013</w:t>
              </w:r>
            </w:hyperlink>
          </w:p>
        </w:tc>
        <w:tc>
          <w:tcPr>
            <w:tcW w:w="8460" w:type="dxa"/>
            <w:vAlign w:val="bottom"/>
            <w:tcBorders>
              <w:bottom w:val="single" w:sz="8" w:color="CCEEFF"/>
            </w:tcBorders>
            <w:gridSpan w:val="10"/>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gridSpan w:val="18"/>
            <w:shd w:val="clear" w:color="auto" w:fill="CCEEFF"/>
          </w:tcPr>
          <w:p>
            <w:pPr>
              <w:ind w:left="420"/>
              <w:spacing w:after="0" w:line="176" w:lineRule="exact"/>
              <w:rPr>
                <w:rFonts w:ascii="Arial" w:cs="Arial" w:eastAsia="Arial" w:hAnsi="Arial"/>
                <w:sz w:val="18"/>
                <w:szCs w:val="18"/>
                <w:color w:val="auto"/>
                <w:w w:val="92"/>
              </w:rPr>
            </w:pPr>
            <w:r>
              <w:rPr>
                <w:rFonts w:ascii="Arial" w:cs="Arial" w:eastAsia="Arial" w:hAnsi="Arial"/>
                <w:sz w:val="18"/>
                <w:szCs w:val="18"/>
                <w:color w:val="auto"/>
                <w:w w:val="92"/>
              </w:rPr>
              <w:t xml:space="preserve">d) </w:t>
            </w:r>
            <w:hyperlink w:anchor="page6">
              <w:r>
                <w:rPr>
                  <w:rFonts w:ascii="Arial" w:cs="Arial" w:eastAsia="Arial" w:hAnsi="Arial"/>
                  <w:sz w:val="18"/>
                  <w:szCs w:val="18"/>
                  <w:color w:val="0000EE"/>
                  <w:w w:val="92"/>
                </w:rPr>
                <w:t>Condensed Consolidated Statements of Cash Flows for the Quarters and Six Months Ended January 31, 2014 and February 1, 2013</w:t>
              </w:r>
            </w:hyperlink>
          </w:p>
        </w:tc>
        <w:tc>
          <w:tcPr>
            <w:tcW w:w="600" w:type="dxa"/>
            <w:vAlign w:val="bottom"/>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79"/>
              </w:rPr>
              <w:t>6</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gridSpan w:val="18"/>
            <w:shd w:val="clear" w:color="auto" w:fill="CCEEFF"/>
          </w:tcPr>
          <w:p>
            <w:pPr>
              <w:ind w:left="42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e) </w:t>
            </w:r>
            <w:hyperlink w:anchor="page7">
              <w:r>
                <w:rPr>
                  <w:rFonts w:ascii="Arial" w:cs="Arial" w:eastAsia="Arial" w:hAnsi="Arial"/>
                  <w:sz w:val="18"/>
                  <w:szCs w:val="18"/>
                  <w:color w:val="0000EE"/>
                </w:rPr>
                <w:t>Notes to Condensed Consolidated Financial Statements</w:t>
              </w:r>
            </w:hyperlink>
          </w:p>
        </w:tc>
        <w:tc>
          <w:tcPr>
            <w:tcW w:w="600" w:type="dxa"/>
            <w:vAlign w:val="bottom"/>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79"/>
              </w:rPr>
              <w:t>7</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gridSpan w:val="18"/>
            <w:shd w:val="clear" w:color="auto" w:fill="CCEEFF"/>
          </w:tcPr>
          <w:p>
            <w:pPr>
              <w:ind w:left="1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14">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2"/>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14</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gridSpan w:val="18"/>
            <w:shd w:val="clear" w:color="auto" w:fill="CCEEFF"/>
          </w:tcPr>
          <w:p>
            <w:pPr>
              <w:ind w:left="1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26">
              <w:r>
                <w:rPr>
                  <w:rFonts w:ascii="Arial" w:cs="Arial" w:eastAsia="Arial" w:hAnsi="Arial"/>
                  <w:sz w:val="18"/>
                  <w:szCs w:val="18"/>
                  <w:color w:val="0000EE"/>
                </w:rPr>
                <w:t>Quantitative and Qualitative Disclosures About Market Risk</w:t>
              </w:r>
            </w:hyperlink>
          </w:p>
        </w:tc>
        <w:tc>
          <w:tcPr>
            <w:tcW w:w="600" w:type="dxa"/>
            <w:vAlign w:val="bottom"/>
            <w:gridSpan w:val="2"/>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26</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gridSpan w:val="18"/>
            <w:shd w:val="clear" w:color="auto" w:fill="CCEEFF"/>
          </w:tcPr>
          <w:p>
            <w:pPr>
              <w:ind w:left="1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26">
              <w:r>
                <w:rPr>
                  <w:rFonts w:ascii="Arial" w:cs="Arial" w:eastAsia="Arial" w:hAnsi="Arial"/>
                  <w:sz w:val="18"/>
                  <w:szCs w:val="18"/>
                  <w:color w:val="0000EE"/>
                </w:rPr>
                <w:t>Controls and Procedures</w:t>
              </w:r>
            </w:hyperlink>
          </w:p>
        </w:tc>
        <w:tc>
          <w:tcPr>
            <w:tcW w:w="600" w:type="dxa"/>
            <w:vAlign w:val="bottom"/>
            <w:gridSpan w:val="2"/>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26</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gridSpan w:val="18"/>
            <w:shd w:val="clear" w:color="auto" w:fill="CCEEFF"/>
          </w:tcPr>
          <w:p>
            <w:pPr>
              <w:ind w:left="1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 </w:t>
            </w:r>
            <w:hyperlink w:anchor="page27">
              <w:r>
                <w:rPr>
                  <w:rFonts w:ascii="Arial" w:cs="Arial" w:eastAsia="Arial" w:hAnsi="Arial"/>
                  <w:sz w:val="18"/>
                  <w:szCs w:val="18"/>
                  <w:color w:val="0000EE"/>
                </w:rPr>
                <w:t>Legal Proceedings</w:t>
              </w:r>
            </w:hyperlink>
          </w:p>
        </w:tc>
        <w:tc>
          <w:tcPr>
            <w:tcW w:w="600" w:type="dxa"/>
            <w:vAlign w:val="bottom"/>
            <w:gridSpan w:val="2"/>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27</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gridSpan w:val="18"/>
            <w:shd w:val="clear" w:color="auto" w:fill="CCEEFF"/>
          </w:tcPr>
          <w:p>
            <w:pPr>
              <w:ind w:left="1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1A. </w:t>
            </w:r>
            <w:hyperlink w:anchor="page27">
              <w:r>
                <w:rPr>
                  <w:rFonts w:ascii="Arial" w:cs="Arial" w:eastAsia="Arial" w:hAnsi="Arial"/>
                  <w:sz w:val="18"/>
                  <w:szCs w:val="18"/>
                  <w:color w:val="0000EE"/>
                </w:rPr>
                <w:t>Risk Factors</w:t>
              </w:r>
            </w:hyperlink>
          </w:p>
        </w:tc>
        <w:tc>
          <w:tcPr>
            <w:tcW w:w="600" w:type="dxa"/>
            <w:vAlign w:val="bottom"/>
            <w:gridSpan w:val="2"/>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27</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gridSpan w:val="18"/>
            <w:shd w:val="clear" w:color="auto" w:fill="CCEEFF"/>
          </w:tcPr>
          <w:p>
            <w:pPr>
              <w:ind w:left="16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6. </w:t>
            </w:r>
            <w:hyperlink w:anchor="page27">
              <w:r>
                <w:rPr>
                  <w:rFonts w:ascii="Arial" w:cs="Arial" w:eastAsia="Arial" w:hAnsi="Arial"/>
                  <w:sz w:val="18"/>
                  <w:szCs w:val="18"/>
                  <w:color w:val="0000EE"/>
                </w:rPr>
                <w:t>Exhibits</w:t>
              </w:r>
            </w:hyperlink>
          </w:p>
        </w:tc>
        <w:tc>
          <w:tcPr>
            <w:tcW w:w="600" w:type="dxa"/>
            <w:vAlign w:val="bottom"/>
            <w:gridSpan w:val="2"/>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27</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6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600" w:type="dxa"/>
            <w:vAlign w:val="bottom"/>
            <w:gridSpan w:val="2"/>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28</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gridSpan w:val="4"/>
          </w:tcPr>
          <w:p>
            <w:pPr>
              <w:spacing w:after="0"/>
              <w:rPr>
                <w:sz w:val="24"/>
                <w:szCs w:val="24"/>
                <w:color w:val="auto"/>
              </w:rPr>
            </w:pPr>
          </w:p>
        </w:tc>
        <w:tc>
          <w:tcPr>
            <w:tcW w:w="5580" w:type="dxa"/>
            <w:vAlign w:val="bottom"/>
            <w:tcBorders>
              <w:top w:val="single" w:sz="8" w:color="CCEEFF"/>
            </w:tcBorders>
            <w:gridSpan w:val="8"/>
          </w:tcPr>
          <w:p>
            <w:pPr>
              <w:jc w:val="center"/>
              <w:ind w:left="3448"/>
              <w:spacing w:after="0"/>
              <w:rPr>
                <w:sz w:val="20"/>
                <w:szCs w:val="20"/>
                <w:color w:val="auto"/>
              </w:rPr>
            </w:pPr>
            <w:r>
              <w:rPr>
                <w:rFonts w:ascii="Arial" w:cs="Arial" w:eastAsia="Arial" w:hAnsi="Arial"/>
                <w:sz w:val="14"/>
                <w:szCs w:val="14"/>
                <w:color w:val="auto"/>
                <w:w w:val="76"/>
              </w:rPr>
              <w:t>2</w:t>
            </w:r>
          </w:p>
        </w:tc>
        <w:tc>
          <w:tcPr>
            <w:tcW w:w="58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0" w:type="dxa"/>
            <w:vAlign w:val="bottom"/>
          </w:tcPr>
          <w:p>
            <w:pPr>
              <w:jc w:val="center"/>
              <w:ind w:left="23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jc w:val="center"/>
              <w:ind w:left="2310"/>
              <w:spacing w:after="0"/>
              <w:rPr>
                <w:sz w:val="20"/>
                <w:szCs w:val="20"/>
                <w:color w:val="auto"/>
              </w:rPr>
            </w:pPr>
            <w:r>
              <w:rPr>
                <w:rFonts w:ascii="Arial" w:cs="Arial" w:eastAsia="Arial" w:hAnsi="Arial"/>
                <w:sz w:val="18"/>
                <w:szCs w:val="18"/>
                <w:color w:val="auto"/>
                <w:w w:val="87"/>
              </w:rPr>
              <w:t>(In thousands, except share data)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0" w:type="dxa"/>
            <w:vAlign w:val="bottom"/>
          </w:tcPr>
          <w:p>
            <w:pPr>
              <w:jc w:val="center"/>
              <w:ind w:left="229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January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August 2,</w:t>
            </w:r>
          </w:p>
        </w:tc>
        <w:tc>
          <w:tcPr>
            <w:tcW w:w="0" w:type="dxa"/>
            <w:vAlign w:val="bottom"/>
          </w:tcPr>
          <w:p>
            <w:pPr>
              <w:spacing w:after="0"/>
              <w:rPr>
                <w:sz w:val="1"/>
                <w:szCs w:val="1"/>
                <w:color w:val="auto"/>
              </w:rPr>
            </w:pPr>
          </w:p>
        </w:tc>
      </w:tr>
      <w:tr>
        <w:trPr>
          <w:trHeight w:val="237"/>
        </w:trPr>
        <w:tc>
          <w:tcPr>
            <w:tcW w:w="87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91,353</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Property held for sale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13,881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1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279,929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1,828,181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120"/>
              <w:spacing w:after="0"/>
              <w:rPr>
                <w:sz w:val="20"/>
                <w:szCs w:val="20"/>
                <w:color w:val="auto"/>
              </w:rPr>
            </w:pPr>
            <w:r>
              <w:rPr>
                <w:rFonts w:ascii="Arial" w:cs="Arial" w:eastAsia="Arial" w:hAnsi="Arial"/>
                <w:sz w:val="18"/>
                <w:szCs w:val="18"/>
                <w:color w:val="auto"/>
              </w:rPr>
              <w:t>Less: Accumulated depreciation and amortization of capital leases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798,734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771,454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1,029,447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60,764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59,743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1,370,140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1,388,306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82,202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69,458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133,212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1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297,372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316,067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Long-term interest rate swap liability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121,228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57,098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56,496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Preferred stock – 100,000,000 shares of $.01 par value authorized; 300,000 shares designated as Series A Junior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Participating Preferred Stock; no shares issued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2"/>
          </w:tcPr>
          <w:p>
            <w:pPr>
              <w:spacing w:after="0" w:line="201" w:lineRule="exact"/>
              <w:rPr>
                <w:sz w:val="20"/>
                <w:szCs w:val="20"/>
                <w:color w:val="auto"/>
              </w:rPr>
            </w:pPr>
            <w:r>
              <w:rPr>
                <w:rFonts w:ascii="Arial" w:cs="Arial" w:eastAsia="Arial" w:hAnsi="Arial"/>
                <w:sz w:val="18"/>
                <w:szCs w:val="18"/>
                <w:color w:val="auto"/>
                <w:w w:val="89"/>
              </w:rPr>
              <w:t>Common stock – 400,000,000 shares of $.01 par value authorized; 23,820,077 shares issued and outstanding at January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2"/>
          </w:tcPr>
          <w:p>
            <w:pPr>
              <w:ind w:left="120"/>
              <w:spacing w:after="0"/>
              <w:rPr>
                <w:sz w:val="20"/>
                <w:szCs w:val="20"/>
                <w:color w:val="auto"/>
              </w:rPr>
            </w:pPr>
            <w:r>
              <w:rPr>
                <w:rFonts w:ascii="Arial" w:cs="Arial" w:eastAsia="Arial" w:hAnsi="Arial"/>
                <w:sz w:val="18"/>
                <w:szCs w:val="18"/>
                <w:color w:val="auto"/>
              </w:rPr>
              <w:t>31, 2014, and 23,795,327 shares issued and outstanding at August 2, 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(5,765)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497,181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484,026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1,370,140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1,388,306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ind w:right="160" w:firstLine="8"/>
        <w:spacing w:after="0" w:line="277" w:lineRule="auto"/>
        <w:tabs>
          <w:tab w:leader="none" w:pos="15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Condensed Consolidated Balance Sheet has been derived from the audited Consolidated Balance Sheet as of August 2, 2013, as filed with the Securities and Exchange Commission in the Company’s Annual Report on Form 10-K for the fiscal year ended August 2, 2013.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89"/>
              </w:rPr>
              <w:t>January 31,</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201" w:lineRule="exact"/>
              <w:rPr>
                <w:sz w:val="20"/>
                <w:szCs w:val="20"/>
                <w:color w:val="auto"/>
              </w:rPr>
            </w:pPr>
            <w:r>
              <w:rPr>
                <w:rFonts w:ascii="Arial" w:cs="Arial" w:eastAsia="Arial" w:hAnsi="Arial"/>
                <w:sz w:val="18"/>
                <w:szCs w:val="18"/>
                <w:color w:val="auto"/>
                <w:w w:val="89"/>
              </w:rPr>
              <w:t>January 31,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698,491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702,671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1,347,632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455,476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458,484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898,688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888,077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238,742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244,871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475,489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Store operating income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88,634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91,027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169,758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33,830</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66,815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58,706</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94,065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29,850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37,055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35,168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64,215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58,360</w:t>
            </w:r>
          </w:p>
        </w:tc>
        <w:tc>
          <w:tcPr>
            <w:tcW w:w="0" w:type="dxa"/>
            <w:vAlign w:val="bottom"/>
          </w:tcPr>
          <w:p>
            <w:pPr>
              <w:spacing w:after="0"/>
              <w:rPr>
                <w:sz w:val="1"/>
                <w:szCs w:val="1"/>
                <w:color w:val="auto"/>
              </w:rPr>
            </w:pPr>
          </w:p>
        </w:tc>
      </w:tr>
      <w:tr>
        <w:trPr>
          <w:trHeight w:val="21"/>
        </w:trPr>
        <w:tc>
          <w:tcPr>
            <w:tcW w:w="5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income per share: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Diluted</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
        </w:trPr>
        <w:tc>
          <w:tcPr>
            <w:tcW w:w="5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23,812,777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23,711,235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23,815,107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23,644,405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23,970,611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23,945,236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23,947,850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23,866,431</w:t>
            </w:r>
          </w:p>
        </w:tc>
        <w:tc>
          <w:tcPr>
            <w:tcW w:w="0" w:type="dxa"/>
            <w:vAlign w:val="bottom"/>
          </w:tcPr>
          <w:p>
            <w:pPr>
              <w:spacing w:after="0"/>
              <w:rPr>
                <w:sz w:val="1"/>
                <w:szCs w:val="1"/>
                <w:color w:val="auto"/>
              </w:rPr>
            </w:pPr>
          </w:p>
        </w:tc>
      </w:tr>
      <w:tr>
        <w:trPr>
          <w:trHeight w:val="21"/>
        </w:trPr>
        <w:tc>
          <w:tcPr>
            <w:tcW w:w="5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w w:val="96"/>
              </w:rPr>
              <w:t>See Notes to unaudited Condensed Consolidated Financial Statements.</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January 31,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201" w:lineRule="exact"/>
              <w:rPr>
                <w:sz w:val="20"/>
                <w:szCs w:val="20"/>
                <w:color w:val="auto"/>
              </w:rPr>
            </w:pPr>
            <w:r>
              <w:rPr>
                <w:rFonts w:ascii="Arial" w:cs="Arial" w:eastAsia="Arial" w:hAnsi="Arial"/>
                <w:sz w:val="18"/>
                <w:szCs w:val="18"/>
                <w:color w:val="auto"/>
                <w:w w:val="89"/>
              </w:rPr>
              <w:t>January 31,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income tax expense: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Change in fair value of interest rate swaps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7,010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b w:val="1"/>
                <w:bCs w:val="1"/>
                <w:color w:val="auto"/>
              </w:rPr>
              <w:t>CRACKER BARREL OLD COUNTRY STORE, INC.</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color w:val="auto"/>
                <w:w w:val="90"/>
              </w:rPr>
              <w:t>(Unaudited and in thousands)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89"/>
              </w:rPr>
              <w:t>January 31,</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64,215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Loss on disposition of property and equipment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(28,435)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Other long-term assets and liabilities</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62,905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(37,200)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Principal payments under long-term debt and other long-term obligations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 and retirement of common stock</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Dividends on common stock</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(35,754)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(56,070)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121,718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151,962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91,353</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net of amounts capitalized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36,724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25,268</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activity:</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expenditures accrued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Change in deferred tax asset for interest rate swaps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Dividends declared but not yet paid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17,931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203"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condensed consolidated balance sheets at January 31, 2014 and August 2, 2013 and the related condensed consolidated statements of income, comprehensive income and cash flows for the quarters and six months ended January 31, 2014 and February 1, 2013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August 2, 2013 (the “2013 Form 10-K”). The accounting policies used in preparing these condensed consolidated financial statements are the same as described in the 2013 Form 10-K. References to a year in these Notes to Condensed Consolidated Financial Statements are to the Company’s fiscal year unless otherwise noted.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Disclosures about Offsetting Assets and Liabilities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is required to provide both net and gross information in the notes to its financial statements for relevant assets and liabilities that are eligible for offset. In January 2013, the FASB issued additional accounting guidance which limits these disclosures to derivatives, repurchase agreements and securities lending transactions to the extent that they are offset in the financial statements or subject to an enforceable master netting arrangement or similar agreement. These disclosure requirements are effective for fiscal years beginning on or after January 1, 2013 on a retrospective basis. The adoption of these disclosure requirements in the first quarter of 2014 did not have a significant impact on the Company’s consolidated financial position or results of operations.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Reporting of Amounts Reclassified Out of Accumulated Other Comprehensive Income</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February 2013, the FASB issued accounting guidance which requires companies to provide information regarding the amounts reclassified out of accumulated other comprehensive income by component. A company is required to present, either on the face of the statement where net income is presented or in the notes, significant amounts reclassified out of accumulated other comprehensive income by the respective line items of net income but only if the amount reclassified is required by GAAP to be reclassified to net income in its entirety in the same reporting period. For other amounts that are not required under GAAP to be reclassified in their entirety to net income, a company is required to cross-reference to other disclosures required under GAAP that provide additional detail regarding those amounts. This accounting guidance is effective for fiscal years beginning after December 15, 2012 on a prospective basis. Since the guidance only affects presentation and disclosure of amounts reclassified out of accumulated other comprehensive income, the adoption of this guidance in the first quarter of 2014 did not have a significant impact on the Company’s consolidated financial position or results of operations.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and liabilities measured at fair value on a recurring basis at January 31, 2014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44,020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44,397</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9,761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and liabilities measured at fair value on a recurring basis at August 2, 2013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83,030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83,913</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11,644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Consolidated Balance Sheets as other assets.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January 31, 2014 and August 2, 2013.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45"/>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Inventories</w:t>
            </w: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0"/>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80" w:type="dxa"/>
            <w:vAlign w:val="bottom"/>
            <w:gridSpan w:val="2"/>
          </w:tcPr>
          <w:p>
            <w:pPr>
              <w:ind w:left="20"/>
              <w:spacing w:after="0"/>
              <w:rPr>
                <w:sz w:val="20"/>
                <w:szCs w:val="20"/>
                <w:color w:val="auto"/>
              </w:rPr>
            </w:pPr>
            <w:r>
              <w:rPr>
                <w:rFonts w:ascii="Arial" w:cs="Arial" w:eastAsia="Arial" w:hAnsi="Arial"/>
                <w:sz w:val="18"/>
                <w:szCs w:val="18"/>
                <w:color w:val="auto"/>
              </w:rPr>
              <w:t>Inventories were comprised of the following at: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January 31, 2014</w:t>
            </w:r>
          </w:p>
        </w:tc>
        <w:tc>
          <w:tcPr>
            <w:tcW w:w="180" w:type="dxa"/>
            <w:vAlign w:val="bottom"/>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August 2, 2013</w:t>
            </w:r>
          </w:p>
        </w:tc>
        <w:tc>
          <w:tcPr>
            <w:tcW w:w="1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112,736</w:t>
            </w:r>
          </w:p>
        </w:tc>
        <w:tc>
          <w:tcPr>
            <w:tcW w:w="12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Restaurant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22,231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20,214</w:t>
            </w:r>
          </w:p>
        </w:tc>
        <w:tc>
          <w:tcPr>
            <w:tcW w:w="120" w:type="dxa"/>
            <w:vAlign w:val="bottom"/>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Supplies</w:t>
            </w: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14,904</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38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23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148,073</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146,687</w:t>
            </w:r>
          </w:p>
        </w:tc>
        <w:tc>
          <w:tcPr>
            <w:tcW w:w="12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4.</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Debt</w:t>
            </w:r>
          </w:p>
        </w:tc>
        <w:tc>
          <w:tcPr>
            <w:tcW w:w="7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80"/>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at:</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color w:val="auto"/>
              </w:rPr>
              <w:t>January 31, 2014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94"/>
              </w:rPr>
              <w:t>August 2, 2013</w:t>
            </w:r>
          </w:p>
        </w:tc>
        <w:tc>
          <w:tcPr>
            <w:tcW w:w="12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280" w:type="dxa"/>
            <w:vAlign w:val="bottom"/>
            <w:tcBorders>
              <w:right w:val="single" w:sz="8" w:color="CCEEFF"/>
            </w:tcBorders>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expiring on July 8, 2016</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120" w:type="dxa"/>
            <w:vAlign w:val="bottom"/>
            <w:shd w:val="clear" w:color="auto" w:fill="CCEEFF"/>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Term loan payable on or before July 8, 2016</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w:t>
            </w:r>
          </w:p>
        </w:tc>
        <w:tc>
          <w:tcPr>
            <w:tcW w:w="120" w:type="dxa"/>
            <w:vAlign w:val="bottom"/>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280" w:type="dxa"/>
            <w:vAlign w:val="bottom"/>
            <w:tcBorders>
              <w:right w:val="single" w:sz="8" w:color="CCEEFF"/>
            </w:tcBorders>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Current maturities</w:t>
            </w:r>
          </w:p>
        </w:tc>
        <w:tc>
          <w:tcPr>
            <w:tcW w:w="4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(12,500)</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57"/>
        </w:trPr>
        <w:tc>
          <w:tcPr>
            <w:tcW w:w="360" w:type="dxa"/>
            <w:vAlign w:val="bottom"/>
          </w:tcPr>
          <w:p>
            <w:pPr>
              <w:spacing w:after="0"/>
              <w:rPr>
                <w:sz w:val="22"/>
                <w:szCs w:val="22"/>
                <w:color w:val="auto"/>
              </w:rPr>
            </w:pPr>
          </w:p>
        </w:tc>
        <w:tc>
          <w:tcPr>
            <w:tcW w:w="280" w:type="dxa"/>
            <w:vAlign w:val="bottom"/>
            <w:tcBorders>
              <w:right w:val="single" w:sz="8" w:color="CCEEFF"/>
            </w:tcBorders>
          </w:tcPr>
          <w:p>
            <w:pPr>
              <w:spacing w:after="0"/>
              <w:rPr>
                <w:sz w:val="22"/>
                <w:szCs w:val="22"/>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387,500</w:t>
            </w:r>
          </w:p>
        </w:tc>
        <w:tc>
          <w:tcPr>
            <w:tcW w:w="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$750,000 credit facility (the “Credit Facility”) consists of a term loan and a $500,000 revolving credit facility (the “Revolving Credit Facility”). At January 31, 2014, the Company had $212,500 of outstanding borrowings under the Revolving Credit Facility and $20,637 of standby letters of credit, which reduce the Company’s availability under the Revolving Credit Facility (see Note 11). At January 31, 2014, the Company had $266,863 in borrowing availability under the Revolving Credit Facility.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Credit Facility, outstanding borrowings bear interest, at the Company’s election, either at LIBOR or prime plus a percentage point spread based on certain specified financial ratios under the Credit Facility. As of January 31, 2014, the Company’s outstanding borrowings were swapped at a weighted average interest rate of 3.73% (see Note 5 for information on the Company’s interest rate swaps).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Facility contains customary financial covenants, which include maintenance of a maximum consolidated total leverage ratio and a minimum consolidated interest coverage ratio. At January 31, 2014, the Company was in compliance with all debt covenants.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Credit Facility also imposes restrictions on the amount of dividends the Company is permitted to pay and the amount of shares the Company is permitted to repurchase. Provided there is no default existing and the total of the Company’s availability under the Revolving Credit Facility plus the Company’s cash and cash equivalents on hand is at least $100,000 (the “liquidity requirements”), the Company may declare and pay cash dividends on shares of its common stock and repurchase shares of its common stock if the aggregate amount of dividends paid and shares repurchased in any fiscal year is less than the sum of (1) 20% of Consolidated EBITDA from continuing operations (as defined in the Credit Facility) (the “20% limitation”) during the immediately preceding fiscal year and (2) provided the Company’s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162"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The Company’s policy has been to manage interest cost using a mix of fixed and variable rate debt. To manage this risk in a cost efficient manner, the Company uses derivative instruments, specifically interest rate swaps.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weighted average credit spread at January 31, 2014 was 1.50%. All of the Company’s interest rate swaps are accounted for as cash flow hedges.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interest rate swaps at January 31, 2014 is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720" w:type="dxa"/>
            <w:vAlign w:val="bottom"/>
            <w:gridSpan w:val="3"/>
          </w:tcPr>
          <w:p>
            <w:pPr>
              <w:ind w:left="160"/>
              <w:spacing w:after="0"/>
              <w:rPr>
                <w:sz w:val="20"/>
                <w:szCs w:val="20"/>
                <w:color w:val="auto"/>
              </w:rPr>
            </w:pPr>
            <w:r>
              <w:rPr>
                <w:rFonts w:ascii="Arial" w:cs="Arial" w:eastAsia="Arial" w:hAnsi="Arial"/>
                <w:sz w:val="18"/>
                <w:szCs w:val="18"/>
                <w:color w:val="auto"/>
              </w:rPr>
              <w:t>Trade Date</w:t>
            </w:r>
          </w:p>
        </w:tc>
        <w:tc>
          <w:tcPr>
            <w:tcW w:w="100" w:type="dxa"/>
            <w:vAlign w:val="bottom"/>
          </w:tcPr>
          <w:p>
            <w:pPr>
              <w:spacing w:after="0"/>
              <w:rPr>
                <w:sz w:val="17"/>
                <w:szCs w:val="17"/>
                <w:color w:val="auto"/>
              </w:rPr>
            </w:pPr>
          </w:p>
        </w:tc>
        <w:tc>
          <w:tcPr>
            <w:tcW w:w="1360" w:type="dxa"/>
            <w:vAlign w:val="bottom"/>
            <w:gridSpan w:val="2"/>
          </w:tcPr>
          <w:p>
            <w:pPr>
              <w:ind w:left="360"/>
              <w:spacing w:after="0"/>
              <w:rPr>
                <w:sz w:val="20"/>
                <w:szCs w:val="20"/>
                <w:color w:val="auto"/>
              </w:rPr>
            </w:pPr>
            <w:r>
              <w:rPr>
                <w:rFonts w:ascii="Arial" w:cs="Arial" w:eastAsia="Arial" w:hAnsi="Arial"/>
                <w:sz w:val="18"/>
                <w:szCs w:val="18"/>
                <w:color w:val="auto"/>
              </w:rPr>
              <w:t>Term</w:t>
            </w:r>
          </w:p>
        </w:tc>
        <w:tc>
          <w:tcPr>
            <w:tcW w:w="16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Notional</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Fixed</w:t>
            </w:r>
          </w:p>
        </w:tc>
      </w:tr>
      <w:tr>
        <w:trPr>
          <w:trHeight w:val="264"/>
        </w:trPr>
        <w:tc>
          <w:tcPr>
            <w:tcW w:w="20" w:type="dxa"/>
            <w:vAlign w:val="bottom"/>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Effective Date</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 Years)</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August 10, 2010</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May 3, 2013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July 25, 2011</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May 3, 2013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July 25, 2011</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May 3, 2013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5"/>
              </w:rPr>
              <w:t>September 19, 2011</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May 3, 2013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5"/>
              </w:rPr>
              <w:t>September 19, 2011</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May 3, 2013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December 7, 2011</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May 3, 2013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May 3, 2015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April 8, 2013</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May 3, 2015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April 15, 2013</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May 3, 2015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April 22, 2013</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May 3, 2015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May 3, 2015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bl>
    <w:p>
      <w:pPr>
        <w:spacing w:after="0" w:line="229" w:lineRule="exact"/>
        <w:rPr>
          <w:sz w:val="20"/>
          <w:szCs w:val="20"/>
          <w:color w:val="auto"/>
        </w:rPr>
      </w:pPr>
    </w:p>
    <w:p>
      <w:pPr>
        <w:jc w:val="both"/>
        <w:ind w:firstLine="694"/>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9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January 31, 2014 and August 2, 2013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(See Note 2)</w:t>
            </w:r>
          </w:p>
        </w:tc>
        <w:tc>
          <w:tcPr>
            <w:tcW w:w="120" w:type="dxa"/>
            <w:vAlign w:val="bottom"/>
          </w:tcPr>
          <w:p>
            <w:pPr>
              <w:spacing w:after="0"/>
              <w:rPr>
                <w:sz w:val="20"/>
                <w:szCs w:val="20"/>
                <w:color w:val="auto"/>
              </w:rPr>
            </w:pPr>
          </w:p>
        </w:tc>
        <w:tc>
          <w:tcPr>
            <w:tcW w:w="2960" w:type="dxa"/>
            <w:vAlign w:val="bottom"/>
          </w:tcPr>
          <w:p>
            <w:pPr>
              <w:ind w:left="600"/>
              <w:spacing w:after="0"/>
              <w:rPr>
                <w:sz w:val="20"/>
                <w:szCs w:val="20"/>
                <w:color w:val="auto"/>
              </w:rPr>
            </w:pPr>
            <w:r>
              <w:rPr>
                <w:rFonts w:ascii="Arial" w:cs="Arial" w:eastAsia="Arial" w:hAnsi="Arial"/>
                <w:sz w:val="18"/>
                <w:szCs w:val="18"/>
                <w:color w:val="auto"/>
              </w:rPr>
              <w:t>Balance Sheet Location</w:t>
            </w:r>
          </w:p>
        </w:tc>
        <w:tc>
          <w:tcPr>
            <w:tcW w:w="140" w:type="dxa"/>
            <w:vAlign w:val="bottom"/>
          </w:tcPr>
          <w:p>
            <w:pPr>
              <w:spacing w:after="0"/>
              <w:rPr>
                <w:sz w:val="20"/>
                <w:szCs w:val="20"/>
                <w:color w:val="auto"/>
              </w:rPr>
            </w:pPr>
          </w:p>
        </w:tc>
        <w:tc>
          <w:tcPr>
            <w:tcW w:w="1680" w:type="dxa"/>
            <w:vAlign w:val="bottom"/>
            <w:gridSpan w:val="3"/>
          </w:tcPr>
          <w:p>
            <w:pPr>
              <w:jc w:val="right"/>
              <w:ind w:right="380"/>
              <w:spacing w:after="0"/>
              <w:rPr>
                <w:sz w:val="20"/>
                <w:szCs w:val="20"/>
                <w:color w:val="auto"/>
              </w:rPr>
            </w:pPr>
            <w:r>
              <w:rPr>
                <w:rFonts w:ascii="Arial" w:cs="Arial" w:eastAsia="Arial" w:hAnsi="Arial"/>
                <w:sz w:val="18"/>
                <w:szCs w:val="18"/>
                <w:color w:val="auto"/>
                <w:w w:val="91"/>
              </w:rPr>
              <w:t>January 31, 2014</w:t>
            </w:r>
          </w:p>
        </w:tc>
        <w:tc>
          <w:tcPr>
            <w:tcW w:w="10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August 2, 2013</w:t>
            </w:r>
          </w:p>
        </w:tc>
      </w:tr>
      <w:tr>
        <w:trPr>
          <w:trHeight w:val="34"/>
        </w:trPr>
        <w:tc>
          <w:tcPr>
            <w:tcW w:w="4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40" w:type="dxa"/>
            <w:vAlign w:val="bottom"/>
            <w:shd w:val="clear" w:color="auto" w:fill="CCEEFF"/>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Interest rate swaps</w:t>
            </w: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Long-term interest rate swap liability</w:t>
            </w:r>
          </w:p>
        </w:tc>
        <w:tc>
          <w:tcPr>
            <w:tcW w:w="680" w:type="dxa"/>
            <w:vAlign w:val="bottom"/>
            <w:gridSpan w:val="2"/>
          </w:tcPr>
          <w:p>
            <w:pPr>
              <w:jc w:val="right"/>
              <w:ind w:right="37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9,761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11,644</w:t>
            </w:r>
          </w:p>
        </w:tc>
      </w:tr>
    </w:tbl>
    <w:p>
      <w:pPr>
        <w:spacing w:after="0" w:line="21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assets in the Condensed Consolidated Balance Sheets at January 31, 2014 and August 2,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Net Asset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Gross Asset Amounts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rPr>
              <w:t>Liability Amount Offset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color w:val="auto"/>
                <w:w w:val="87"/>
              </w:rPr>
              <w:t>in the Balance Sheets</w:t>
            </w:r>
          </w:p>
        </w:tc>
        <w:tc>
          <w:tcPr>
            <w:tcW w:w="100" w:type="dxa"/>
            <w:vAlign w:val="bottom"/>
          </w:tcPr>
          <w:p>
            <w:pPr>
              <w:spacing w:after="0"/>
              <w:rPr>
                <w:sz w:val="20"/>
                <w:szCs w:val="20"/>
                <w:color w:val="auto"/>
              </w:rPr>
            </w:pP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January 31,</w:t>
            </w: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1"/>
              </w:rPr>
              <w:t>August 2,</w:t>
            </w:r>
          </w:p>
        </w:tc>
        <w:tc>
          <w:tcPr>
            <w:tcW w:w="120" w:type="dxa"/>
            <w:vAlign w:val="bottom"/>
          </w:tcPr>
          <w:p>
            <w:pPr>
              <w:spacing w:after="0"/>
              <w:rPr>
                <w:sz w:val="17"/>
                <w:szCs w:val="17"/>
                <w:color w:val="auto"/>
              </w:rPr>
            </w:pPr>
          </w:p>
        </w:tc>
        <w:tc>
          <w:tcPr>
            <w:tcW w:w="12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January 31,</w:t>
            </w:r>
          </w:p>
        </w:tc>
        <w:tc>
          <w:tcPr>
            <w:tcW w:w="160" w:type="dxa"/>
            <w:vAlign w:val="bottom"/>
          </w:tcPr>
          <w:p>
            <w:pPr>
              <w:spacing w:after="0"/>
              <w:rPr>
                <w:sz w:val="17"/>
                <w:szCs w:val="17"/>
                <w:color w:val="auto"/>
              </w:rPr>
            </w:pPr>
          </w:p>
        </w:tc>
        <w:tc>
          <w:tcPr>
            <w:tcW w:w="118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1"/>
              </w:rPr>
              <w:t>August 2,</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7"/>
              </w:rPr>
              <w:t>January 31,</w:t>
            </w:r>
          </w:p>
        </w:tc>
        <w:tc>
          <w:tcPr>
            <w:tcW w:w="16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1"/>
              </w:rPr>
              <w:t>August 2,</w:t>
            </w:r>
          </w:p>
        </w:tc>
        <w:tc>
          <w:tcPr>
            <w:tcW w:w="100" w:type="dxa"/>
            <w:vAlign w:val="bottom"/>
          </w:tcPr>
          <w:p>
            <w:pPr>
              <w:spacing w:after="0"/>
              <w:rPr>
                <w:sz w:val="17"/>
                <w:szCs w:val="17"/>
                <w:color w:val="auto"/>
              </w:rPr>
            </w:pPr>
          </w:p>
        </w:tc>
      </w:tr>
      <w:tr>
        <w:trPr>
          <w:trHeight w:val="264"/>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20" w:type="dxa"/>
            <w:vAlign w:val="bottom"/>
          </w:tcPr>
          <w:p>
            <w:pPr>
              <w:spacing w:after="0"/>
              <w:rPr>
                <w:sz w:val="22"/>
                <w:szCs w:val="22"/>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2"/>
                <w:szCs w:val="22"/>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liabilities in the Condensed Consolidated Balance Sheets at January 31, 2014 and August 2,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Net Liability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rPr>
              <w:t>Gross Liability Amounts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Asset Amount Offset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color w:val="auto"/>
                <w:w w:val="87"/>
              </w:rPr>
              <w:t>in the Balance Sheets</w:t>
            </w:r>
          </w:p>
        </w:tc>
        <w:tc>
          <w:tcPr>
            <w:tcW w:w="100" w:type="dxa"/>
            <w:vAlign w:val="bottom"/>
          </w:tcPr>
          <w:p>
            <w:pPr>
              <w:spacing w:after="0"/>
              <w:rPr>
                <w:sz w:val="20"/>
                <w:szCs w:val="20"/>
                <w:color w:val="auto"/>
              </w:rPr>
            </w:pP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January 31,</w:t>
            </w: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1"/>
              </w:rPr>
              <w:t>August 2,</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87"/>
              </w:rPr>
              <w:t>January 31,</w:t>
            </w:r>
          </w:p>
        </w:tc>
        <w:tc>
          <w:tcPr>
            <w:tcW w:w="160" w:type="dxa"/>
            <w:vAlign w:val="bottom"/>
          </w:tcPr>
          <w:p>
            <w:pPr>
              <w:spacing w:after="0"/>
              <w:rPr>
                <w:sz w:val="17"/>
                <w:szCs w:val="17"/>
                <w:color w:val="auto"/>
              </w:rPr>
            </w:pPr>
          </w:p>
        </w:tc>
        <w:tc>
          <w:tcPr>
            <w:tcW w:w="118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1"/>
              </w:rPr>
              <w:t>August 2,</w:t>
            </w: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January 31,</w:t>
            </w:r>
          </w:p>
        </w:tc>
        <w:tc>
          <w:tcPr>
            <w:tcW w:w="16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1"/>
              </w:rPr>
              <w:t>August 2,</w:t>
            </w:r>
          </w:p>
        </w:tc>
        <w:tc>
          <w:tcPr>
            <w:tcW w:w="100" w:type="dxa"/>
            <w:vAlign w:val="bottom"/>
          </w:tcPr>
          <w:p>
            <w:pPr>
              <w:spacing w:after="0"/>
              <w:rPr>
                <w:sz w:val="17"/>
                <w:szCs w:val="17"/>
                <w:color w:val="auto"/>
              </w:rPr>
            </w:pPr>
          </w:p>
        </w:tc>
      </w:tr>
      <w:tr>
        <w:trPr>
          <w:trHeight w:val="264"/>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20" w:type="dxa"/>
            <w:vAlign w:val="bottom"/>
          </w:tcPr>
          <w:p>
            <w:pPr>
              <w:spacing w:after="0"/>
              <w:rPr>
                <w:sz w:val="22"/>
                <w:szCs w:val="22"/>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2"/>
                <w:szCs w:val="22"/>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estimated fair value of the Company’s interest rate swap assets and liabilities incorporate the Company’s non-performance risk (see Note 2). The adjustment related to the Company’s non-performance risk at January 31, 2014 and August 2, 2013 resulted in reductions of $23 and $123, respectively, in the fair value of the interest rate swap assets and liabilities. The offset to the interest rate swap assets and liabilities is recorded in accumulated other comprehensive loss (“AOCL”), net of the deferred tax asset, and will be reclassified into earnings over the term of the underlying debt. As of January 31, 2014, the estimated pre-tax portion of AOCL that is expected to be reclassified into earnings over the next twelve months is $6,009. Cash flows related to the interest rate swap are included in interest expense and in operating activities.</w:t>
      </w:r>
    </w:p>
    <w:p>
      <w:pPr>
        <w:sectPr>
          <w:pgSz w:w="11900" w:h="16838" w:orient="portrait"/>
          <w:cols w:equalWidth="0" w:num="1">
            <w:col w:w="11420"/>
          </w:cols>
          <w:pgMar w:left="240" w:top="121" w:right="239"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AOCL for the six months ended January 31, 2014 and the year ended August 2,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00" w:type="dxa"/>
            <w:vAlign w:val="bottom"/>
            <w:gridSpan w:val="7"/>
          </w:tcPr>
          <w:p>
            <w:pPr>
              <w:jc w:val="center"/>
              <w:ind w:right="120"/>
              <w:spacing w:after="0"/>
              <w:rPr>
                <w:sz w:val="20"/>
                <w:szCs w:val="20"/>
                <w:color w:val="auto"/>
              </w:rPr>
            </w:pPr>
            <w:r>
              <w:rPr>
                <w:rFonts w:ascii="Arial" w:cs="Arial" w:eastAsia="Arial" w:hAnsi="Arial"/>
                <w:sz w:val="18"/>
                <w:szCs w:val="18"/>
                <w:color w:val="auto"/>
                <w:w w:val="92"/>
              </w:rPr>
              <w:t>Amount of Income Recognized in</w:t>
            </w:r>
          </w:p>
        </w:tc>
      </w:tr>
      <w:tr>
        <w:trPr>
          <w:trHeight w:val="216"/>
        </w:trPr>
        <w:tc>
          <w:tcPr>
            <w:tcW w:w="50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00" w:type="dxa"/>
            <w:vAlign w:val="bottom"/>
            <w:gridSpan w:val="7"/>
          </w:tcPr>
          <w:p>
            <w:pPr>
              <w:jc w:val="center"/>
              <w:ind w:right="120"/>
              <w:spacing w:after="0"/>
              <w:rPr>
                <w:sz w:val="20"/>
                <w:szCs w:val="20"/>
                <w:color w:val="auto"/>
              </w:rPr>
            </w:pPr>
            <w:r>
              <w:rPr>
                <w:rFonts w:ascii="Arial" w:cs="Arial" w:eastAsia="Arial" w:hAnsi="Arial"/>
                <w:sz w:val="18"/>
                <w:szCs w:val="18"/>
                <w:color w:val="auto"/>
                <w:w w:val="95"/>
              </w:rPr>
              <w:t>AOCL on Derivatives (Effective</w:t>
            </w:r>
          </w:p>
        </w:tc>
      </w:tr>
      <w:tr>
        <w:trPr>
          <w:trHeight w:val="237"/>
        </w:trPr>
        <w:tc>
          <w:tcPr>
            <w:tcW w:w="50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jc w:val="center"/>
              <w:ind w:right="220"/>
              <w:spacing w:after="0"/>
              <w:rPr>
                <w:sz w:val="20"/>
                <w:szCs w:val="20"/>
                <w:color w:val="auto"/>
              </w:rPr>
            </w:pPr>
            <w:r>
              <w:rPr>
                <w:rFonts w:ascii="Arial" w:cs="Arial" w:eastAsia="Arial" w:hAnsi="Arial"/>
                <w:sz w:val="18"/>
                <w:szCs w:val="18"/>
                <w:color w:val="auto"/>
                <w:w w:val="95"/>
              </w:rPr>
              <w:t>Portion)</w:t>
            </w:r>
          </w:p>
        </w:tc>
      </w:tr>
      <w:tr>
        <w:trPr>
          <w:trHeight w:val="202"/>
        </w:trPr>
        <w:tc>
          <w:tcPr>
            <w:tcW w:w="5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94"/>
              </w:rPr>
              <w:t>Six Months</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88"/>
              </w:rPr>
              <w:t>Year Ended</w:t>
            </w:r>
          </w:p>
        </w:tc>
        <w:tc>
          <w:tcPr>
            <w:tcW w:w="100" w:type="dxa"/>
            <w:vAlign w:val="bottom"/>
          </w:tcPr>
          <w:p>
            <w:pPr>
              <w:spacing w:after="0"/>
              <w:rPr>
                <w:sz w:val="17"/>
                <w:szCs w:val="17"/>
                <w:color w:val="auto"/>
              </w:rPr>
            </w:pPr>
          </w:p>
        </w:tc>
      </w:tr>
      <w:tr>
        <w:trPr>
          <w:trHeight w:val="237"/>
        </w:trPr>
        <w:tc>
          <w:tcPr>
            <w:tcW w:w="50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7"/>
              </w:rPr>
              <w:t>January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1"/>
              </w:rPr>
              <w:t>August 2,</w:t>
            </w:r>
          </w:p>
        </w:tc>
        <w:tc>
          <w:tcPr>
            <w:tcW w:w="100" w:type="dxa"/>
            <w:vAlign w:val="bottom"/>
          </w:tcPr>
          <w:p>
            <w:pPr>
              <w:spacing w:after="0"/>
              <w:rPr>
                <w:sz w:val="17"/>
                <w:szCs w:val="17"/>
                <w:color w:val="auto"/>
              </w:rPr>
            </w:pPr>
          </w:p>
        </w:tc>
      </w:tr>
      <w:tr>
        <w:trPr>
          <w:trHeight w:val="237"/>
        </w:trPr>
        <w:tc>
          <w:tcPr>
            <w:tcW w:w="50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Cash flow hedges: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23,620</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pre-tax effects of the Company’s derivative instruments on income for the quarters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2014 and February 1, 2013: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Location of Loss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Reclassified from</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AOCL into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gridSpan w:val="13"/>
          </w:tcPr>
          <w:p>
            <w:pPr>
              <w:jc w:val="center"/>
              <w:spacing w:after="0"/>
              <w:rPr>
                <w:sz w:val="20"/>
                <w:szCs w:val="20"/>
                <w:color w:val="auto"/>
              </w:rPr>
            </w:pPr>
            <w:r>
              <w:rPr>
                <w:rFonts w:ascii="Arial" w:cs="Arial" w:eastAsia="Arial" w:hAnsi="Arial"/>
                <w:sz w:val="18"/>
                <w:szCs w:val="18"/>
                <w:color w:val="auto"/>
                <w:w w:val="93"/>
              </w:rPr>
              <w:t>Amount of Loss Reclassified from AOCL into Income</w:t>
            </w:r>
          </w:p>
        </w:tc>
        <w:tc>
          <w:tcPr>
            <w:tcW w:w="120" w:type="dxa"/>
            <w:vAlign w:val="bottom"/>
          </w:tcPr>
          <w:p>
            <w:pPr>
              <w:spacing w:after="0"/>
              <w:rPr>
                <w:sz w:val="18"/>
                <w:szCs w:val="18"/>
                <w:color w:val="auto"/>
              </w:rPr>
            </w:pPr>
          </w:p>
        </w:tc>
      </w:tr>
      <w:tr>
        <w:trPr>
          <w:trHeight w:val="237"/>
        </w:trPr>
        <w:tc>
          <w:tcPr>
            <w:tcW w:w="428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(Effective Portion)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93"/>
              </w:rPr>
              <w:t>(Effective Portion)</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5"/>
          </w:tcPr>
          <w:p>
            <w:pPr>
              <w:jc w:val="right"/>
              <w:ind w:right="450"/>
              <w:spacing w:after="0"/>
              <w:rPr>
                <w:sz w:val="20"/>
                <w:szCs w:val="20"/>
                <w:color w:val="auto"/>
              </w:rPr>
            </w:pPr>
            <w:r>
              <w:rPr>
                <w:rFonts w:ascii="Arial" w:cs="Arial" w:eastAsia="Arial" w:hAnsi="Arial"/>
                <w:sz w:val="18"/>
                <w:szCs w:val="18"/>
                <w:color w:val="auto"/>
              </w:rPr>
              <w:t>Six Months Ended</w:t>
            </w:r>
          </w:p>
        </w:tc>
        <w:tc>
          <w:tcPr>
            <w:tcW w:w="120" w:type="dxa"/>
            <w:vAlign w:val="bottom"/>
          </w:tcPr>
          <w:p>
            <w:pPr>
              <w:spacing w:after="0"/>
              <w:rPr>
                <w:sz w:val="19"/>
                <w:szCs w:val="19"/>
                <w:color w:val="auto"/>
              </w:rPr>
            </w:pPr>
          </w:p>
        </w:tc>
      </w:tr>
      <w:tr>
        <w:trPr>
          <w:trHeight w:val="202"/>
        </w:trPr>
        <w:tc>
          <w:tcPr>
            <w:tcW w:w="4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140"/>
              <w:spacing w:after="0" w:line="201" w:lineRule="exact"/>
              <w:rPr>
                <w:sz w:val="20"/>
                <w:szCs w:val="20"/>
                <w:color w:val="auto"/>
              </w:rPr>
            </w:pPr>
            <w:r>
              <w:rPr>
                <w:rFonts w:ascii="Arial" w:cs="Arial" w:eastAsia="Arial" w:hAnsi="Arial"/>
                <w:sz w:val="18"/>
                <w:szCs w:val="18"/>
                <w:color w:val="auto"/>
                <w:w w:val="87"/>
              </w:rPr>
              <w:t>January 31,</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February 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color w:val="auto"/>
                <w:w w:val="89"/>
              </w:rPr>
              <w:t>January 31,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February 1,</w:t>
            </w:r>
          </w:p>
        </w:tc>
        <w:tc>
          <w:tcPr>
            <w:tcW w:w="120" w:type="dxa"/>
            <w:vAlign w:val="bottom"/>
          </w:tcPr>
          <w:p>
            <w:pPr>
              <w:spacing w:after="0"/>
              <w:rPr>
                <w:sz w:val="17"/>
                <w:szCs w:val="17"/>
                <w:color w:val="auto"/>
              </w:rPr>
            </w:pPr>
          </w:p>
        </w:tc>
      </w:tr>
      <w:tr>
        <w:trPr>
          <w:trHeight w:val="237"/>
        </w:trPr>
        <w:tc>
          <w:tcPr>
            <w:tcW w:w="4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Cash flow hedges: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120" w:type="dxa"/>
            <w:vAlign w:val="bottom"/>
            <w:shd w:val="clear" w:color="auto" w:fill="CCEEFF"/>
          </w:tcPr>
          <w:p>
            <w:pPr>
              <w:spacing w:after="0"/>
              <w:rPr>
                <w:sz w:val="20"/>
                <w:szCs w:val="20"/>
                <w:color w:val="auto"/>
              </w:rPr>
            </w:pP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six-month periods ended January 31, 2014 and February 1, 2013.</w:t>
      </w:r>
    </w:p>
    <w:p>
      <w:pPr>
        <w:spacing w:after="0" w:line="166"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Equity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six months ended January 31, 2014, the Company issued 144,750 shares of its common stock resulting from the vesting of share-based compensation awards and stock option exercises. Related tax withholding payments on certain share-based compensation awards exceeded proceeds received from the exercise of stock options which resulted in a net reduction to shareholders’ equity of $8,446. During the six months ended January 31, 2014, the Company repurchased 120,000 shares of its common stock in the open market at an aggregate cost of $12,473.</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January 31, 2014, total share-based compensation expense was $4,246. The excess tax benefit realized upon exercise of share-based compensation awards was $604.</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six months ended January 31, 2014, the Company paid dividends of $1.50 per share of its common stock. In addition, the Company declared a regular dividend of $0.75 per share of its common stock that was paid on February 5, 2014 to shareholders of record on January 17, 2014.</w:t>
      </w:r>
    </w:p>
    <w:p>
      <w:pPr>
        <w:spacing w:after="0" w:line="17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changes in AOCL, net of tax, related to the Company’s interest rate swaps for the six months ended January 31, 2014 (see Notes 2 and 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Changes in</w:t>
            </w: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AOCL</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AOCL balance at August 2, 2013</w:t>
            </w:r>
          </w:p>
        </w:tc>
        <w:tc>
          <w:tcPr>
            <w:tcW w:w="5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Other comprehensive income before reclassifications</w:t>
            </w: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Amounts reclassified from AOCL</w:t>
            </w:r>
          </w:p>
        </w:tc>
        <w:tc>
          <w:tcPr>
            <w:tcW w:w="5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(2,473)</w:t>
            </w: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net of tax</w:t>
            </w:r>
          </w:p>
        </w:tc>
        <w:tc>
          <w:tcPr>
            <w:tcW w:w="53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January 31, 2014</w:t>
            </w:r>
          </w:p>
        </w:tc>
        <w:tc>
          <w:tcPr>
            <w:tcW w:w="5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380" w:type="dxa"/>
            <w:vAlign w:val="bottom"/>
          </w:tcPr>
          <w:p>
            <w:pPr>
              <w:jc w:val="right"/>
              <w:ind w:right="43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amounts reclassified out of AOCL related to the Company’s interest rate swaps for the quarter and six month-period ended January 31,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7"/>
          </w:tcPr>
          <w:p>
            <w:pPr>
              <w:jc w:val="right"/>
              <w:ind w:right="280"/>
              <w:spacing w:after="0"/>
              <w:rPr>
                <w:sz w:val="20"/>
                <w:szCs w:val="20"/>
                <w:color w:val="auto"/>
              </w:rPr>
            </w:pPr>
            <w:r>
              <w:rPr>
                <w:rFonts w:ascii="Arial" w:cs="Arial" w:eastAsia="Arial" w:hAnsi="Arial"/>
                <w:sz w:val="18"/>
                <w:szCs w:val="18"/>
                <w:color w:val="auto"/>
                <w:w w:val="94"/>
              </w:rPr>
              <w:t>Amount Reclassified from AOCL</w:t>
            </w: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Affected Line Item in the</w:t>
            </w:r>
          </w:p>
        </w:tc>
      </w:tr>
      <w:tr>
        <w:trPr>
          <w:trHeight w:val="250"/>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Quarter Ended</w:t>
            </w:r>
          </w:p>
        </w:tc>
        <w:tc>
          <w:tcPr>
            <w:tcW w:w="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0"/>
              </w:rPr>
              <w:t>Six Months Ended</w:t>
            </w:r>
          </w:p>
        </w:tc>
        <w:tc>
          <w:tcPr>
            <w:tcW w:w="1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88"/>
              </w:rPr>
              <w:t>Condensed Consolidated</w:t>
            </w:r>
          </w:p>
        </w:tc>
      </w:tr>
      <w:tr>
        <w:trPr>
          <w:trHeight w:val="250"/>
        </w:trPr>
        <w:tc>
          <w:tcPr>
            <w:tcW w:w="5180" w:type="dxa"/>
            <w:vAlign w:val="bottom"/>
            <w:gridSpan w:val="3"/>
          </w:tcPr>
          <w:p>
            <w:pPr>
              <w:spacing w:after="0"/>
              <w:rPr>
                <w:sz w:val="20"/>
                <w:szCs w:val="20"/>
                <w:color w:val="auto"/>
              </w:rPr>
            </w:pPr>
            <w:r>
              <w:rPr>
                <w:rFonts w:ascii="Arial" w:cs="Arial" w:eastAsia="Arial" w:hAnsi="Arial"/>
                <w:sz w:val="18"/>
                <w:szCs w:val="18"/>
                <w:color w:val="auto"/>
              </w:rPr>
              <w:t>Details about AOCL</w:t>
            </w: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January 31, 2014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January 31, 2014</w:t>
            </w:r>
          </w:p>
        </w:tc>
        <w:tc>
          <w:tcPr>
            <w:tcW w:w="1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Statement of Income</w:t>
            </w:r>
          </w:p>
        </w:tc>
      </w:tr>
      <w:tr>
        <w:trPr>
          <w:trHeight w:val="216"/>
        </w:trPr>
        <w:tc>
          <w:tcPr>
            <w:tcW w:w="20" w:type="dxa"/>
            <w:vAlign w:val="bottom"/>
          </w:tcPr>
          <w:p>
            <w:pPr>
              <w:spacing w:after="0"/>
              <w:rPr>
                <w:sz w:val="18"/>
                <w:szCs w:val="18"/>
                <w:color w:val="auto"/>
              </w:rPr>
            </w:pPr>
          </w:p>
        </w:tc>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Loss on cash flow hedges: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(1,984)</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(4,026)</w:t>
            </w: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Tax benefit</w:t>
            </w: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c>
          <w:tcPr>
            <w:tcW w:w="3340" w:type="dxa"/>
            <w:vAlign w:val="bottom"/>
          </w:tcPr>
          <w:p>
            <w:pPr>
              <w:spacing w:after="0"/>
              <w:rPr>
                <w:sz w:val="20"/>
                <w:szCs w:val="20"/>
                <w:color w:val="auto"/>
              </w:rPr>
            </w:pPr>
            <w:r>
              <w:rPr>
                <w:rFonts w:ascii="Arial" w:cs="Arial" w:eastAsia="Arial" w:hAnsi="Arial"/>
                <w:sz w:val="18"/>
                <w:szCs w:val="18"/>
                <w:color w:val="auto"/>
              </w:rPr>
              <w:t>Provision for income taxes</w:t>
            </w:r>
          </w:p>
        </w:tc>
      </w:tr>
      <w:tr>
        <w:trPr>
          <w:trHeight w:val="257"/>
        </w:trPr>
        <w:tc>
          <w:tcPr>
            <w:tcW w:w="20" w:type="dxa"/>
            <w:vAlign w:val="bottom"/>
          </w:tcPr>
          <w:p>
            <w:pPr>
              <w:spacing w:after="0"/>
              <w:rPr>
                <w:sz w:val="22"/>
                <w:szCs w:val="22"/>
                <w:color w:val="auto"/>
              </w:rPr>
            </w:pPr>
          </w:p>
        </w:tc>
        <w:tc>
          <w:tcPr>
            <w:tcW w:w="5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of tax</w:t>
            </w:r>
          </w:p>
        </w:tc>
      </w:tr>
    </w:tbl>
    <w:p>
      <w:pPr>
        <w:spacing w:after="0" w:line="225"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88"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at: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r>
      <w:tr>
        <w:trPr>
          <w:trHeight w:val="202"/>
        </w:trPr>
        <w:tc>
          <w:tcPr>
            <w:tcW w:w="36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89"/>
              </w:rPr>
              <w:t>January 31,</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201" w:lineRule="exact"/>
              <w:rPr>
                <w:sz w:val="20"/>
                <w:szCs w:val="20"/>
                <w:color w:val="auto"/>
              </w:rPr>
            </w:pPr>
            <w:r>
              <w:rPr>
                <w:rFonts w:ascii="Arial" w:cs="Arial" w:eastAsia="Arial" w:hAnsi="Arial"/>
                <w:sz w:val="18"/>
                <w:szCs w:val="18"/>
                <w:color w:val="auto"/>
                <w:w w:val="89"/>
              </w:rPr>
              <w:t>January 31,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100" w:type="dxa"/>
            <w:vAlign w:val="bottom"/>
          </w:tcPr>
          <w:p>
            <w:pPr>
              <w:spacing w:after="0"/>
              <w:rPr>
                <w:sz w:val="17"/>
                <w:szCs w:val="17"/>
                <w:color w:val="auto"/>
              </w:rPr>
            </w:pPr>
          </w:p>
        </w:tc>
      </w:tr>
      <w:tr>
        <w:trPr>
          <w:trHeight w:val="237"/>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Revenue: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Restaurant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528,155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1,050,338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1,032,469</w:t>
            </w:r>
          </w:p>
        </w:tc>
      </w:tr>
      <w:tr>
        <w:trPr>
          <w:trHeight w:val="223"/>
        </w:trPr>
        <w:tc>
          <w:tcPr>
            <w:tcW w:w="3600" w:type="dxa"/>
            <w:vAlign w:val="bottom"/>
          </w:tcPr>
          <w:p>
            <w:pPr>
              <w:ind w:left="140"/>
              <w:spacing w:after="0"/>
              <w:rPr>
                <w:sz w:val="20"/>
                <w:szCs w:val="20"/>
                <w:color w:val="auto"/>
              </w:rPr>
            </w:pPr>
            <w:r>
              <w:rPr>
                <w:rFonts w:ascii="Arial" w:cs="Arial" w:eastAsia="Arial" w:hAnsi="Arial"/>
                <w:sz w:val="18"/>
                <w:szCs w:val="18"/>
                <w:color w:val="auto"/>
              </w:rPr>
              <w:t>Retail</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170,100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174,516</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297,294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297,653</w:t>
            </w:r>
          </w:p>
        </w:tc>
      </w:tr>
      <w:tr>
        <w:trPr>
          <w:trHeight w:val="257"/>
        </w:trPr>
        <w:tc>
          <w:tcPr>
            <w:tcW w:w="3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698,491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702,671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1,330,122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60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January 31,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201" w:lineRule="exact"/>
              <w:rPr>
                <w:sz w:val="20"/>
                <w:szCs w:val="20"/>
                <w:color w:val="auto"/>
              </w:rPr>
            </w:pPr>
            <w:r>
              <w:rPr>
                <w:rFonts w:ascii="Arial" w:cs="Arial" w:eastAsia="Arial" w:hAnsi="Arial"/>
                <w:sz w:val="18"/>
                <w:szCs w:val="18"/>
                <w:color w:val="auto"/>
                <w:w w:val="89"/>
              </w:rPr>
              <w:t>January 31,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60" w:type="dxa"/>
            <w:vAlign w:val="bottom"/>
            <w:vMerge w:val="restart"/>
          </w:tcPr>
          <w:p>
            <w:pPr>
              <w:jc w:val="right"/>
              <w:ind w:right="219"/>
              <w:spacing w:after="0"/>
              <w:rPr>
                <w:sz w:val="20"/>
                <w:szCs w:val="20"/>
                <w:color w:val="auto"/>
              </w:rPr>
            </w:pPr>
            <w:r>
              <w:rPr>
                <w:rFonts w:ascii="Arial" w:cs="Arial" w:eastAsia="Arial" w:hAnsi="Arial"/>
                <w:sz w:val="14"/>
                <w:szCs w:val="14"/>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Company’s outstanding stock options, nonvested stock awards and MSU Grants issued by the Company represent the only dilutive effects on diluted consolidated net income per share.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components of diluted earnings per share computations: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January 31,</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89"/>
              </w:rPr>
              <w:t>January 31,</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35,168</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23,812,777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23,711,235</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23,815,107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23,644,405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potential dilution: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Stock options, nonvested stock awards and MSU Grants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234,001</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132,743</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222,026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23,970,611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23,945,236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23,947,850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23,866,431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January 31, 2014, the Company had $20,637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January 31, 2014, the Company is secondarily liable for lease payments associated with two properties. The Company is not aware of any non-performance under these lease arrangements that would result in the Company having to perform in accordance with the terms of those guarantees; and therefore, no provision has been recorded in the Condensed Consolidated Balance Sheets for amounts to be paid in case of non-performance by the third parties.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At January 31, 2014, the Company recorded a liability of $354 in the Condensed Consolidated Balance Sheet related to legal costs. The Company believes that the probability of incurring an actual liability under other indemnification agreements is sufficiently remote so that no additional liability has been recorded in the Condensed Consolidated Balance Sheets.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Cracker Barrel Old Country Store, Inc. and its subsidiaries (collectively, the “Company,” “our” or “we”) are principally engaged in the operation and development in the United States of the Cracker Barrel Old Country StoreÒ (“Cracker Barrel”) concept. At January 31, 2014, we operated 625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1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August 2, 2013 (the “2013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those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2013 Form 10-K, which is incorporated herein by this reference, as well as the factors described under “Critical Accounting Estimates” on pages 22-25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and do not intend,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Management believes that the Cracker Barrel brand remains one of the strongest and most differentiated brands in the restaurant industry, and we plan to leverage that strength in 2014 to grow guest sales and profits.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five priorities for 2014 are to:</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 on our menu, continuing to incorporate better-for-you menu additions and reinforce everyday value;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messaging in support of the brand, menu and merchandise;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Drive retail sales with improved quality and breadth of our merchandise assortment;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Apply technology and process enhancements to improve the employee experience, the guest experience and operating margins;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focus on increasing total shareholder returns.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maintained our focus on the execution of these priorities. In the second quarter of 2014, we introduced several new promotional menu items and continued our messaging to support the brand through the national television, local radio and digital channels. We also outperformed traffic and sales of our peers in the Knapp-Track™ Casual Dining Index for the ninth consecutive quarter, despite a challenging consumer environment and severe winter weather, which negatively impacted our store traffic and sales. Despite these challenges, we were able to control costs and improve our operating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highlights operating results by percentage relationships to total revenue for the quarter and six-month period ended January 31, 2014 as compared to the same periods in the prior year:</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720" w:type="dxa"/>
            <w:vAlign w:val="bottom"/>
            <w:gridSpan w:val="4"/>
          </w:tcPr>
          <w:p>
            <w:pPr>
              <w:jc w:val="right"/>
              <w:ind w:right="980"/>
              <w:spacing w:after="0"/>
              <w:rPr>
                <w:sz w:val="20"/>
                <w:szCs w:val="20"/>
                <w:color w:val="auto"/>
              </w:rPr>
            </w:pPr>
            <w:r>
              <w:rPr>
                <w:rFonts w:ascii="Arial" w:cs="Arial" w:eastAsia="Arial" w:hAnsi="Arial"/>
                <w:sz w:val="18"/>
                <w:szCs w:val="18"/>
                <w:color w:val="auto"/>
              </w:rPr>
              <w:t>Quarter Ended</w:t>
            </w:r>
          </w:p>
        </w:tc>
        <w:tc>
          <w:tcPr>
            <w:tcW w:w="2740" w:type="dxa"/>
            <w:vAlign w:val="bottom"/>
            <w:gridSpan w:val="4"/>
          </w:tcPr>
          <w:p>
            <w:pPr>
              <w:jc w:val="right"/>
              <w:ind w:right="800"/>
              <w:spacing w:after="0"/>
              <w:rPr>
                <w:sz w:val="20"/>
                <w:szCs w:val="20"/>
                <w:color w:val="auto"/>
              </w:rPr>
            </w:pPr>
            <w:r>
              <w:rPr>
                <w:rFonts w:ascii="Arial" w:cs="Arial" w:eastAsia="Arial" w:hAnsi="Arial"/>
                <w:sz w:val="18"/>
                <w:szCs w:val="18"/>
                <w:color w:val="auto"/>
              </w:rPr>
              <w:t>Six Months Ended</w:t>
            </w: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99"/>
              </w:rPr>
              <w:t>January 31,</w:t>
            </w:r>
          </w:p>
        </w:tc>
        <w:tc>
          <w:tcPr>
            <w:tcW w:w="11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February 1,</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40"/>
              <w:spacing w:after="0" w:line="201" w:lineRule="exact"/>
              <w:rPr>
                <w:sz w:val="20"/>
                <w:szCs w:val="20"/>
                <w:color w:val="auto"/>
              </w:rPr>
            </w:pPr>
            <w:r>
              <w:rPr>
                <w:rFonts w:ascii="Arial" w:cs="Arial" w:eastAsia="Arial" w:hAnsi="Arial"/>
                <w:sz w:val="18"/>
                <w:szCs w:val="18"/>
                <w:color w:val="auto"/>
                <w:w w:val="99"/>
              </w:rPr>
              <w:t>January 31,</w:t>
            </w:r>
          </w:p>
        </w:tc>
        <w:tc>
          <w:tcPr>
            <w:tcW w:w="116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February 1,</w:t>
            </w:r>
          </w:p>
        </w:tc>
        <w:tc>
          <w:tcPr>
            <w:tcW w:w="1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number of stores in operation at the beginning and end of the quarters and six-month periods ended January 31, 2014 and February 1, 2013,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Quarter Ended</w:t>
            </w:r>
          </w:p>
        </w:tc>
        <w:tc>
          <w:tcPr>
            <w:tcW w:w="22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11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Pr>
          <w:p>
            <w:pPr>
              <w:jc w:val="right"/>
              <w:ind w:right="73"/>
              <w:spacing w:after="0" w:line="201" w:lineRule="exact"/>
              <w:rPr>
                <w:sz w:val="20"/>
                <w:szCs w:val="20"/>
                <w:color w:val="auto"/>
              </w:rPr>
            </w:pPr>
            <w:r>
              <w:rPr>
                <w:rFonts w:ascii="Arial" w:cs="Arial" w:eastAsia="Arial" w:hAnsi="Arial"/>
                <w:sz w:val="18"/>
                <w:szCs w:val="18"/>
                <w:color w:val="auto"/>
              </w:rPr>
              <w:t>January 31,</w:t>
            </w:r>
          </w:p>
        </w:tc>
        <w:tc>
          <w:tcPr>
            <w:tcW w:w="180" w:type="dxa"/>
            <w:vAlign w:val="bottom"/>
          </w:tcPr>
          <w:p>
            <w:pPr>
              <w:spacing w:after="0"/>
              <w:rPr>
                <w:sz w:val="17"/>
                <w:szCs w:val="17"/>
                <w:color w:val="auto"/>
              </w:rPr>
            </w:pPr>
          </w:p>
        </w:tc>
        <w:tc>
          <w:tcPr>
            <w:tcW w:w="11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February 1,</w:t>
            </w:r>
          </w:p>
        </w:tc>
        <w:tc>
          <w:tcPr>
            <w:tcW w:w="220" w:type="dxa"/>
            <w:vAlign w:val="bottom"/>
          </w:tcPr>
          <w:p>
            <w:pPr>
              <w:spacing w:after="0"/>
              <w:rPr>
                <w:sz w:val="17"/>
                <w:szCs w:val="17"/>
                <w:color w:val="auto"/>
              </w:rPr>
            </w:pPr>
          </w:p>
        </w:tc>
        <w:tc>
          <w:tcPr>
            <w:tcW w:w="11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January 31,</w:t>
            </w:r>
          </w:p>
        </w:tc>
        <w:tc>
          <w:tcPr>
            <w:tcW w:w="220" w:type="dxa"/>
            <w:vAlign w:val="bottom"/>
          </w:tcPr>
          <w:p>
            <w:pPr>
              <w:spacing w:after="0"/>
              <w:rPr>
                <w:sz w:val="17"/>
                <w:szCs w:val="17"/>
                <w:color w:val="auto"/>
              </w:rPr>
            </w:pPr>
          </w:p>
        </w:tc>
        <w:tc>
          <w:tcPr>
            <w:tcW w:w="11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February 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7"/>
        </w:trPr>
        <w:tc>
          <w:tcPr>
            <w:tcW w:w="1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140" w:type="dxa"/>
            <w:vAlign w:val="bottom"/>
          </w:tcPr>
          <w:p>
            <w:pPr>
              <w:jc w:val="right"/>
              <w:ind w:right="313"/>
              <w:spacing w:after="0"/>
              <w:rPr>
                <w:sz w:val="20"/>
                <w:szCs w:val="20"/>
                <w:color w:val="auto"/>
              </w:rPr>
            </w:pPr>
            <w:r>
              <w:rPr>
                <w:rFonts w:ascii="Arial" w:cs="Arial" w:eastAsia="Arial" w:hAnsi="Arial"/>
                <w:sz w:val="18"/>
                <w:szCs w:val="18"/>
                <w:color w:val="auto"/>
              </w:rPr>
              <w:t>2014</w:t>
            </w:r>
          </w:p>
        </w:tc>
        <w:tc>
          <w:tcPr>
            <w:tcW w:w="1320" w:type="dxa"/>
            <w:vAlign w:val="bottom"/>
            <w:gridSpan w:val="2"/>
          </w:tcPr>
          <w:p>
            <w:pPr>
              <w:jc w:val="right"/>
              <w:ind w:right="310"/>
              <w:spacing w:after="0"/>
              <w:rPr>
                <w:sz w:val="20"/>
                <w:szCs w:val="20"/>
                <w:color w:val="auto"/>
              </w:rPr>
            </w:pPr>
            <w:r>
              <w:rPr>
                <w:rFonts w:ascii="Arial" w:cs="Arial" w:eastAsia="Arial" w:hAnsi="Arial"/>
                <w:sz w:val="18"/>
                <w:szCs w:val="18"/>
                <w:color w:val="auto"/>
              </w:rPr>
              <w:t>2013</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2014</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period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Opened during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 at the end of period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589"/>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revenue for the second quarter of 2014 decreased 0.6% compared to the second quarter of 2013. Total revenue for the first six months of 2014 increased 1.3% compared to the first six months of 2013.</w:t>
      </w:r>
    </w:p>
    <w:p>
      <w:pPr>
        <w:spacing w:after="0" w:line="197" w:lineRule="exact"/>
        <w:rPr>
          <w:sz w:val="20"/>
          <w:szCs w:val="20"/>
          <w:color w:val="auto"/>
        </w:rPr>
      </w:pPr>
    </w:p>
    <w:p>
      <w:pPr>
        <w:jc w:val="both"/>
        <w:ind w:right="20" w:firstLine="661"/>
        <w:spacing w:after="0" w:line="277" w:lineRule="auto"/>
        <w:rPr>
          <w:sz w:val="20"/>
          <w:szCs w:val="20"/>
          <w:color w:val="auto"/>
        </w:rPr>
      </w:pPr>
      <w:r>
        <w:rPr>
          <w:rFonts w:ascii="Arial" w:cs="Arial" w:eastAsia="Arial" w:hAnsi="Arial"/>
          <w:sz w:val="18"/>
          <w:szCs w:val="18"/>
          <w:color w:val="auto"/>
        </w:rPr>
        <w:t>The following table highlights the key components of revenue for the quarter and six-month period ended January 31, 2014 as compared to the quarter and six-month period ended February 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jc w:val="right"/>
              <w:ind w:right="980"/>
              <w:spacing w:after="0"/>
              <w:rPr>
                <w:sz w:val="20"/>
                <w:szCs w:val="20"/>
                <w:color w:val="auto"/>
              </w:rPr>
            </w:pPr>
            <w:r>
              <w:rPr>
                <w:rFonts w:ascii="Arial" w:cs="Arial" w:eastAsia="Arial" w:hAnsi="Arial"/>
                <w:sz w:val="18"/>
                <w:szCs w:val="18"/>
                <w:color w:val="auto"/>
              </w:rPr>
              <w:t>Quarter Ended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6"/>
          </w:tcPr>
          <w:p>
            <w:pPr>
              <w:jc w:val="right"/>
              <w:ind w:right="7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w w:val="89"/>
              </w:rPr>
              <w:t>January 31,</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February 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w w:val="89"/>
              </w:rPr>
              <w:t>January 31,</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528,391</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528,155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1,050,338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1,032,469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170,100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174,516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297,294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297,653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698,491</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702,671</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1,347,632</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1,330,122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845.4</w:t>
            </w:r>
          </w:p>
        </w:tc>
        <w:tc>
          <w:tcPr>
            <w:tcW w:w="2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850.5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1,681.5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2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1,117.6</w:t>
            </w:r>
          </w:p>
        </w:tc>
        <w:tc>
          <w:tcPr>
            <w:tcW w:w="2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1,131.5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2,157.4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2,145.9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(decrease) increase: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460"/>
              <w:spacing w:after="0"/>
              <w:rPr>
                <w:sz w:val="20"/>
                <w:szCs w:val="20"/>
                <w:color w:val="auto"/>
              </w:rPr>
            </w:pPr>
            <w:r>
              <w:rPr>
                <w:rFonts w:ascii="Arial" w:cs="Arial" w:eastAsia="Arial" w:hAnsi="Arial"/>
                <w:sz w:val="18"/>
                <w:szCs w:val="18"/>
                <w:color w:val="auto"/>
              </w:rPr>
              <w:t>Restaurant and retail</w:t>
            </w:r>
          </w:p>
        </w:tc>
        <w:tc>
          <w:tcPr>
            <w:tcW w:w="1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Average unit volumes include sales of all stores.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second quarter of 2014, our comparable store restaurant sales decrease consisted of a 2.9% guest traffic decrease partially offset by a 2.3% average check increase for the quarter (including a 1.8% average menu price increase). For the second quarter of 2014, our comparable store retail sales decrease resulted primarily from the decrease in guest traffic. We believe that severe winter weather had a negative impact on comparable store traffic and restaurant and retail sales of approximately 2.5% for the second quarter of 2014.</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first six months of 2014, our comparable store restaurant sales increase consisted of a 2.6% average check increase for the six months (including a 2.1% average menu price increase) partially offset by a 1.6% guest traffic decrease. For the first six months of 2014, our comparable store retail sales decrease resulted primarily from the decrease in guest traffic. We believe that severe winter weather had a negative impact on comparable store traffic and restaurant and retail sales of approximately 1.2% for the first six months of 2014. Restaurant and retail sales from newly opened stores accounted for the balance of the total revenue increase in the first six months of 2014 as compared to the same period in the prior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ind w:right="20"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in dollar amounts and percentages for the second quarter and first six months of 2014 as compared to the same periods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5"/>
          </w:tcPr>
          <w:p>
            <w:pPr>
              <w:jc w:val="right"/>
              <w:ind w:right="104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580" w:type="dxa"/>
            <w:vAlign w:val="bottom"/>
            <w:gridSpan w:val="6"/>
          </w:tcPr>
          <w:p>
            <w:pPr>
              <w:ind w:left="480"/>
              <w:spacing w:after="0"/>
              <w:rPr>
                <w:sz w:val="20"/>
                <w:szCs w:val="20"/>
                <w:color w:val="auto"/>
              </w:rPr>
            </w:pPr>
            <w:r>
              <w:rPr>
                <w:rFonts w:ascii="Arial" w:cs="Arial" w:eastAsia="Arial" w:hAnsi="Arial"/>
                <w:sz w:val="18"/>
                <w:szCs w:val="18"/>
                <w:color w:val="auto"/>
              </w:rPr>
              <w:t>Six Months Ended</w:t>
            </w:r>
          </w:p>
        </w:tc>
      </w:tr>
      <w:tr>
        <w:trPr>
          <w:trHeight w:val="202"/>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January 31,</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February 1,</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January 31,</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February 1,</w:t>
            </w:r>
          </w:p>
        </w:tc>
        <w:tc>
          <w:tcPr>
            <w:tcW w:w="160" w:type="dxa"/>
            <w:vAlign w:val="bottom"/>
          </w:tcPr>
          <w:p>
            <w:pPr>
              <w:spacing w:after="0"/>
              <w:rPr>
                <w:sz w:val="17"/>
                <w:szCs w:val="17"/>
                <w:color w:val="auto"/>
              </w:rPr>
            </w:pPr>
          </w:p>
        </w:tc>
      </w:t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Restaurant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148,382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290,978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281,521</w:t>
            </w:r>
          </w:p>
        </w:tc>
      </w:tr>
      <w:tr>
        <w:trPr>
          <w:trHeight w:val="223"/>
        </w:trPr>
        <w:tc>
          <w:tcPr>
            <w:tcW w:w="4060" w:type="dxa"/>
            <w:vAlign w:val="bottom"/>
          </w:tcPr>
          <w:p>
            <w:pPr>
              <w:ind w:left="140"/>
              <w:spacing w:after="0"/>
              <w:rPr>
                <w:sz w:val="20"/>
                <w:szCs w:val="20"/>
                <w:color w:val="auto"/>
              </w:rPr>
            </w:pPr>
            <w:r>
              <w:rPr>
                <w:rFonts w:ascii="Arial" w:cs="Arial" w:eastAsia="Arial" w:hAnsi="Arial"/>
                <w:sz w:val="18"/>
                <w:szCs w:val="18"/>
                <w:color w:val="auto"/>
              </w:rPr>
              <w:t>Retail</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94,633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97,849</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157,966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160,524</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243,015</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244,187</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442,045</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Restaurant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00" w:type="dxa"/>
            <w:vAlign w:val="bottom"/>
          </w:tcPr>
          <w:p>
            <w:pPr>
              <w:ind w:left="140"/>
              <w:spacing w:after="0"/>
              <w:rPr>
                <w:sz w:val="20"/>
                <w:szCs w:val="20"/>
                <w:color w:val="auto"/>
              </w:rPr>
            </w:pPr>
            <w:r>
              <w:rPr>
                <w:rFonts w:ascii="Arial" w:cs="Arial" w:eastAsia="Arial" w:hAnsi="Arial"/>
                <w:sz w:val="18"/>
                <w:szCs w:val="18"/>
                <w:color w:val="auto"/>
              </w:rPr>
              <w:t>Retail</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55.6%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53.9%</w:t>
            </w:r>
          </w:p>
        </w:tc>
      </w:tr>
      <w:tr>
        <w:trPr>
          <w:trHeight w:val="21"/>
        </w:trPr>
        <w:tc>
          <w:tcPr>
            <w:tcW w:w="5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increase in restaurant cost of goods sold as a percentage of restaurant revenue in the second quarter of 2014 as compared to the second quarter of 2013 was primarily the result of food commodity inflation, a shift to higher cost menu items and higher food waste partially offset by our menu price increase referenced above. Higher cost menu items and higher food waste each accounted for increases of 0.2% in restaurant cost of goods sold as a percentage of restaurant revenue. We believe that the increase in food waste resulted from the severe winter weather, which increased the difficulty for our store managers in accurately forecasting food production requirements. Commodity inflation was 1.7% in the second quarter of 2014.</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restaurant cost of goods sold as a percentage of restaurant revenue in the first six months of 2014 as compared to the first six months of 2013 was primarily the result of food commodity inflation and a shift to higher cost menu items partially offset by our menu price increase referenced above. Higher cost menu items accounted for a 0.3% increase in restaurant cost of goods sold as a percentage of restaurant revenue. Commodity inflation was 2.8% in the first six months of 2014.</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the rate of commodity inflation to be approximately 2% for 2014.</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decrease in retail cost of goods sold as a percentage of retail revenue in the second quarter of 2014 as compared to the prior year quarter resulted primarily from higher initial margin and lower shrinkage, freight and damages and vendor allowances partially offset by higher markdowns.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Second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(Decrease) Increase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160" w:type="dxa"/>
            <w:vAlign w:val="bottom"/>
            <w:gridSpan w:val="3"/>
          </w:tcPr>
          <w:p>
            <w:pPr>
              <w:jc w:val="center"/>
              <w:ind w:left="2390"/>
              <w:spacing w:after="0"/>
              <w:rPr>
                <w:sz w:val="20"/>
                <w:szCs w:val="20"/>
                <w:color w:val="auto"/>
              </w:rPr>
            </w:pPr>
            <w:r>
              <w:rPr>
                <w:rFonts w:ascii="Arial" w:cs="Arial" w:eastAsia="Arial" w:hAnsi="Arial"/>
                <w:sz w:val="18"/>
                <w:szCs w:val="18"/>
                <w:color w:val="auto"/>
                <w:w w:val="88"/>
              </w:rPr>
              <w:t>Percentage of Retail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Higher initial margin</w:t>
            </w:r>
          </w:p>
        </w:tc>
        <w:tc>
          <w:tcPr>
            <w:tcW w:w="27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Retail inventory shrinkage</w:t>
            </w:r>
          </w:p>
        </w:tc>
        <w:tc>
          <w:tcPr>
            <w:tcW w:w="516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5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Damages and vendor allowances</w:t>
            </w:r>
          </w:p>
        </w:tc>
        <w:tc>
          <w:tcPr>
            <w:tcW w:w="516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5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retail cost of goods sold as a percentage of retail revenue in the first six months of 2014 as compared to the first six months of 2013 resulted from lower freight and shrinkage.</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Six Month Period</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5280" w:type="dxa"/>
            <w:vAlign w:val="bottom"/>
            <w:gridSpan w:val="3"/>
          </w:tcPr>
          <w:p>
            <w:pPr>
              <w:jc w:val="center"/>
              <w:ind w:left="2730"/>
              <w:spacing w:after="0"/>
              <w:rPr>
                <w:sz w:val="20"/>
                <w:szCs w:val="20"/>
                <w:color w:val="auto"/>
              </w:rPr>
            </w:pPr>
            <w:r>
              <w:rPr>
                <w:rFonts w:ascii="Arial" w:cs="Arial" w:eastAsia="Arial" w:hAnsi="Arial"/>
                <w:sz w:val="18"/>
                <w:szCs w:val="18"/>
                <w:color w:val="auto"/>
                <w:w w:val="86"/>
              </w:rPr>
              <w:t>(Decrease) as a Percentage</w:t>
            </w: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Retail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30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Retail inventory shrinkage</w:t>
            </w:r>
          </w:p>
        </w:tc>
        <w:tc>
          <w:tcPr>
            <w:tcW w:w="528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Labor and related expenses as a percentage of total revenue decreased to 34.2% in the second quarter of 2014 as compared to 34.8% in the second quarter of 2013. This percentage change resulted primarily from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Second Quarter</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(Decrease) Increase as a</w:t>
            </w: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Store incentive compensation expense</w:t>
            </w:r>
          </w:p>
        </w:tc>
        <w:tc>
          <w:tcPr>
            <w:tcW w:w="40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Employee health care expenses</w:t>
            </w:r>
          </w:p>
        </w:tc>
        <w:tc>
          <w:tcPr>
            <w:tcW w:w="638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Store management compensation</w:t>
            </w:r>
          </w:p>
        </w:tc>
        <w:tc>
          <w:tcPr>
            <w:tcW w:w="6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r>
      <w:tr>
        <w:trPr>
          <w:trHeight w:val="596"/>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40" w:type="dxa"/>
            <w:vAlign w:val="bottom"/>
          </w:tcPr>
          <w:p>
            <w:pPr>
              <w:jc w:val="right"/>
              <w:ind w:right="2656"/>
              <w:spacing w:after="0"/>
              <w:rPr>
                <w:sz w:val="20"/>
                <w:szCs w:val="20"/>
                <w:color w:val="auto"/>
              </w:rPr>
            </w:pPr>
            <w:r>
              <w:rPr>
                <w:rFonts w:ascii="Arial" w:cs="Arial" w:eastAsia="Arial" w:hAnsi="Arial"/>
                <w:sz w:val="14"/>
                <w:szCs w:val="14"/>
                <w:color w:val="auto"/>
              </w:rPr>
              <w:t>17</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Labor and related expenses as a percentage of total revenue decreased to 35.3% in the first six months of 2014 as compared to 35.9% in the first six months of 2013. This percentage change resulted from the following:</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Six Month Period</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(Decrease) Increase as a</w:t>
            </w: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Employee health care expenses</w:t>
            </w:r>
          </w:p>
        </w:tc>
        <w:tc>
          <w:tcPr>
            <w:tcW w:w="26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Store incentive compensation expense</w:t>
            </w:r>
          </w:p>
        </w:tc>
        <w:tc>
          <w:tcPr>
            <w:tcW w:w="494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4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Store management compensation</w:t>
            </w:r>
          </w:p>
        </w:tc>
        <w:tc>
          <w:tcPr>
            <w:tcW w:w="494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decreases in store incentive compensation expense as a percentage of total revenue for the second quarter and first six months of 2014 as compared to the same periods in the prior year reflected lower performance against financial objectives in 2014 as compared to the prior year.</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Through December 31, 2013, a significant portion of our health insurance program was self-insured. Effective January 1, 2014, with the exception of our prescription drug program, our health insurance is fully insured. The fully-insured portion of our health insurance program contains a retrospective feature which could increase or decrease premiums based on actual claims experience. The decrease in our employee health care expenses in the second quarter and first six months of 2014 as compared to the same periods in the prior year resulted primarily from our recording receivables of approximately $800 in the first quarter of 2014 and $3,400 in the second quarter of 2014 for reimbursement of certain health care premiums related to the plan year ending December 31, 2013.</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increases in store management compensation expense for the second quarter and first six months of 2014 as compared to the same periods in the prior year resulted primarily from higher staffing levels.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decrease in store hourly costs as a percentage of total revenue for the first six months of 2014 as compared to the first six months of 2013 resulted from menu price increases being higher than wage inflation and improved productivity.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store manager conference.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18.3% in the second quarter of 2014 as compared to 17.4% in the second quarter of 2013. This percentage change resulted primarily from the following:</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Second Quarter</w:t>
            </w: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Increase as a Percentage</w:t>
            </w:r>
          </w:p>
        </w:tc>
      </w:tr>
      <w:tr>
        <w:trPr>
          <w:trHeight w:val="237"/>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Utilities expense</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Advertising expense</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Supplies expense</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18.8% in the first six months of 2014 as compared to 18.0% in the first six months of 2013. This percentage change resulted primarily from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Six Month Period</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Increase as a Percentage</w:t>
            </w: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w:t>
            </w:r>
          </w:p>
        </w:tc>
        <w:tc>
          <w:tcPr>
            <w:tcW w:w="4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Store manager conference expense</w:t>
            </w:r>
          </w:p>
        </w:tc>
        <w:tc>
          <w:tcPr>
            <w:tcW w:w="650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6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Utilities</w:t>
            </w:r>
          </w:p>
        </w:tc>
        <w:tc>
          <w:tcPr>
            <w:tcW w:w="650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20"/>
                <w:szCs w:val="20"/>
                <w:color w:val="auto"/>
              </w:rPr>
            </w:pPr>
          </w:p>
        </w:tc>
      </w:tr>
      <w:tr>
        <w:trPr>
          <w:trHeight w:val="581"/>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500" w:type="dxa"/>
            <w:vAlign w:val="bottom"/>
          </w:tcPr>
          <w:p>
            <w:pPr>
              <w:jc w:val="right"/>
              <w:ind w:right="2994"/>
              <w:spacing w:after="0"/>
              <w:rPr>
                <w:sz w:val="20"/>
                <w:szCs w:val="20"/>
                <w:color w:val="auto"/>
              </w:rPr>
            </w:pPr>
            <w:r>
              <w:rPr>
                <w:rFonts w:ascii="Arial" w:cs="Arial" w:eastAsia="Arial" w:hAnsi="Arial"/>
                <w:sz w:val="14"/>
                <w:szCs w:val="14"/>
                <w:color w:val="auto"/>
              </w:rPr>
              <w:t>18</w:t>
            </w: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increases in utilities expense as a percentage of total revenue for the second quarter and first six months of 2014 as compared to the same periods in the prior year resulted primarily from higher heating costs due to the unseasonably cold weather experienced at many of our store locations in 2014.</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increases in advertising expense as a percentage of total revenue for the second quarter and first six months of 2014 as compared to the same periods in the prior year resulted primarily from higher media spending. We expect our advertising expense for 2014 to be approximately the same percentage of total revenue as in 2013.</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supplies expense as a percentage of total revenue for the second quarter of 2014 as compared to the same period in the prior year resulted primarily from increases in to-go packaging and smallwares partially offset by a decline in paper costs.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maintenance expense as a percentage of total revenue for the first six months of 2014 as compared to the same period in the prior year resulted primarily from expenses associated with the inspection, preventative maintenance and related repair of certain building components and kitchen equipment and higher lighting costs.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first quarter of 2014, we held a manager conference which was attended by our store operations management team. The last such conference was held during the first quarter of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decreased to 4.3% in the second quarter of 2014 as compared to 4.9% in the second quarter of 2013. This percentage change resulted primarily from lower incentive compensation expense.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decreased to 5.0% in the first six months of 2014 as compared to 5.2% in the first six months of 2013. This percentage change resulted primarily from the following:</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Second Quarter</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360" w:type="dxa"/>
            <w:vAlign w:val="bottom"/>
            <w:gridSpan w:val="3"/>
          </w:tcPr>
          <w:p>
            <w:pPr>
              <w:jc w:val="center"/>
              <w:ind w:left="2850"/>
              <w:spacing w:after="0"/>
              <w:rPr>
                <w:sz w:val="20"/>
                <w:szCs w:val="20"/>
                <w:color w:val="auto"/>
              </w:rPr>
            </w:pPr>
            <w:r>
              <w:rPr>
                <w:rFonts w:ascii="Arial" w:cs="Arial" w:eastAsia="Arial" w:hAnsi="Arial"/>
                <w:sz w:val="18"/>
                <w:szCs w:val="18"/>
                <w:color w:val="auto"/>
                <w:w w:val="86"/>
              </w:rPr>
              <w:t>(Decrease) as a Percentage</w:t>
            </w: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of Total Revenue</w:t>
            </w: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w:t>
            </w:r>
          </w:p>
        </w:tc>
        <w:tc>
          <w:tcPr>
            <w:tcW w:w="32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Severance expense</w:t>
            </w:r>
          </w:p>
        </w:tc>
        <w:tc>
          <w:tcPr>
            <w:tcW w:w="536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Lower incentive compensation in the second quarter and first six months of 2014 as compared to the same periods in the prior year resulted primarily from lower performance against financial objectives as compared to the prior year and a decrease in the price of our common stock in 2014.</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six months of 2014 and 2013, we incurred proxy contest expenses of $3,200 and $4,111, respectively. We currently expect to incur additional proxy contest expenses of approximately $1,000 to $1,500 in the third quarter of 2014 related to the special shareholders meeting which is planned to be held in April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expense for the second quarter of 2014 was $4,471 as compared to $10,293 in the second quarter of 2013. Interest expense for the first six months of 2014 was $8,878 as compared to $21,005 in the first six months of 2013. Both decreases resulted from lower debt outstanding and lower interest rates because of a reduction in our credit spread and expiration of our seven-year interest rate swap on May 3, 2013, which had a fixed interest rate of 5.57% plus our credit spread. We presently expect interest expense for 2014 to be approximately $16,000 to $18,000.</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Provision for income taxes as a percentage of income before income taxes (the “effective tax rate”) was 31.7% and 25.0%, respectively, in the second quarters of 2014 and 2013. The effective tax rate was 31.7% and 28.4%, respectively, in the first six months of 2014 and 2013. The increases in the effective tax rate from the second quarter and first six months of 2013 to the second quarter and first six months of 2014 resulted primarily from the retroactive extension and subsequent expiration of the Work Opportunity Tax Credit. We presently expect our effective tax rate for 2014 to be between 31% and 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primary sources of liquidity are cash generated from our operations and our borrowing capacity under our $500,000 revolving credit facility (the “Revolving Credit Facility”). Our internally generated cash, along with cash on hand at August 2, 2013, was sufficient to finance all of our growth, dividend payments, share repurchases, working capital needs and other cash payment obligations in the first six months of 2014.</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January 31, 2014, along with cash generated from our operating activities and the borrowing capacity under our Revolving Credit Facility will be sufficient to finance our continuing operations, our continuing expansion plans, our share repurchase plans and our expected dividend payments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Generated From Operations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operating activities provided net cash of $62,905 for the first six months of 2014, which represented a decrease from the $80,980 net cash provided during the first six months of 2013. This decrease primarily reflected the timing of payments for accounts payable and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$750,000 credit facility (the “Credit Facility”) consists of a term loan (aggregate outstanding at January 31, 2014 was $187,500) and our Revolving Credit Facility. At January 31, 2014, we had $212,500 of outstanding borrowings under the Revolving Credit Facility and we had $20,637 of standby letters of credit related to securing reserved claims under workers’ compensation insurance which reduce our borrowing availability under the Revolving Credit Facility. At January 31, 2014, we had $266,863 in borrowing availability under our Revolving Credit Facility. See Note 4 to our Condensed Consolidated Financial Statements for further information on our long-term debt.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Facility contains customary financial covenants, which include maintenance of a maximum consolidated total leverage ratio and a minimum consolidated interest coverage ratio. We presently are in compliance with the Credit Facility’s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firstLine="735"/>
        <w:spacing w:after="0" w:line="290" w:lineRule="auto"/>
        <w:rPr>
          <w:sz w:val="20"/>
          <w:szCs w:val="20"/>
          <w:color w:val="auto"/>
        </w:rPr>
      </w:pPr>
      <w:r>
        <w:rPr>
          <w:rFonts w:ascii="Arial" w:cs="Arial" w:eastAsia="Arial" w:hAnsi="Arial"/>
          <w:sz w:val="16"/>
          <w:szCs w:val="16"/>
          <w:color w:val="auto"/>
        </w:rPr>
        <w:t>Capital expenditures (purchase of property and equipment) net of proceeds from insurance recoveries were $38,468 for the first six months of 2014 as compared to $29,329 for the same period in the prior year. Our capital expenditures consisted primarily of capital expenditures for maintenance programs and costs of new store locations. The increase in capital expenditures in the first six months of 2014 as compared to the prior year is primarily the result of higher maintenance capital expenditures and an increase in the number of new locations acquired and under construction. We estimate that our capital expenditures during 2014 will be between $90,000 and $100,000. This estimate includes the acquisition of sites and construction costs of approximately seven new stores that have opened or are expected to open during 2014, as well as for acquisition and construction costs for store locations to be opened in 2015. In 2014, we also expect to increase capital expenditures for maintenance programs, technology and operations improvements. We intend to fund our capital expenditures with cash flows from operations and borrowings under our Revolving Credit Facility, as necessary.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Credit Facility imposes restrictions on the amount of dividends we are permitted to pay and the amount of shares we are permitted to repurchase. Provided there is no default existing and the total of our availability under the Revolving Credit Facility plus our cash and cash equivalents on hand is at least $100,000 (the “liquidity requirements”), we may declare and pay cash dividends on shares of our common stock and repurchase shares of our common stock if the aggregate amount of dividends paid and shares repurchased during any fiscal year is less than the sum of (1) 20% of Consolidated EBITDA from continuing operations (as defined in the Credit Facility) (the “20% limitation”) during the immediately preceding fiscal year and (2) provided our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six months of 2014, we paid dividends of $1.50 per share. During the second quarter of 2014, we declared a dividend of $0.75 per share that was paid on February 5, 2014 to shareholders of record on January 17, 2014.</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authorized by our Board of Directors to repurchase shares at management’s discretion up to $50,000 during 2014. During the first six months of 2014, we repurchased 120,000 shares of our common stock in the open market at an aggregate cost of $12,473.</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six months of 2014, we issued 144,750 shares of our common stock resulting from the vesting of share-based compensation awards and stock option exercises. Related tax withholding payments on certain share-based compensation awards exceeded proceeds received from the exercise of stock options which resulted in a net use of cash of $8,446.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third-party credit or debit card. Restaurant inventories purchased through our principal food distributor are on terms of net zero days, while restaurant inventories purchased locally generally are financed from normal trade credit. Because of our retail gift shops, which have a lower product turnover than the restaurant business, we carry larger inventories than many other companies in the restaurant industry. Retail inventories purchased domestically generally are financed from normal trade credit, while imported retail inventories generally are purchased through wire transfers.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negative working capital of $17,443 at January 31, 2014 versus negative working capital of $13,873 at August 2, 2013. The change in working capital from August 2, 2013 primarily reflects a decrease in cash and an increase in the sales of our gift cards partially offset by lower incentive compensation accruals resulting from the payment of annual bonuses and certain long-term incentive bonuses in the first quarter of 2014 and the timing of payments for accounts payable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2013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2013. Refer to the sub-section entitled “Material Commitments” under the section entitled “Liquidity and Capital Resources” presented in the MD&amp;A of our 2013 Form 10-K for additional information regarding our material commitments.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None of the accounting guidance discussed in Note 1 had a significant impact on our consolidated financial position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2013 Form 10-K. Judgments and uncertainties affecting the application of those policies may result in materially different amounts being reported under different conditions or using different assumptions.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six months of 2014,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December 31, 2013, a significant portion of our health insurance program was self-insured. Benefits for any individual (employee or dependents) in the self-insured group health program were limited. We recorded a liability for the self-insured portion of our group health program for all unpaid claims based upon a loss development analysis derived from actual group health claims payment experience. Claims paid subsequent to December 31, 2013 will be fully offset by this liability. Effective January 1, 2014, with the exception of prescription drugs, our health insurance is fully insured. The fully-insured portion of our health insurance program contains a retrospective feature which could increase or decrease premiums based on actual claims experience. Additionally, we record a liability for unpaid prescription drug claims based on historical experience.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six months of 2014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six months of 2014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Provision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15 to our Consolidated Financial Statements contained in the 2013 Form 10-K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share-based compensation consists of nonvested stock awards, performance-based market stock units (“MSU Grants”) and stock options.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Generally, the fair value of each nonvested stock award that does not accrue dividends is equal to the market price of our common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193"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Beginning in 2011, we adopted annual long-term incentive plans that award MSU Grants to our executives instead of stock options. 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7" w:lineRule="exact"/>
        <w:rPr>
          <w:sz w:val="20"/>
          <w:szCs w:val="20"/>
          <w:color w:val="auto"/>
        </w:rPr>
      </w:pPr>
    </w:p>
    <w:p>
      <w:pPr>
        <w:ind w:left="660" w:right="2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update the historical and implied components of the expected volatility assumption when new grants are made.</w:t>
      </w:r>
    </w:p>
    <w:p>
      <w:pPr>
        <w:spacing w:after="0" w:line="252" w:lineRule="exact"/>
        <w:rPr>
          <w:sz w:val="20"/>
          <w:szCs w:val="20"/>
          <w:color w:val="auto"/>
        </w:rPr>
      </w:pPr>
    </w:p>
    <w:p>
      <w:pPr>
        <w:ind w:right="440" w:firstLine="648"/>
        <w:spacing w:after="0" w:line="255" w:lineRule="auto"/>
        <w:rPr>
          <w:sz w:val="20"/>
          <w:szCs w:val="20"/>
          <w:color w:val="auto"/>
        </w:rPr>
      </w:pPr>
      <w:r>
        <w:rPr>
          <w:rFonts w:ascii="Arial" w:cs="Arial" w:eastAsia="Arial" w:hAnsi="Arial"/>
          <w:sz w:val="18"/>
          <w:szCs w:val="18"/>
          <w:color w:val="auto"/>
        </w:rPr>
        <w:t>The fair value of our stock options was estimated on the date of grant using a binomial lattice-based option valuation model. This model incorporates several key assumptions, including expected volatility, risk-free rate of return, expected dividend yield and the option’s expected life. Additionally, we use historical data to estimate option exercise and employee termination, and these assumptions are updated annually. The expected volatility, option exercise and termination assumptions involve management’s best estimates at that time, all of which affect the fair value of the option calculated by the binomial lattice-based option valuation model and, ultimately, the expense that will be recognized over the life of the option. No stock options were granted in 2012, 2013 or in the first six months of 2014.</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first six months of 2014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II, Item 7A of the 2013 Form 10-K is incorporated in this item of this Quarterly Report on Form 10-Q by this reference. There have been no material changes in our quantitative and qualitative market risks since August 2,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January 31, 2014, our disclosure controls and procedures were effective for the purposes set forth in the definition thereof in Exchange Act Rule 13a-15(e).</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January 31, 2014 in our internal control over financial reporting (as defined in Exchange Act Rule 13a-15(f)) that have materially affected, or are reasonably likely to materially affect, our internal control over financial reporting.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Part II, Item 1 of our Quarterly Report on Form 10-Q for the quarter ended November 1, 2013 is incorporated in this item of this Quarterly Report on Form 10-Q by this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risk factors previously disclosed in “Item 1A. Risk Factors” of our 2013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immediately following the signature page hereto.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720" w:type="dxa"/>
            <w:vAlign w:val="bottom"/>
            <w:gridSpan w:val="4"/>
          </w:tcPr>
          <w:p>
            <w:pPr>
              <w:ind w:left="2020"/>
              <w:spacing w:after="0"/>
              <w:rPr>
                <w:sz w:val="20"/>
                <w:szCs w:val="20"/>
                <w:color w:val="auto"/>
              </w:rPr>
            </w:pPr>
            <w:r>
              <w:rPr>
                <w:rFonts w:ascii="Arial" w:cs="Arial" w:eastAsia="Arial" w:hAnsi="Arial"/>
                <w:sz w:val="18"/>
                <w:szCs w:val="18"/>
                <w:b w:val="1"/>
                <w:bCs w:val="1"/>
                <w:color w:val="auto"/>
              </w:rPr>
              <w:t>CRACKER BARREL OLD COUNTRY STORE, INC.</w:t>
            </w:r>
          </w:p>
        </w:tc>
      </w:tr>
      <w:tr>
        <w:trPr>
          <w:trHeight w:val="392"/>
        </w:trPr>
        <w:tc>
          <w:tcPr>
            <w:tcW w:w="3700" w:type="dxa"/>
            <w:vAlign w:val="bottom"/>
            <w:gridSpan w:val="3"/>
          </w:tcPr>
          <w:p>
            <w:pPr>
              <w:spacing w:after="0"/>
              <w:rPr>
                <w:sz w:val="20"/>
                <w:szCs w:val="20"/>
                <w:color w:val="auto"/>
              </w:rPr>
            </w:pPr>
            <w:r>
              <w:rPr>
                <w:rFonts w:ascii="Arial" w:cs="Arial" w:eastAsia="Arial" w:hAnsi="Arial"/>
                <w:sz w:val="18"/>
                <w:szCs w:val="18"/>
                <w:color w:val="auto"/>
              </w:rPr>
              <w:t>Date: February 25, 2014</w:t>
            </w:r>
          </w:p>
        </w:tc>
        <w:tc>
          <w:tcPr>
            <w:tcW w:w="248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gridSpan w:val="3"/>
          </w:tcPr>
          <w:p>
            <w:pPr>
              <w:spacing w:after="0"/>
              <w:rPr>
                <w:sz w:val="20"/>
                <w:szCs w:val="20"/>
                <w:color w:val="auto"/>
              </w:rPr>
            </w:pPr>
            <w:r>
              <w:rPr>
                <w:rFonts w:ascii="Arial" w:cs="Arial" w:eastAsia="Arial" w:hAnsi="Arial"/>
                <w:sz w:val="18"/>
                <w:szCs w:val="18"/>
                <w:color w:val="auto"/>
              </w:rPr>
              <w:t>/s/Lawrence E. Hyatt</w:t>
            </w:r>
          </w:p>
        </w:tc>
      </w:tr>
      <w:tr>
        <w:trPr>
          <w:trHeight w:val="20"/>
        </w:trPr>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Lawrence E. Hyatt, Senior Vice President and</w:t>
            </w: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392"/>
        </w:trPr>
        <w:tc>
          <w:tcPr>
            <w:tcW w:w="3700" w:type="dxa"/>
            <w:vAlign w:val="bottom"/>
            <w:gridSpan w:val="3"/>
          </w:tcPr>
          <w:p>
            <w:pPr>
              <w:spacing w:after="0"/>
              <w:rPr>
                <w:sz w:val="20"/>
                <w:szCs w:val="20"/>
                <w:color w:val="auto"/>
              </w:rPr>
            </w:pPr>
            <w:r>
              <w:rPr>
                <w:rFonts w:ascii="Arial" w:cs="Arial" w:eastAsia="Arial" w:hAnsi="Arial"/>
                <w:sz w:val="18"/>
                <w:szCs w:val="18"/>
                <w:color w:val="auto"/>
              </w:rPr>
              <w:t>Date: February 25, 2014</w:t>
            </w:r>
          </w:p>
        </w:tc>
        <w:tc>
          <w:tcPr>
            <w:tcW w:w="248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gridSpan w:val="3"/>
          </w:tcPr>
          <w:p>
            <w:pPr>
              <w:spacing w:after="0"/>
              <w:rPr>
                <w:sz w:val="20"/>
                <w:szCs w:val="20"/>
                <w:color w:val="auto"/>
              </w:rPr>
            </w:pPr>
            <w:r>
              <w:rPr>
                <w:rFonts w:ascii="Arial" w:cs="Arial" w:eastAsia="Arial" w:hAnsi="Arial"/>
                <w:sz w:val="18"/>
                <w:szCs w:val="18"/>
                <w:color w:val="auto"/>
              </w:rPr>
              <w:t>/s/P. Douglas Couvillion</w:t>
            </w:r>
          </w:p>
        </w:tc>
      </w:tr>
      <w:tr>
        <w:trPr>
          <w:trHeight w:val="20"/>
        </w:trPr>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P. Douglas Couvillion, Vice President, Corporate Controller and</w:t>
            </w: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Principal Accounting Officer</w:t>
            </w:r>
          </w:p>
        </w:tc>
      </w:tr>
      <w:tr>
        <w:trPr>
          <w:trHeight w:val="596"/>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jc w:val="right"/>
              <w:ind w:right="314"/>
              <w:spacing w:after="0"/>
              <w:rPr>
                <w:sz w:val="20"/>
                <w:szCs w:val="20"/>
                <w:color w:val="auto"/>
              </w:rPr>
            </w:pPr>
            <w:r>
              <w:rPr>
                <w:rFonts w:ascii="Arial" w:cs="Arial" w:eastAsia="Arial" w:hAnsi="Arial"/>
                <w:sz w:val="14"/>
                <w:szCs w:val="14"/>
                <w:color w:val="auto"/>
              </w:rPr>
              <w:t>28</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6"/>
        </w:trPr>
        <w:tc>
          <w:tcPr>
            <w:tcW w:w="4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gridSpan w:val="4"/>
          </w:tcPr>
          <w:p>
            <w:pPr>
              <w:spacing w:after="0"/>
              <w:rPr>
                <w:sz w:val="20"/>
                <w:szCs w:val="20"/>
                <w:color w:val="auto"/>
              </w:rPr>
            </w:pPr>
            <w:r>
              <w:rPr>
                <w:rFonts w:ascii="Arial" w:cs="Arial" w:eastAsia="Arial" w:hAnsi="Arial"/>
                <w:sz w:val="18"/>
                <w:szCs w:val="18"/>
                <w:color w:val="auto"/>
              </w:rPr>
              <w:t>Exhibit</w:t>
            </w:r>
          </w:p>
        </w:tc>
        <w:tc>
          <w:tcPr>
            <w:tcW w:w="10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200" w:type="dxa"/>
            <w:vAlign w:val="bottom"/>
            <w:shd w:val="clear" w:color="auto" w:fill="CCEEFF"/>
          </w:tcPr>
          <w:p>
            <w:pPr>
              <w:spacing w:after="0"/>
              <w:rPr>
                <w:sz w:val="17"/>
                <w:szCs w:val="17"/>
                <w:color w:val="auto"/>
              </w:rPr>
            </w:pPr>
          </w:p>
        </w:tc>
        <w:tc>
          <w:tcPr>
            <w:tcW w:w="106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200" w:type="dxa"/>
            <w:vAlign w:val="bottom"/>
            <w:shd w:val="clear" w:color="auto" w:fill="CCEEFF"/>
          </w:tcPr>
          <w:p>
            <w:pPr>
              <w:spacing w:after="0"/>
              <w:rPr>
                <w:sz w:val="17"/>
                <w:szCs w:val="17"/>
                <w:color w:val="auto"/>
              </w:rPr>
            </w:pPr>
          </w:p>
        </w:tc>
        <w:tc>
          <w:tcPr>
            <w:tcW w:w="106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200" w:type="dxa"/>
            <w:vAlign w:val="bottom"/>
            <w:shd w:val="clear" w:color="auto" w:fill="CCEEFF"/>
          </w:tcPr>
          <w:p>
            <w:pPr>
              <w:spacing w:after="0"/>
              <w:rPr>
                <w:sz w:val="17"/>
                <w:szCs w:val="17"/>
                <w:color w:val="auto"/>
              </w:rPr>
            </w:pPr>
          </w:p>
        </w:tc>
        <w:tc>
          <w:tcPr>
            <w:tcW w:w="106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200" w:type="dxa"/>
            <w:vAlign w:val="bottom"/>
            <w:shd w:val="clear" w:color="auto" w:fill="CCEEFF"/>
          </w:tcPr>
          <w:p>
            <w:pPr>
              <w:spacing w:after="0"/>
              <w:rPr>
                <w:sz w:val="17"/>
                <w:szCs w:val="17"/>
                <w:color w:val="auto"/>
              </w:rPr>
            </w:pPr>
          </w:p>
        </w:tc>
        <w:tc>
          <w:tcPr>
            <w:tcW w:w="1068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101.SCH</w:t>
            </w:r>
          </w:p>
        </w:tc>
        <w:tc>
          <w:tcPr>
            <w:tcW w:w="10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101.CAL</w:t>
            </w:r>
          </w:p>
        </w:tc>
        <w:tc>
          <w:tcPr>
            <w:tcW w:w="10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101.PRE</w:t>
            </w:r>
          </w:p>
        </w:tc>
        <w:tc>
          <w:tcPr>
            <w:tcW w:w="10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101.DEF</w:t>
            </w:r>
          </w:p>
        </w:tc>
        <w:tc>
          <w:tcPr>
            <w:tcW w:w="10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460" w:hanging="385"/>
        <w:spacing w:after="0"/>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460" w:hanging="385"/>
        <w:spacing w:after="0" w:line="264"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60" w:right="20" w:hanging="385"/>
        <w:spacing w:after="0" w:line="342" w:lineRule="auto"/>
        <w:tabs>
          <w:tab w:leader="none" w:pos="1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00" w:hanging="425"/>
        <w:spacing w:after="0" w:line="291" w:lineRule="auto"/>
        <w:tabs>
          <w:tab w:leader="none" w:pos="15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800" w:hanging="333"/>
        <w:spacing w:after="0" w:line="286" w:lineRule="auto"/>
        <w:tabs>
          <w:tab w:leader="none" w:pos="1800" w:val="left"/>
        </w:tabs>
        <w:numPr>
          <w:ilvl w:val="2"/>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800" w:hanging="333"/>
        <w:spacing w:after="0" w:line="264" w:lineRule="auto"/>
        <w:tabs>
          <w:tab w:leader="none" w:pos="18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800" w:hanging="333"/>
        <w:spacing w:after="0" w:line="264" w:lineRule="auto"/>
        <w:tabs>
          <w:tab w:leader="none" w:pos="18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800" w:hanging="320"/>
        <w:spacing w:after="0" w:line="264" w:lineRule="auto"/>
        <w:tabs>
          <w:tab w:leader="none" w:pos="1800" w:val="left"/>
        </w:tabs>
        <w:numPr>
          <w:ilvl w:val="3"/>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jc w:val="both"/>
        <w:ind w:left="1460" w:hanging="399"/>
        <w:spacing w:after="0" w:line="264"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800" w:hanging="333"/>
        <w:spacing w:after="0" w:line="342" w:lineRule="auto"/>
        <w:tabs>
          <w:tab w:leader="none" w:pos="1800" w:val="left"/>
        </w:tabs>
        <w:numPr>
          <w:ilvl w:val="2"/>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20" w:hanging="333"/>
        <w:spacing w:after="0" w:line="277" w:lineRule="auto"/>
        <w:tabs>
          <w:tab w:leader="none" w:pos="18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February 25,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Lawrence E. Hyatt, certify that:</w:t>
      </w:r>
    </w:p>
    <w:p>
      <w:pPr>
        <w:spacing w:after="0" w:line="252" w:lineRule="exact"/>
        <w:rPr>
          <w:sz w:val="20"/>
          <w:szCs w:val="20"/>
          <w:color w:val="auto"/>
        </w:rPr>
      </w:pPr>
    </w:p>
    <w:p>
      <w:pPr>
        <w:ind w:left="1400" w:hanging="325"/>
        <w:spacing w:after="0"/>
        <w:tabs>
          <w:tab w:leader="none" w:pos="1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400" w:hanging="325"/>
        <w:spacing w:after="0" w:line="264" w:lineRule="auto"/>
        <w:tabs>
          <w:tab w:leader="none" w:pos="1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00" w:right="20" w:hanging="325"/>
        <w:spacing w:after="0" w:line="342" w:lineRule="auto"/>
        <w:tabs>
          <w:tab w:leader="none" w:pos="14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00" w:hanging="325"/>
        <w:spacing w:after="0" w:line="291" w:lineRule="auto"/>
        <w:tabs>
          <w:tab w:leader="none" w:pos="14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760" w:hanging="374"/>
        <w:spacing w:after="0" w:line="264" w:lineRule="auto"/>
        <w:tabs>
          <w:tab w:leader="none" w:pos="17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760" w:hanging="374"/>
        <w:spacing w:after="0" w:line="264" w:lineRule="auto"/>
        <w:tabs>
          <w:tab w:leader="none" w:pos="17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760" w:hanging="374"/>
        <w:spacing w:after="0" w:line="264" w:lineRule="auto"/>
        <w:tabs>
          <w:tab w:leader="none" w:pos="17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760" w:hanging="374"/>
        <w:spacing w:after="0" w:line="264" w:lineRule="auto"/>
        <w:tabs>
          <w:tab w:leader="none" w:pos="17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jc w:val="both"/>
        <w:ind w:left="1380" w:hanging="319"/>
        <w:spacing w:after="0" w:line="264"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740" w:hanging="354"/>
        <w:spacing w:after="0" w:line="342" w:lineRule="auto"/>
        <w:tabs>
          <w:tab w:leader="none" w:pos="174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760" w:right="20" w:hanging="374"/>
        <w:spacing w:after="0" w:line="277" w:lineRule="auto"/>
        <w:tabs>
          <w:tab w:leader="none" w:pos="17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February 25,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Hyatt,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January 31, 2014,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color w:val="auto"/>
              </w:rPr>
              <w:t>Date: February 25, 2014</w:t>
            </w:r>
          </w:p>
        </w:tc>
        <w:tc>
          <w:tcPr>
            <w:tcW w:w="7680" w:type="dxa"/>
            <w:vAlign w:val="bottom"/>
            <w:gridSpan w:val="3"/>
          </w:tcPr>
          <w:p>
            <w:pPr>
              <w:ind w:left="198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38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591"/>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61"/>
        </w:trPr>
        <w:tc>
          <w:tcPr>
            <w:tcW w:w="4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30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January 31, 2014,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color w:val="auto"/>
              </w:rPr>
              <w:t>Date: February 25, 2014</w:t>
            </w:r>
          </w:p>
        </w:tc>
        <w:tc>
          <w:tcPr>
            <w:tcW w:w="7680" w:type="dxa"/>
            <w:vAlign w:val="bottom"/>
            <w:gridSpan w:val="3"/>
          </w:tcPr>
          <w:p>
            <w:pPr>
              <w:ind w:left="1980"/>
              <w:spacing w:after="0"/>
              <w:rPr>
                <w:sz w:val="20"/>
                <w:szCs w:val="20"/>
                <w:color w:val="auto"/>
              </w:rPr>
            </w:pPr>
            <w:r>
              <w:rPr>
                <w:rFonts w:ascii="Arial" w:cs="Arial" w:eastAsia="Arial" w:hAnsi="Arial"/>
                <w:sz w:val="18"/>
                <w:szCs w:val="18"/>
                <w:color w:val="auto"/>
              </w:rPr>
              <w:t>By: /s/Lawrence E. Hyatt</w:t>
            </w:r>
          </w:p>
        </w:tc>
      </w:tr>
      <w:tr>
        <w:trPr>
          <w:trHeight w:val="222"/>
        </w:trPr>
        <w:tc>
          <w:tcPr>
            <w:tcW w:w="4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Lawrence E. Hyatt,</w:t>
            </w:r>
          </w:p>
        </w:tc>
        <w:tc>
          <w:tcPr>
            <w:tcW w:w="384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591"/>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61"/>
        </w:trPr>
        <w:tc>
          <w:tcPr>
            <w:tcW w:w="4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384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3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7">
    <w:nsid w:val="62BBD95A"/>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8">
    <w:nsid w:val="436C612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
    <w:nsid w:val="628C895D"/>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2019-12-06T20:36:30Z</dcterms:created>
  <dcterms:modified xsi:type="dcterms:W3CDTF">2019-12-06T20:36:30Z</dcterms:modified>
</cp:coreProperties>
</file>