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00" w:right="4200" w:hanging="406"/>
        <w:spacing w:after="0" w:line="266" w:lineRule="auto"/>
        <w:tabs>
          <w:tab w:leader="none" w:pos="81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February 1, 2019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900" w:right="4220" w:hanging="406"/>
        <w:spacing w:after="0" w:line="274" w:lineRule="auto"/>
        <w:tabs>
          <w:tab w:leader="none" w:pos="81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w:t>
      </w:r>
      <w:r>
        <w:rPr>
          <w:rFonts w:ascii="Arial" w:cs="Arial" w:eastAsia="Arial" w:hAnsi="Arial"/>
          <w:sz w:val="21"/>
          <w:szCs w:val="21"/>
          <w:color w:val="auto"/>
        </w:rPr>
        <w:t>_________</w:t>
      </w:r>
      <w:r>
        <w:rPr>
          <w:rFonts w:ascii="Arial" w:cs="Arial" w:eastAsia="Arial" w:hAnsi="Arial"/>
          <w:sz w:val="18"/>
          <w:szCs w:val="18"/>
          <w:color w:val="auto"/>
        </w:rPr>
        <w:t xml:space="preserve"> to__________</w:t>
      </w:r>
    </w:p>
    <w:p>
      <w:pPr>
        <w:spacing w:after="0" w:line="19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5400" w:type="dxa"/>
            <w:vAlign w:val="bottom"/>
          </w:tcPr>
          <w:p>
            <w:pPr>
              <w:jc w:val="center"/>
              <w:ind w:right="105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5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00" w:type="dxa"/>
            <w:vAlign w:val="bottom"/>
          </w:tcPr>
          <w:p>
            <w:pPr>
              <w:jc w:val="center"/>
              <w:ind w:right="105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5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5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1" w:right="239" w:bottom="1440" w:gutter="0" w:footer="0" w:header="0"/>
        </w:sectPr>
      </w:pPr>
    </w:p>
    <w:p>
      <w:pPr>
        <w:spacing w:after="0" w:line="176" w:lineRule="exact"/>
        <w:rPr>
          <w:sz w:val="24"/>
          <w:szCs w:val="24"/>
          <w:color w:val="auto"/>
        </w:rPr>
      </w:pPr>
    </w:p>
    <w:p>
      <w:pPr>
        <w:ind w:left="580"/>
        <w:spacing w:after="0" w:line="24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498" w:lineRule="exact"/>
        <w:rPr>
          <w:sz w:val="24"/>
          <w:szCs w:val="24"/>
          <w:color w:val="auto"/>
        </w:rPr>
      </w:pPr>
    </w:p>
    <w:p>
      <w:pPr>
        <w:sectPr>
          <w:pgSz w:w="11900" w:h="16838" w:orient="portrait"/>
          <w:cols w:equalWidth="0" w:num="6">
            <w:col w:w="2560" w:space="80"/>
            <w:col w:w="640" w:space="720"/>
            <w:col w:w="1960" w:space="100"/>
            <w:col w:w="640" w:space="720"/>
            <w:col w:w="1520" w:space="80"/>
            <w:col w:w="2400"/>
          </w:cols>
          <w:pgMar w:left="240" w:top="541" w:right="239" w:bottom="1440" w:gutter="0" w:footer="0" w:header="0"/>
          <w:type w:val="continuous"/>
        </w:sectPr>
      </w:pPr>
    </w:p>
    <w:p>
      <w:pPr>
        <w:spacing w:after="0" w:line="3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24,041,374 Shares of Common Stock</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Outstanding as of February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100" w:type="dxa"/>
            <w:vAlign w:val="bottom"/>
            <w:gridSpan w:val="9"/>
          </w:tcPr>
          <w:p>
            <w:pPr>
              <w:jc w:val="center"/>
              <w:ind w:right="186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0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w w:val="99"/>
              </w:rPr>
              <w:t>FORM 10-Q</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100" w:type="dxa"/>
            <w:vAlign w:val="bottom"/>
            <w:gridSpan w:val="9"/>
          </w:tcPr>
          <w:p>
            <w:pPr>
              <w:jc w:val="center"/>
              <w:ind w:right="1880"/>
              <w:spacing w:after="0"/>
              <w:rPr>
                <w:sz w:val="20"/>
                <w:szCs w:val="20"/>
                <w:color w:val="auto"/>
              </w:rPr>
            </w:pPr>
            <w:r>
              <w:rPr>
                <w:rFonts w:ascii="Arial" w:cs="Arial" w:eastAsia="Arial" w:hAnsi="Arial"/>
                <w:sz w:val="18"/>
                <w:szCs w:val="18"/>
                <w:b w:val="1"/>
                <w:bCs w:val="1"/>
                <w:color w:val="auto"/>
                <w:w w:val="92"/>
              </w:rPr>
              <w:t>For the Quarter Ended February 1, 2019</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00" w:type="dxa"/>
            <w:vAlign w:val="bottom"/>
            <w:gridSpan w:val="7"/>
          </w:tcPr>
          <w:p>
            <w:pPr>
              <w:jc w:val="center"/>
              <w:ind w:right="4480"/>
              <w:spacing w:after="0"/>
              <w:rPr>
                <w:sz w:val="20"/>
                <w:szCs w:val="20"/>
                <w:color w:val="auto"/>
              </w:rPr>
            </w:pPr>
            <w:r>
              <w:rPr>
                <w:rFonts w:ascii="Arial" w:cs="Arial" w:eastAsia="Arial" w:hAnsi="Arial"/>
                <w:sz w:val="18"/>
                <w:szCs w:val="18"/>
                <w:b w:val="1"/>
                <w:bCs w:val="1"/>
                <w:color w:val="auto"/>
              </w:rPr>
              <w:t>INDEX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gridSpan w:val="3"/>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February 1, 2019 and August 3, 2018</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b) Condensed Consolidated Statements of Income for the Quarters and Six Months Ended February 1, 2019 and January 26, 2018</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Income for the Quarters and Six Months Ended February 1, 2019 and January 26,</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0000EE"/>
            </w:tcBorders>
            <w:gridSpan w:val="4"/>
            <w:shd w:val="clear" w:color="auto" w:fill="CCEEFF"/>
          </w:tcPr>
          <w:p>
            <w:pPr>
              <w:ind w:left="3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2018</w:t>
              </w:r>
            </w:hyperlink>
          </w:p>
        </w:tc>
        <w:tc>
          <w:tcPr>
            <w:tcW w:w="32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192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140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138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 of Changes in Shareholders’ Equity the Six Months Ended February 1, 2019</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Six Months Ended February 1, 2019 and January 26, 2018</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f) Notes to Condensed Consolidated Financial Statements</w:t>
              </w:r>
            </w:hyperlink>
          </w:p>
        </w:tc>
        <w:tc>
          <w:tcPr>
            <w:tcW w:w="620" w:type="dxa"/>
            <w:vAlign w:val="bottom"/>
            <w:gridSpan w:val="2"/>
            <w:shd w:val="clear" w:color="auto" w:fill="CCEEFF"/>
          </w:tcPr>
          <w:p>
            <w:pPr>
              <w:jc w:val="center"/>
              <w:ind w:left="170"/>
              <w:spacing w:after="0" w:line="176" w:lineRule="exact"/>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900" w:type="dxa"/>
            <w:vAlign w:val="bottom"/>
            <w:gridSpan w:val="14"/>
            <w:shd w:val="clear" w:color="auto" w:fill="CCEEFF"/>
          </w:tcPr>
          <w:p>
            <w:pPr>
              <w:ind w:left="4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w:t>
              </w:r>
            </w:hyperlink>
          </w:p>
        </w:tc>
        <w:tc>
          <w:tcPr>
            <w:tcW w:w="9900" w:type="dxa"/>
            <w:vAlign w:val="bottom"/>
            <w:gridSpan w:val="14"/>
            <w:shd w:val="clear" w:color="auto" w:fill="CCEEFF"/>
          </w:tcPr>
          <w:p>
            <w:pPr>
              <w:ind w:left="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5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8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90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8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620" w:type="dxa"/>
            <w:vAlign w:val="bottom"/>
            <w:gridSpan w:val="2"/>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gridSpan w:val="2"/>
          </w:tcPr>
          <w:p>
            <w:pPr>
              <w:spacing w:after="0"/>
              <w:rPr>
                <w:sz w:val="24"/>
                <w:szCs w:val="24"/>
                <w:color w:val="auto"/>
              </w:rPr>
            </w:pPr>
          </w:p>
        </w:tc>
        <w:tc>
          <w:tcPr>
            <w:tcW w:w="5440" w:type="dxa"/>
            <w:vAlign w:val="bottom"/>
            <w:tcBorders>
              <w:top w:val="single" w:sz="8" w:color="CCEEFF"/>
            </w:tcBorders>
            <w:gridSpan w:val="6"/>
          </w:tcPr>
          <w:p>
            <w:pPr>
              <w:jc w:val="center"/>
              <w:ind w:left="3588"/>
              <w:spacing w:after="0"/>
              <w:rPr>
                <w:sz w:val="20"/>
                <w:szCs w:val="20"/>
                <w:color w:val="auto"/>
              </w:rPr>
            </w:pPr>
            <w:r>
              <w:rPr>
                <w:rFonts w:ascii="Arial" w:cs="Arial" w:eastAsia="Arial" w:hAnsi="Arial"/>
                <w:sz w:val="14"/>
                <w:szCs w:val="14"/>
                <w:color w:val="auto"/>
                <w:w w:val="76"/>
              </w:rPr>
              <w:t>2</w:t>
            </w:r>
          </w:p>
        </w:tc>
        <w:tc>
          <w:tcPr>
            <w:tcW w:w="68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February 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August 3,</w:t>
            </w:r>
          </w:p>
        </w:tc>
        <w:tc>
          <w:tcPr>
            <w:tcW w:w="0" w:type="dxa"/>
            <w:vAlign w:val="bottom"/>
          </w:tcPr>
          <w:p>
            <w:pPr>
              <w:spacing w:after="0"/>
              <w:rPr>
                <w:sz w:val="1"/>
                <w:szCs w:val="1"/>
                <w:color w:val="auto"/>
              </w:rPr>
            </w:pPr>
          </w:p>
        </w:tc>
      </w:tr>
      <w:tr>
        <w:trPr>
          <w:trHeight w:val="122"/>
        </w:trPr>
        <w:tc>
          <w:tcPr>
            <w:tcW w:w="8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2,266,061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2,212,601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1,162,186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1,149,135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1,587,803</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1,527,355</w:t>
            </w: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88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127,719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52,161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 400,000,000 shares of $.01 par value authorized; 24,041,374 shares issued and outstanding at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February 1, 2019, and 24,011,550 shares issued and outstanding at August 3, 2018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532,807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1,587,803</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1,527,355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left="140" w:right="700" w:hanging="132"/>
        <w:spacing w:after="0" w:line="308" w:lineRule="auto"/>
        <w:tabs>
          <w:tab w:leader="none" w:pos="14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August 3, 2018, as filed with the Securities and Exchange Commission in the Company’s Annual Report on Form 10-K for the fiscal year ended August 3, 2018.</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1"/>
              </w:rPr>
              <w:t>February 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February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811,707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787,771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1,545,250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263,726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534,933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213,548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138,389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72,534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60,755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107,962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137,519</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24,040,374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24,001,493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24,031,480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24,093,725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24,056,533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24,083,723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24,080,860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320"/>
              <w:spacing w:after="0" w:line="201" w:lineRule="exact"/>
              <w:rPr>
                <w:sz w:val="20"/>
                <w:szCs w:val="20"/>
                <w:color w:val="auto"/>
              </w:rPr>
            </w:pPr>
            <w:r>
              <w:rPr>
                <w:rFonts w:ascii="Arial" w:cs="Arial" w:eastAsia="Arial" w:hAnsi="Arial"/>
                <w:sz w:val="18"/>
                <w:szCs w:val="18"/>
                <w:color w:val="auto"/>
                <w:w w:val="91"/>
              </w:rPr>
              <w:t>February 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1"/>
              </w:rPr>
              <w:t>February 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60,755</w:t>
            </w:r>
          </w:p>
        </w:tc>
        <w:tc>
          <w:tcPr>
            <w:tcW w:w="1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comprehensive (loss) income before income tax (benefit)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left="260" w:right="1900"/>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 OF CHANGES IN SHAREHOLDERS’ EQUITY </w:t>
      </w:r>
      <w:r>
        <w:rPr>
          <w:rFonts w:ascii="Arial" w:cs="Arial" w:eastAsia="Arial" w:hAnsi="Arial"/>
          <w:sz w:val="18"/>
          <w:szCs w:val="18"/>
          <w:color w:val="auto"/>
        </w:rPr>
        <w:t>(Unaudited and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8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Common Stock</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280" w:type="dxa"/>
            <w:vAlign w:val="bottom"/>
          </w:tcPr>
          <w:p>
            <w:pPr>
              <w:spacing w:after="0"/>
              <w:rPr>
                <w:sz w:val="18"/>
                <w:szCs w:val="18"/>
                <w:color w:val="auto"/>
              </w:rPr>
            </w:pPr>
          </w:p>
        </w:tc>
        <w:tc>
          <w:tcPr>
            <w:tcW w:w="1060" w:type="dxa"/>
            <w:vAlign w:val="bottom"/>
          </w:tcPr>
          <w:p>
            <w:pPr>
              <w:jc w:val="center"/>
              <w:ind w:right="25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vMerge w:val="restart"/>
          </w:tcPr>
          <w:p>
            <w:pPr>
              <w:ind w:left="80"/>
              <w:spacing w:after="0"/>
              <w:rPr>
                <w:sz w:val="20"/>
                <w:szCs w:val="20"/>
                <w:color w:val="auto"/>
              </w:rPr>
            </w:pPr>
            <w:r>
              <w:rPr>
                <w:rFonts w:ascii="Arial" w:cs="Arial" w:eastAsia="Arial" w:hAnsi="Arial"/>
                <w:sz w:val="18"/>
                <w:szCs w:val="18"/>
                <w:color w:val="auto"/>
                <w:w w:val="98"/>
              </w:rPr>
              <w:t>Comprehensive</w:t>
            </w:r>
          </w:p>
        </w:tc>
        <w:tc>
          <w:tcPr>
            <w:tcW w:w="260" w:type="dxa"/>
            <w:vAlign w:val="bottom"/>
          </w:tcPr>
          <w:p>
            <w:pPr>
              <w:spacing w:after="0"/>
              <w:rPr>
                <w:sz w:val="12"/>
                <w:szCs w:val="12"/>
                <w:color w:val="auto"/>
              </w:rPr>
            </w:pP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Amount</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280" w:type="dxa"/>
            <w:vAlign w:val="bottom"/>
          </w:tcPr>
          <w:p>
            <w:pPr>
              <w:spacing w:after="0"/>
              <w:rPr>
                <w:sz w:val="20"/>
                <w:szCs w:val="20"/>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color w:val="auto"/>
                <w:w w:val="91"/>
              </w:rPr>
              <w:t>Income</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2018</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24,011,550</w:t>
            </w:r>
          </w:p>
        </w:tc>
        <w:tc>
          <w:tcPr>
            <w:tcW w:w="10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240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44,049</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532,807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47,207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320"/>
              <w:spacing w:after="0" w:line="201" w:lineRule="exact"/>
              <w:rPr>
                <w:sz w:val="20"/>
                <w:szCs w:val="20"/>
                <w:color w:val="auto"/>
              </w:rPr>
            </w:pPr>
            <w:r>
              <w:rPr>
                <w:rFonts w:ascii="Arial" w:cs="Arial" w:eastAsia="Arial" w:hAnsi="Arial"/>
                <w:sz w:val="18"/>
                <w:szCs w:val="18"/>
                <w:color w:val="auto"/>
                <w:w w:val="96"/>
              </w:rPr>
              <w:t>Other comprehensive income (loss), net</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of tax</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1,293</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 (loss)</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47,207</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w w:val="95"/>
              </w:rPr>
              <w:t>Cash dividends declared - $1.25 per share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(30,176)</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awards, net of shares withheld for</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employee taxes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22,825</w:t>
            </w:r>
          </w:p>
        </w:tc>
        <w:tc>
          <w:tcPr>
            <w:tcW w:w="10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November 2, 2018</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24,034,375</w:t>
            </w:r>
          </w:p>
        </w:tc>
        <w:tc>
          <w:tcPr>
            <w:tcW w:w="10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240</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44,122</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5,978</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549,838</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60,755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320"/>
              <w:spacing w:after="0" w:line="201" w:lineRule="exact"/>
              <w:rPr>
                <w:sz w:val="20"/>
                <w:szCs w:val="20"/>
                <w:color w:val="auto"/>
              </w:rPr>
            </w:pPr>
            <w:r>
              <w:rPr>
                <w:rFonts w:ascii="Arial" w:cs="Arial" w:eastAsia="Arial" w:hAnsi="Arial"/>
                <w:sz w:val="18"/>
                <w:szCs w:val="18"/>
                <w:color w:val="auto"/>
                <w:w w:val="96"/>
              </w:rPr>
              <w:t>Other comprehensive income (loss), net</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ind w:left="480"/>
              <w:spacing w:after="0"/>
              <w:rPr>
                <w:sz w:val="20"/>
                <w:szCs w:val="20"/>
                <w:color w:val="auto"/>
              </w:rPr>
            </w:pPr>
            <w:r>
              <w:rPr>
                <w:rFonts w:ascii="Arial" w:cs="Arial" w:eastAsia="Arial" w:hAnsi="Arial"/>
                <w:sz w:val="18"/>
                <w:szCs w:val="18"/>
                <w:color w:val="auto"/>
              </w:rPr>
              <w:t>of tax</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comprehensive income (loss)</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60,755</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w w:val="95"/>
              </w:rPr>
              <w:t>Cash dividends declared - $1.25 per share</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(30,279)</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awards, net of shares withheld for</w:t>
            </w: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ind w:left="320"/>
              <w:spacing w:after="0"/>
              <w:rPr>
                <w:sz w:val="20"/>
                <w:szCs w:val="20"/>
                <w:color w:val="auto"/>
              </w:rPr>
            </w:pPr>
            <w:r>
              <w:rPr>
                <w:rFonts w:ascii="Arial" w:cs="Arial" w:eastAsia="Arial" w:hAnsi="Arial"/>
                <w:sz w:val="18"/>
                <w:szCs w:val="18"/>
                <w:color w:val="auto"/>
              </w:rPr>
              <w:t>employee taxes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6,999</w:t>
            </w:r>
          </w:p>
        </w:tc>
        <w:tc>
          <w:tcPr>
            <w:tcW w:w="10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Balances at February 1, 2019</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24,041,374</w:t>
            </w:r>
          </w:p>
        </w:tc>
        <w:tc>
          <w:tcPr>
            <w:tcW w:w="10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240</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46,125</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580,314</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color w:val="auto"/>
                <w:w w:val="89"/>
              </w:rPr>
              <w:t>(Unaudited and 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color w:val="auto"/>
                <w:w w:val="91"/>
              </w:rPr>
              <w:t>February 1,</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assets and liabilities</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190,863</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148,505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(69,738)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Principal payments under long-term debt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Purchases and retirement of common stock</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(61,138)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169,564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20,201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22,889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Dividends declared but not yet paid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31,093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29,853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condensed consolidated balance sheets at February 1, 2019 and August 3, 2018, the related condensed consolidated statement of changes in shareholders’ equity at February 1, 2019 and the related condensed consolidated statements of income, comprehensive income and cash flows for the quarters ended February 1, 2019 and January 26, 2018, respectively, have been prepared by the Company in accordance with accounting principles generally accepted in the United States of America and pursuant to the rules and regulations of the Securities and Exchange Commission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thereto contained in the Company's Annual Report on Form 10-K for the year ended August 3, 2018 (the “2018 Form 10-K”). The accounting policies used in preparing these condensed consolidated financial statements are the same as described in the 2018 Form 10-K except for the expanded accounting policy disclosure for revenue recognition discussed in Note 8. References to a year in these Notes to Condensed Consolidated Financial Statements are to the Company’s fiscal year unless otherwise noted.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fiscal years. The Company adopted this accounting guidance using the modified retrospective transition method. The adoption of this accounting guidance in the first quarter of 2019 did not have a material effect on the Company’s consolidated financial position or results of operations, and the Company did not record a cumulative catch-up adjustment to the opening balance of retained earnings. See Note 8 for further discussion on revenue recognition accounting policies and related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fiscal years. This accounting guidance may be applied either on a modified retrospective basis or on a retrospective basis. The Company adopted this accounting guidance using the modified retrospective transition method. The adoption of this accounting guidance in the first quarter of 2019 did not have a significant impact on the Company’s consolidated financial position or results of operations, and the Company did not record a cumulative catch-up adjustment to the opening balance of retained earnings.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Modification of Share-Based Payment Awards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fiscal years on a prospective basis. The adoption of this accounting guidance in the first quarter of 2019 did not have a significant impact on the Company’s consolidated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in the process of implementing software to assist in the quantification of the impact on the Company’s consolidated financial position and results of operations related to the adoption of this accounting guidance in the first quarter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Hedging Activities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is currently evaluating the impact of adopting this accounting guidance in the first quarter of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Reclassification of Certain Tax Effects from Accumulated Other Comprehensive Income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U.S. government enacted P.L. 115-97, the Tax Cuts and Jobs Act (the “Tax Act”). In February 2018, the FASB issued accounting guidance which allows a reclassification from accumulated other comprehensive income to retained earnings for stranded tax effects resulted from the Tax Act. This accounting guidance is effective for fiscal years beginning after December 15, 2018, and interim periods within those fiscal years. If elected, this accounting guidance should be applied either in the period of adoption or retrospectively to each period in which the change in the U.S. federal corporate rate in the Tax Act is recognized. Early application is permitted. The Company is currently evaluating the impact of adopting this accounting guidance in the first quarter of 2020.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 Arrangements With Nonemployees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2018, the FASB issued accounting guidance in order to simplify accounting for share-based payments granted to nonemployees for goods and services. This new guidance aligns most of the accounting requirements for share-based payments granted to nonemployees with the existing guidance for share-based payments granted to employees. This accounting guidance is effective for fiscal years beginning after December 15, 2018, and interim periods within those fiscal years, using a modified retrospective transition approach. Early adoption is permitted. The Company does not expect that the adoption of this accounting guidance in the first quarter of 2020 will have a significant impact on the Company’s consolidated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measured at fair value on a recurring basis at February 1, 2019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95,446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1,824</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95,446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on a recurring basis at August 3, 2018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38,446</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5)</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6,255</w:t>
            </w: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38,446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are measured at fair value using quoted market prices. The fair values of the Company’s interest rate swap assets and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 The Company’s deferred compensation plan assets are measured based on net asset value per share as a practical expedient to estimate fair value.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February 1, 2019 and August 3, 2018.</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February 1, 2019</w:t>
            </w:r>
          </w:p>
        </w:tc>
        <w:tc>
          <w:tcPr>
            <w:tcW w:w="100" w:type="dxa"/>
            <w:vAlign w:val="bottom"/>
          </w:tcPr>
          <w:p>
            <w:pPr>
              <w:spacing w:after="0"/>
              <w:rPr>
                <w:sz w:val="20"/>
                <w:szCs w:val="20"/>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August 3, 2018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8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Restaurant</w:t>
            </w:r>
          </w:p>
        </w:tc>
        <w:tc>
          <w:tcPr>
            <w:tcW w:w="4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20,659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4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w:t>
            </w:r>
          </w:p>
        </w:tc>
        <w:tc>
          <w:tcPr>
            <w:tcW w:w="522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151,402</w:t>
            </w:r>
          </w:p>
        </w:tc>
        <w:tc>
          <w:tcPr>
            <w:tcW w:w="46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156,253</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20" w:type="dxa"/>
            <w:vAlign w:val="bottom"/>
            <w:vMerge w:val="restart"/>
          </w:tcPr>
          <w:p>
            <w:pPr>
              <w:jc w:val="right"/>
              <w:ind w:right="2739"/>
              <w:spacing w:after="0"/>
              <w:rPr>
                <w:sz w:val="20"/>
                <w:szCs w:val="20"/>
                <w:color w:val="auto"/>
              </w:rPr>
            </w:pPr>
            <w:r>
              <w:rPr>
                <w:rFonts w:ascii="Arial" w:cs="Arial" w:eastAsia="Arial" w:hAnsi="Arial"/>
                <w:sz w:val="14"/>
                <w:szCs w:val="14"/>
                <w:color w:val="auto"/>
              </w:rPr>
              <w:t>10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5, 2018, the Company entered into a five-year $950,000 revolving credit facility (“2019 Revolving Credit Facility”). The 2019 Revolving Credit Facility also contains an option to increase the revolving credit facility by $300,000. The 2019 Revolving Credit Facility replaced the Company’s $750,000 revolving credit facility (“Prior Credit Facility”). Loan acquisition costs associated with the 2019 Revolving Credit Facility were capitalized in the amount of $3,022 and will be amortized over the five-year term of the 2019 Revolving Credit Facility. Loan acquisition costs of $166 associated with the Prior Credit Facility were written off in the first quarter of 2019 and are recorded in interest expense in the Condensed Consolidated Statement of Income.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both February 1, 2019 and August 3, 2018, the Company had $400,000 of outstanding borrowings under its credit facility. At February 1, 2019, the Company had $8,955 of standby letters of credit, which reduce the Company’s borrowing availability under the 2019 Revolving Credit Facility (see Note 12 for more information on the Company’s standby letters of credit). At February 1, 2019, the Company had $541,045 in borrowing availability under the 2019 Revolving Credit Facility.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accordance with the 2019 Revolving Credit Facility, outstanding borrowings bear interest, at the Company’s election, either at LIBOR or prime plus a percentage point spread based on certain specified financial ratios under the 2019 Revolving Credit Facility. As of February 1, 2019, the Company’s outstanding borrowings were swapped at a weighted average interest rate of 3.73% (see Note 5 for information on the Company’s interest rate swaps).</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2019 Revolving Credit Facility contains customary financial covenants, which include maintenance of a maximum consolidated total leverage ratio and a minimum consolidated interest coverage ratio. At February 1, 2019, the Company was in compliance with all financial covenants.</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2019 Revolving Credit Facility also imposes restrictions on the amount of dividends the Company is permitted to pay and the amount of shares the Company is permitted to repurchase. Under the 2019 Revolving Credit Facility, provided there is no default existing and the total of the Company’s availability under the 2019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6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February 1, 2019 was 1.25%. All of the Company’s interest rate swaps are accounted for as cash flow hedges.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interest rate swaps at February 1, 2019 is as follows:</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80" w:type="dxa"/>
            <w:vAlign w:val="bottom"/>
          </w:tcPr>
          <w:p>
            <w:pPr>
              <w:jc w:val="center"/>
              <w:ind w:left="490"/>
              <w:spacing w:after="0"/>
              <w:rPr>
                <w:sz w:val="20"/>
                <w:szCs w:val="20"/>
                <w:color w:val="auto"/>
              </w:rPr>
            </w:pPr>
            <w:r>
              <w:rPr>
                <w:rFonts w:ascii="Arial" w:cs="Arial" w:eastAsia="Arial" w:hAnsi="Arial"/>
                <w:sz w:val="18"/>
                <w:szCs w:val="18"/>
                <w:color w:val="auto"/>
                <w:w w:val="85"/>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4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Trade Date</w:t>
            </w:r>
          </w:p>
        </w:tc>
        <w:tc>
          <w:tcPr>
            <w:tcW w:w="32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Effective Date</w:t>
            </w:r>
          </w:p>
        </w:tc>
        <w:tc>
          <w:tcPr>
            <w:tcW w:w="13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(in Years)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June 18, 2014</w:t>
            </w:r>
          </w:p>
        </w:tc>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2015</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June 24, 2014</w:t>
            </w:r>
          </w:p>
        </w:tc>
        <w:tc>
          <w:tcPr>
            <w:tcW w:w="3220" w:type="dxa"/>
            <w:vAlign w:val="bottom"/>
          </w:tcPr>
          <w:p>
            <w:pPr>
              <w:ind w:left="540"/>
              <w:spacing w:after="0"/>
              <w:rPr>
                <w:sz w:val="20"/>
                <w:szCs w:val="20"/>
                <w:color w:val="auto"/>
              </w:rPr>
            </w:pPr>
            <w:r>
              <w:rPr>
                <w:rFonts w:ascii="Arial" w:cs="Arial" w:eastAsia="Arial" w:hAnsi="Arial"/>
                <w:sz w:val="18"/>
                <w:szCs w:val="18"/>
                <w:color w:val="auto"/>
              </w:rPr>
              <w:t>May 3, 2015</w:t>
            </w:r>
          </w:p>
        </w:tc>
        <w:tc>
          <w:tcPr>
            <w:tcW w:w="13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July 1, 2014</w:t>
            </w:r>
          </w:p>
        </w:tc>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5, 2015</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January 30, 2015</w:t>
            </w:r>
          </w:p>
        </w:tc>
        <w:tc>
          <w:tcPr>
            <w:tcW w:w="322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4, 2021</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January 30, 2015</w:t>
            </w:r>
          </w:p>
        </w:tc>
        <w:tc>
          <w:tcPr>
            <w:tcW w:w="322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4, 2021</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January 16, 2019</w:t>
            </w:r>
          </w:p>
        </w:tc>
        <w:tc>
          <w:tcPr>
            <w:tcW w:w="3220" w:type="dxa"/>
            <w:vAlign w:val="bottom"/>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115,000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2019</w:t>
            </w:r>
          </w:p>
        </w:tc>
        <w:tc>
          <w:tcPr>
            <w:tcW w:w="3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3, 2019</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February 1, 2019 and August 3, 2018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5180" w:type="dxa"/>
            <w:vAlign w:val="bottom"/>
          </w:tcPr>
          <w:p>
            <w:pPr>
              <w:ind w:left="2780"/>
              <w:spacing w:after="0"/>
              <w:rPr>
                <w:sz w:val="20"/>
                <w:szCs w:val="20"/>
                <w:color w:val="auto"/>
              </w:rPr>
            </w:pPr>
            <w:r>
              <w:rPr>
                <w:rFonts w:ascii="Arial" w:cs="Arial" w:eastAsia="Arial" w:hAnsi="Arial"/>
                <w:sz w:val="18"/>
                <w:szCs w:val="18"/>
                <w:color w:val="auto"/>
              </w:rPr>
              <w:t>Balance Sheet Location</w:t>
            </w: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w w:val="96"/>
              </w:rPr>
              <w:t>February 1, 2019</w:t>
            </w:r>
          </w:p>
        </w:tc>
        <w:tc>
          <w:tcPr>
            <w:tcW w:w="1340" w:type="dxa"/>
            <w:vAlign w:val="bottom"/>
            <w:gridSpan w:val="3"/>
          </w:tcPr>
          <w:p>
            <w:pPr>
              <w:ind w:left="120"/>
              <w:spacing w:after="0"/>
              <w:rPr>
                <w:sz w:val="20"/>
                <w:szCs w:val="20"/>
                <w:color w:val="auto"/>
              </w:rPr>
            </w:pPr>
            <w:r>
              <w:rPr>
                <w:rFonts w:ascii="Arial" w:cs="Arial" w:eastAsia="Arial" w:hAnsi="Arial"/>
                <w:sz w:val="18"/>
                <w:szCs w:val="18"/>
                <w:color w:val="auto"/>
                <w:w w:val="99"/>
              </w:rPr>
              <w:t>August 3, 2018</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18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rate swaps</w:t>
            </w:r>
          </w:p>
        </w:tc>
        <w:tc>
          <w:tcPr>
            <w:tcW w:w="51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Other assets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1,576</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1,824</w:t>
            </w:r>
          </w:p>
        </w:tc>
        <w:tc>
          <w:tcPr>
            <w:tcW w:w="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18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Other long-term obligations</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5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interest rate swap assets and liabilities are recorded at gross at both February 1, 2019 and August 3, 2018 since there were no offsetting assets and liabilities under the Company’s master netting agreements.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estimated fair value of the Company’s interest rate swap assets and liabilities incorporate the Company’s non-performance risk (see Note 2). The adjustment related to the Company’s non-performance risk at February 1, 2019 and August 3, 2018 resulted in reductions of $38 and $213, respectively, in the fair value of the interest rate swap assets and liabilities. The offset to the interest rate swap assets and liabilities are recorded in accumulated other comprehensive income (“AOCI”), net of the deferred tax asset, and will be reclassified into earnings over the term of the underlying debt. As of February 1, 2019, the estimated pre-tax portion of AOCI that is expected to be reclassified into earnings over the next twelve months is $773. Cash flows related to the interest rate swaps are included in interest expense and in operating activities.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AOCI for the six months ended February 1, 2019 and the year ended August 3,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w w:val="93"/>
              </w:rPr>
              <w:t>Amount of (Loss) Income Recognized in</w:t>
            </w:r>
          </w:p>
        </w:tc>
      </w:tr>
      <w:tr>
        <w:trPr>
          <w:trHeight w:val="237"/>
        </w:trPr>
        <w:tc>
          <w:tcPr>
            <w:tcW w:w="35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020" w:type="dxa"/>
            <w:vAlign w:val="bottom"/>
            <w:gridSpan w:val="7"/>
          </w:tcPr>
          <w:p>
            <w:pPr>
              <w:spacing w:after="0"/>
              <w:rPr>
                <w:sz w:val="20"/>
                <w:szCs w:val="20"/>
                <w:color w:val="auto"/>
              </w:rPr>
            </w:pPr>
            <w:r>
              <w:rPr>
                <w:rFonts w:ascii="Arial" w:cs="Arial" w:eastAsia="Arial" w:hAnsi="Arial"/>
                <w:sz w:val="18"/>
                <w:szCs w:val="18"/>
                <w:color w:val="auto"/>
                <w:w w:val="96"/>
              </w:rPr>
              <w:t>AOCI on Derivatives (Effective Portion)</w:t>
            </w:r>
          </w:p>
        </w:tc>
      </w:tr>
      <w:tr>
        <w:trPr>
          <w:trHeight w:val="202"/>
        </w:trPr>
        <w:tc>
          <w:tcPr>
            <w:tcW w:w="35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5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Six Months Ended</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35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500" w:type="dxa"/>
            <w:vAlign w:val="bottom"/>
            <w:gridSpan w:val="3"/>
          </w:tcPr>
          <w:p>
            <w:pPr>
              <w:ind w:left="60"/>
              <w:spacing w:after="0"/>
              <w:rPr>
                <w:sz w:val="20"/>
                <w:szCs w:val="20"/>
                <w:color w:val="auto"/>
              </w:rPr>
            </w:pPr>
            <w:r>
              <w:rPr>
                <w:rFonts w:ascii="Arial" w:cs="Arial" w:eastAsia="Arial" w:hAnsi="Arial"/>
                <w:sz w:val="18"/>
                <w:szCs w:val="18"/>
                <w:color w:val="auto"/>
              </w:rPr>
              <w:t>February 1,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August 3, 2018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Cash flow hedges:</w:t>
            </w:r>
          </w:p>
        </w:tc>
        <w:tc>
          <w:tcPr>
            <w:tcW w:w="49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380" w:type="dxa"/>
            <w:vAlign w:val="bottom"/>
            <w:gridSpan w:val="2"/>
            <w:shd w:val="clear" w:color="auto" w:fill="CCEEFF"/>
          </w:tcPr>
          <w:p>
            <w:pPr>
              <w:ind w:left="4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13,103</w:t>
            </w:r>
          </w:p>
        </w:tc>
      </w:tr>
      <w:tr>
        <w:trPr>
          <w:trHeight w:val="589"/>
        </w:trPr>
        <w:tc>
          <w:tcPr>
            <w:tcW w:w="350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jc w:val="right"/>
              <w:ind w:right="2539"/>
              <w:spacing w:after="0"/>
              <w:rPr>
                <w:sz w:val="20"/>
                <w:szCs w:val="20"/>
                <w:color w:val="auto"/>
              </w:rPr>
            </w:pPr>
            <w:r>
              <w:rPr>
                <w:rFonts w:ascii="Arial" w:cs="Arial" w:eastAsia="Arial" w:hAnsi="Arial"/>
                <w:sz w:val="14"/>
                <w:szCs w:val="14"/>
                <w:color w:val="auto"/>
              </w:rPr>
              <w:t>12</w:t>
            </w: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50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 2019 and January 26,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3"/>
              </w:rPr>
              <w:t>Location of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4"/>
              </w:rPr>
              <w:t>AOCI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13"/>
          </w:tcPr>
          <w:p>
            <w:pPr>
              <w:jc w:val="center"/>
              <w:ind w:right="240"/>
              <w:spacing w:after="0"/>
              <w:rPr>
                <w:sz w:val="20"/>
                <w:szCs w:val="20"/>
                <w:color w:val="auto"/>
              </w:rPr>
            </w:pPr>
            <w:r>
              <w:rPr>
                <w:rFonts w:ascii="Arial" w:cs="Arial" w:eastAsia="Arial" w:hAnsi="Arial"/>
                <w:sz w:val="18"/>
                <w:szCs w:val="18"/>
                <w:color w:val="auto"/>
                <w:w w:val="93"/>
              </w:rPr>
              <w:t>Amount of Loss Reclassified from AOCI into Income</w:t>
            </w:r>
          </w:p>
        </w:tc>
      </w:tr>
      <w:tr>
        <w:trPr>
          <w:trHeight w:val="237"/>
        </w:trPr>
        <w:tc>
          <w:tcPr>
            <w:tcW w:w="29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3"/>
              </w:rPr>
              <w:t>(Effective Portion)</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19"/>
                <w:szCs w:val="19"/>
                <w:color w:val="auto"/>
              </w:rPr>
            </w:pPr>
          </w:p>
        </w:tc>
        <w:tc>
          <w:tcPr>
            <w:tcW w:w="2380" w:type="dxa"/>
            <w:vAlign w:val="bottom"/>
            <w:gridSpan w:val="5"/>
          </w:tcPr>
          <w:p>
            <w:pPr>
              <w:jc w:val="right"/>
              <w:ind w:right="49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9"/>
                <w:szCs w:val="19"/>
                <w:color w:val="auto"/>
              </w:rPr>
            </w:pPr>
          </w:p>
        </w:tc>
      </w:tr>
      <w:tr>
        <w:trPr>
          <w:trHeight w:val="202"/>
        </w:trPr>
        <w:tc>
          <w:tcPr>
            <w:tcW w:w="2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89"/>
              </w:rPr>
              <w:t>February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February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r>
      <w:tr>
        <w:trPr>
          <w:trHeight w:val="237"/>
        </w:trPr>
        <w:tc>
          <w:tcPr>
            <w:tcW w:w="2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Cash flow hedges: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six-month periods ended February 1, 2019 and January 26, 2018.</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changes in AOCI, net of tax, related to the Company’s interest rate swaps for the six months ended February 1, 2019 (see Notes 2 and 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w w:val="98"/>
              </w:rPr>
              <w:t>Changes in AOCI</w:t>
            </w: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AOCI balance at August 3, 2018</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160"/>
              <w:spacing w:after="0"/>
              <w:rPr>
                <w:sz w:val="20"/>
                <w:szCs w:val="20"/>
                <w:color w:val="auto"/>
              </w:rPr>
            </w:pPr>
            <w:r>
              <w:rPr>
                <w:rFonts w:ascii="Arial" w:cs="Arial" w:eastAsia="Arial" w:hAnsi="Arial"/>
                <w:sz w:val="18"/>
                <w:szCs w:val="18"/>
                <w:color w:val="auto"/>
              </w:rPr>
              <w:t>Other comprehensive loss before reclassifications</w:t>
            </w:r>
          </w:p>
        </w:tc>
        <w:tc>
          <w:tcPr>
            <w:tcW w:w="4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(2,640)</w:t>
            </w: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AOCI</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7"/>
        </w:trPr>
        <w:tc>
          <w:tcPr>
            <w:tcW w:w="20" w:type="dxa"/>
            <w:vAlign w:val="bottom"/>
          </w:tcPr>
          <w:p>
            <w:pPr>
              <w:spacing w:after="0"/>
              <w:rPr>
                <w:sz w:val="2"/>
                <w:szCs w:val="2"/>
                <w:color w:val="auto"/>
              </w:rPr>
            </w:pPr>
          </w:p>
        </w:tc>
        <w:tc>
          <w:tcPr>
            <w:tcW w:w="100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rPr>
              <w:t>Other comprehensive loss, net of tax</w:t>
            </w:r>
          </w:p>
        </w:tc>
        <w:tc>
          <w:tcPr>
            <w:tcW w:w="4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(2,746)</w:t>
            </w:r>
          </w:p>
        </w:tc>
      </w:tr>
      <w:tr>
        <w:trPr>
          <w:trHeight w:val="257"/>
        </w:trPr>
        <w:tc>
          <w:tcPr>
            <w:tcW w:w="20" w:type="dxa"/>
            <w:vAlign w:val="bottom"/>
          </w:tcPr>
          <w:p>
            <w:pPr>
              <w:spacing w:after="0"/>
              <w:rPr>
                <w:sz w:val="22"/>
                <w:szCs w:val="22"/>
                <w:color w:val="auto"/>
              </w:rPr>
            </w:pPr>
          </w:p>
        </w:tc>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AOCI balance at February 1, 2019</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AOCI related to the Company’s interest rate swaps for the quarter and six months ended February 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vMerge w:val="restart"/>
          </w:tcPr>
          <w:p>
            <w:pPr>
              <w:jc w:val="right"/>
              <w:ind w:right="180"/>
              <w:spacing w:after="0"/>
              <w:rPr>
                <w:sz w:val="20"/>
                <w:szCs w:val="20"/>
                <w:color w:val="auto"/>
              </w:rPr>
            </w:pPr>
            <w:r>
              <w:rPr>
                <w:rFonts w:ascii="Arial" w:cs="Arial" w:eastAsia="Arial" w:hAnsi="Arial"/>
                <w:sz w:val="18"/>
                <w:szCs w:val="18"/>
                <w:color w:val="auto"/>
                <w:w w:val="93"/>
              </w:rPr>
              <w:t>Amount Reclassified from AOCIL</w:t>
            </w:r>
          </w:p>
        </w:tc>
        <w:tc>
          <w:tcPr>
            <w:tcW w:w="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8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vMerge w:val="restart"/>
          </w:tcPr>
          <w:p>
            <w:pPr>
              <w:jc w:val="center"/>
              <w:spacing w:after="0"/>
              <w:rPr>
                <w:sz w:val="20"/>
                <w:szCs w:val="20"/>
                <w:color w:val="auto"/>
              </w:rPr>
            </w:pPr>
            <w:r>
              <w:rPr>
                <w:rFonts w:ascii="Arial" w:cs="Arial" w:eastAsia="Arial" w:hAnsi="Arial"/>
                <w:sz w:val="18"/>
                <w:szCs w:val="18"/>
                <w:color w:val="auto"/>
                <w:w w:val="89"/>
              </w:rPr>
              <w:t>Condensed Consolidated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Quarter Ended</w:t>
            </w:r>
          </w:p>
        </w:tc>
        <w:tc>
          <w:tcPr>
            <w:tcW w:w="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w w:val="95"/>
              </w:rPr>
              <w:t>Six Months Ended</w:t>
            </w:r>
          </w:p>
        </w:tc>
        <w:tc>
          <w:tcPr>
            <w:tcW w:w="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Historically, the net income of the Company has been lower in the first and third quarters and higher in the second and fourth quarters. Management attributes these variations to the holiday shopping season and the summer vacation and travel season. The Company's retail sales, which are made substantially to the Company’s restaurant customers, historically have been highest in the Company's second quarter, which includes the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20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consists primarily of sales from restaurant and retail operations. The Company recognizes revenue when it satisfies a performance obligation by transferring control over a product or service to a restaurant guest, retail customer or other customer. The Company’s policy is to present sales in the Condensed Consolidated Statements of Income on a net presentation basis after deducting sales tax.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Disaggregation of revenue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40" w:type="dxa"/>
            <w:vAlign w:val="bottom"/>
          </w:tcPr>
          <w:p>
            <w:pPr>
              <w:ind w:left="660"/>
              <w:spacing w:after="0"/>
              <w:rPr>
                <w:sz w:val="20"/>
                <w:szCs w:val="20"/>
                <w:color w:val="auto"/>
              </w:rPr>
            </w:pPr>
            <w:r>
              <w:rPr>
                <w:rFonts w:ascii="Arial" w:cs="Arial" w:eastAsia="Arial" w:hAnsi="Arial"/>
                <w:sz w:val="18"/>
                <w:szCs w:val="18"/>
                <w:color w:val="auto"/>
                <w:w w:val="93"/>
              </w:rPr>
              <w:t>Total revenue was comprised of the following for the specified periods: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4"/>
                <w:szCs w:val="24"/>
                <w:color w:val="auto"/>
              </w:rPr>
            </w:pPr>
          </w:p>
        </w:tc>
        <w:tc>
          <w:tcPr>
            <w:tcW w:w="2480" w:type="dxa"/>
            <w:vAlign w:val="bottom"/>
            <w:gridSpan w:val="6"/>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1"/>
              </w:rPr>
              <w:t>February 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color w:val="auto"/>
                <w:w w:val="91"/>
              </w:rPr>
              <w:t>February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r>
      <w:tr>
        <w:trPr>
          <w:trHeight w:val="237"/>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603,198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1,181,435</w:t>
            </w:r>
          </w:p>
        </w:tc>
      </w:tr>
      <w:tr>
        <w:trPr>
          <w:trHeight w:val="223"/>
        </w:trPr>
        <w:tc>
          <w:tcPr>
            <w:tcW w:w="5940" w:type="dxa"/>
            <w:vAlign w:val="bottom"/>
          </w:tcPr>
          <w:p>
            <w:pPr>
              <w:ind w:left="18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180,532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184,573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316,704</w:t>
            </w:r>
          </w:p>
        </w:tc>
      </w:tr>
      <w:tr>
        <w:trPr>
          <w:trHeight w:val="257"/>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811,707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787,771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1,545,250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1,498,139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Revenue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recognizes revenues from restaurant sales when payment is tendered at the point of sale, as the Company’s performance obligation to provide food and beverages is satisfied.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Revenue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recognizes revenues from retail sales when payment is tendered at the point of sale, as the Company’s performance obligation to provide merchandise is satisfied. Ecommerce sales, including shipping revenue, are recorded upon delivery to the customer. Additionally, estimated sales returns are calculated based on return history and sales levels.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Gift Card Breakage</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Included in restaurant and retail revenue is gift card breakage. Customer purchases of gift cards, to be utilized at the Company's stores, are not recognized as sales until the card is redeemed and the customer purchases food and/or merchandise. Gift cards do not carry an expiration date; therefore, customers can redeem their gift cards indefinitely. A certain number of gift cards will not be fully redeemed. Management estimates unredeemed balances and recognizes gift card breakage revenue for these amounts in the Company's Condensed Consolidated Statements of Income over the expected redemption period. Gift card breakage is recognized when the likelihood of a gift card being redeemed by the customer is remote and the Company determines that there is not a legal obligation to remit the unredeemed gift card balance to the relevant jurisdiction. The determination of the gift card breakage rate is based upon the Company’s specific historical redemption patterns. The Company recognizes gift card breakage by applying its estimate of the rate of gift card breakage over the period of estimated redemption. For the quarter and six months ended February 1, 2019, respectively, gift card breakage was $2,451 and $3,656. For the quarter and six months ended January 26, 2018, respectively, gift card breakage was $2,447 and $3,753.</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Deferred revenue related to the Company’s gift cards was $104,350 and $76,199, respectively, at February 1, 2019 and August 3, 2018. Revenue recognized in the Condensed Consolidated Statements of Income for the six months ended February 1, 2019 and January 26, 2018, respectively, for the redemption of gift cards which were included in the deferred revenue balance at the beginning of the fiscal year was $52,696 and $49,179.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1"/>
              </w:rPr>
              <w:t>February 1,</w:t>
            </w: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1"/>
              </w:rPr>
              <w:t>February 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the U.S. government enacted the Tax Act. The Tax Act made broad and complex changes to the U.S. tax code, including, but not limited to, reducing the U.S. federal corporate tax rate from 35% to 21% effective January 1, 2018. The Company used a rate of 21% in fiscal 2019 to record federal corporate income taxes, and, in accordance with Section 15 of the Internal Revenue Code, a blended rate of 26.9% for fiscal 2018, by applying a prorated percentage of the number of days prior to and subsequent to the January 1, 2018 effective date of the Tax Act.</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SEC’s Staff Accounting Bulletin No. 118 (“SAB 118”) provides guidance on accounting for tax effects of the Tax Act. SAB 118 provides a measurement period that should not extend beyond one year from the Tax Act enactment date for companies to complete the accounting guidance under FASB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the company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Tax Act. Consequently, the Company recorded a provisional tax benefit for the re-measurement of deferred tax liabilities of $27,032 and $2,500 for long-term and short-term deferred tax liabilities, respectively, in the second quarter of 2018. The Company has finalized its calculation of the re-measurement of deferred tax liabilities; the completion of the Company’s analysis resulted in no impact to Company’s consolidated financial statements.</w:t>
      </w:r>
    </w:p>
    <w:p>
      <w:pPr>
        <w:spacing w:after="0" w:line="20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nonvested stock awards and units and MSU Grants issued by the Company are calculated using the treasury stock method. The outstanding nonvested stock awards and units, MSU Grants and stock options issued by the Company represent the only dilutive effects on diluted consolidated net income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40" w:type="dxa"/>
            <w:vAlign w:val="bottom"/>
            <w:gridSpan w:val="4"/>
          </w:tcPr>
          <w:p>
            <w:pPr>
              <w:ind w:left="340"/>
              <w:spacing w:after="0"/>
              <w:rPr>
                <w:sz w:val="20"/>
                <w:szCs w:val="20"/>
                <w:color w:val="auto"/>
              </w:rPr>
            </w:pPr>
            <w:r>
              <w:rPr>
                <w:rFonts w:ascii="Arial" w:cs="Arial" w:eastAsia="Arial" w:hAnsi="Arial"/>
                <w:sz w:val="18"/>
                <w:szCs w:val="18"/>
                <w:color w:val="auto"/>
                <w:w w:val="92"/>
              </w:rPr>
              <w:t>The following table reconciles the components of diluted earnings per share computations: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4"/>
                <w:szCs w:val="24"/>
                <w:color w:val="auto"/>
              </w:rPr>
            </w:pPr>
          </w:p>
        </w:tc>
        <w:tc>
          <w:tcPr>
            <w:tcW w:w="2480" w:type="dxa"/>
            <w:vAlign w:val="bottom"/>
            <w:gridSpan w:val="5"/>
          </w:tcPr>
          <w:p>
            <w:pPr>
              <w:ind w:left="4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February 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w w:val="91"/>
              </w:rPr>
              <w:t>February 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91,139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16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24,040,374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24,001,493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24,031,480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24,018,347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Arial" w:cs="Arial" w:eastAsia="Arial" w:hAnsi="Arial"/>
                <w:sz w:val="18"/>
                <w:szCs w:val="18"/>
                <w:color w:val="auto"/>
              </w:rPr>
              <w:t>Stock options, nonvested stock awards and MSU Grants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53,351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55,040</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52,243</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24,093,725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24,056,533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24,083,723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24,080,860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contingencies will not materially affect the Company’s financial statements.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February 1, 2019, the Company had $8,955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February 1, 2019, the Company is secondarily liable for lease payments associated with two properties occupied by a third party.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February 1, 2019.</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 (“Cracker Barrel”) concept. At February 1, 2019, we operated 657 Cracker Barrel stores in 45 states and seven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five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August 3, 2018 (the “2018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2018 Form 10-K, which is incorporated herein by this reference, as well as the factors described under “Critical Accounting Estimates” on pages 25-27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throughout 2019 to grow sales and profits. Our priorities for 2019 consist of the following:</w:t>
      </w:r>
    </w:p>
    <w:p>
      <w:pPr>
        <w:spacing w:after="0" w:line="174"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Enhancing the core business through a heightened focus on the guest experience, food and value, and the continued expansion of our off-premise business;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We anticipate opening eight Cracker Barrel stores during 2019, of which five opened in the first six months of 2019; and</w:t>
      </w:r>
    </w:p>
    <w:p>
      <w:pPr>
        <w:spacing w:after="0" w:line="187" w:lineRule="exact"/>
        <w:rPr>
          <w:rFonts w:ascii="Arial" w:cs="Arial" w:eastAsia="Arial" w:hAnsi="Arial"/>
          <w:sz w:val="18"/>
          <w:szCs w:val="18"/>
          <w:color w:val="auto"/>
        </w:rPr>
      </w:pPr>
    </w:p>
    <w:p>
      <w:pPr>
        <w:ind w:left="660" w:right="1400" w:hanging="328"/>
        <w:spacing w:after="0" w:line="37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Extending the brand by optimizing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 We remain focused on the delivery of our 2019 priorities.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and six-month period ended February 1, 2019 as compared to the same periods in the prior year:</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360" w:type="dxa"/>
            <w:vAlign w:val="bottom"/>
          </w:tcPr>
          <w:p>
            <w:pPr>
              <w:spacing w:after="0"/>
              <w:rPr>
                <w:sz w:val="20"/>
                <w:szCs w:val="20"/>
                <w:color w:val="auto"/>
              </w:rPr>
            </w:pPr>
          </w:p>
        </w:tc>
        <w:tc>
          <w:tcPr>
            <w:tcW w:w="2760" w:type="dxa"/>
            <w:vAlign w:val="bottom"/>
            <w:gridSpan w:val="4"/>
          </w:tcPr>
          <w:p>
            <w:pPr>
              <w:jc w:val="right"/>
              <w:ind w:right="980"/>
              <w:spacing w:after="0"/>
              <w:rPr>
                <w:sz w:val="20"/>
                <w:szCs w:val="20"/>
                <w:color w:val="auto"/>
              </w:rPr>
            </w:pPr>
            <w:r>
              <w:rPr>
                <w:rFonts w:ascii="Arial" w:cs="Arial" w:eastAsia="Arial" w:hAnsi="Arial"/>
                <w:sz w:val="18"/>
                <w:szCs w:val="18"/>
                <w:color w:val="auto"/>
              </w:rPr>
              <w:t>Quarter Ended</w:t>
            </w:r>
          </w:p>
        </w:tc>
        <w:tc>
          <w:tcPr>
            <w:tcW w:w="2720" w:type="dxa"/>
            <w:vAlign w:val="bottom"/>
            <w:gridSpan w:val="4"/>
          </w:tcPr>
          <w:p>
            <w:pPr>
              <w:jc w:val="right"/>
              <w:ind w:right="780"/>
              <w:spacing w:after="0"/>
              <w:rPr>
                <w:sz w:val="20"/>
                <w:szCs w:val="20"/>
                <w:color w:val="auto"/>
              </w:rPr>
            </w:pPr>
            <w:r>
              <w:rPr>
                <w:rFonts w:ascii="Arial" w:cs="Arial" w:eastAsia="Arial" w:hAnsi="Arial"/>
                <w:sz w:val="18"/>
                <w:szCs w:val="18"/>
                <w:color w:val="auto"/>
              </w:rPr>
              <w:t>Six Months Ended</w:t>
            </w:r>
          </w:p>
        </w:tc>
      </w:tr>
      <w:tr>
        <w:trPr>
          <w:trHeight w:val="202"/>
        </w:trPr>
        <w:tc>
          <w:tcPr>
            <w:tcW w:w="536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rPr>
              <w:t>February 1,</w:t>
            </w:r>
          </w:p>
        </w:tc>
        <w:tc>
          <w:tcPr>
            <w:tcW w:w="11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9"/>
              </w:rPr>
              <w:t>January 26,</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rPr>
              <w:t>February 1,</w:t>
            </w:r>
          </w:p>
        </w:tc>
        <w:tc>
          <w:tcPr>
            <w:tcW w:w="11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January 26,</w:t>
            </w:r>
          </w:p>
        </w:tc>
        <w:tc>
          <w:tcPr>
            <w:tcW w:w="180" w:type="dxa"/>
            <w:vAlign w:val="bottom"/>
          </w:tcPr>
          <w:p>
            <w:pPr>
              <w:spacing w:after="0"/>
              <w:rPr>
                <w:sz w:val="17"/>
                <w:szCs w:val="17"/>
                <w:color w:val="auto"/>
              </w:rPr>
            </w:pPr>
          </w:p>
        </w:tc>
      </w:tr>
      <w:tr>
        <w:trPr>
          <w:trHeight w:val="237"/>
        </w:trPr>
        <w:tc>
          <w:tcPr>
            <w:tcW w:w="53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r>
      <w:tr>
        <w:trPr>
          <w:trHeight w:val="27"/>
        </w:trPr>
        <w:tc>
          <w:tcPr>
            <w:tcW w:w="5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stores in operation at the beginning and end of the quarters and six-month periods ended February 1, 2019 and January 26, 2018:</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4920" w:type="dxa"/>
            <w:vAlign w:val="bottom"/>
          </w:tcPr>
          <w:p>
            <w:pPr>
              <w:spacing w:after="0"/>
              <w:rPr>
                <w:sz w:val="20"/>
                <w:szCs w:val="20"/>
                <w:color w:val="auto"/>
              </w:rPr>
            </w:pPr>
          </w:p>
        </w:tc>
        <w:tc>
          <w:tcPr>
            <w:tcW w:w="2720" w:type="dxa"/>
            <w:vAlign w:val="bottom"/>
            <w:gridSpan w:val="4"/>
          </w:tcPr>
          <w:p>
            <w:pPr>
              <w:jc w:val="right"/>
              <w:ind w:right="940"/>
              <w:spacing w:after="0"/>
              <w:rPr>
                <w:sz w:val="20"/>
                <w:szCs w:val="20"/>
                <w:color w:val="auto"/>
              </w:rPr>
            </w:pPr>
            <w:r>
              <w:rPr>
                <w:rFonts w:ascii="Arial" w:cs="Arial" w:eastAsia="Arial" w:hAnsi="Arial"/>
                <w:sz w:val="18"/>
                <w:szCs w:val="18"/>
                <w:color w:val="auto"/>
              </w:rPr>
              <w:t>Quarter Ended</w:t>
            </w:r>
          </w:p>
        </w:tc>
        <w:tc>
          <w:tcPr>
            <w:tcW w:w="2620" w:type="dxa"/>
            <w:vAlign w:val="bottom"/>
            <w:gridSpan w:val="4"/>
          </w:tcPr>
          <w:p>
            <w:pPr>
              <w:ind w:left="580"/>
              <w:spacing w:after="0"/>
              <w:rPr>
                <w:sz w:val="20"/>
                <w:szCs w:val="20"/>
                <w:color w:val="auto"/>
              </w:rPr>
            </w:pPr>
            <w:r>
              <w:rPr>
                <w:rFonts w:ascii="Arial" w:cs="Arial" w:eastAsia="Arial" w:hAnsi="Arial"/>
                <w:sz w:val="18"/>
                <w:szCs w:val="18"/>
                <w:color w:val="auto"/>
              </w:rPr>
              <w:t>Six Months Ended</w:t>
            </w:r>
          </w:p>
        </w:tc>
      </w:tr>
      <w:tr>
        <w:trPr>
          <w:trHeight w:val="202"/>
        </w:trPr>
        <w:tc>
          <w:tcPr>
            <w:tcW w:w="492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February 1,</w:t>
            </w:r>
          </w:p>
        </w:tc>
        <w:tc>
          <w:tcPr>
            <w:tcW w:w="11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January 26,</w:t>
            </w:r>
          </w:p>
        </w:tc>
        <w:tc>
          <w:tcPr>
            <w:tcW w:w="2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February 1,</w:t>
            </w: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January 26,</w:t>
            </w:r>
          </w:p>
        </w:tc>
        <w:tc>
          <w:tcPr>
            <w:tcW w:w="100" w:type="dxa"/>
            <w:vAlign w:val="bottom"/>
          </w:tcPr>
          <w:p>
            <w:pPr>
              <w:spacing w:after="0"/>
              <w:rPr>
                <w:sz w:val="17"/>
                <w:szCs w:val="17"/>
                <w:color w:val="auto"/>
              </w:rPr>
            </w:pPr>
          </w:p>
        </w:tc>
      </w:tr>
      <w:tr>
        <w:trPr>
          <w:trHeight w:val="237"/>
        </w:trPr>
        <w:tc>
          <w:tcPr>
            <w:tcW w:w="49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the period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Opened during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Open at end of the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1"/>
        </w:trPr>
        <w:tc>
          <w:tcPr>
            <w:tcW w:w="4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revenue for the second quarter and first six months of 2019 increased 3.0% and 3.1%, respectively, compared to the same periods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The following table highlights the key components of revenue for the quarter and six-month period ended February 1, 2019 as compared to the quarter and six-month period ended January 26,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1020"/>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20"/>
                <w:szCs w:val="20"/>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460"/>
              <w:spacing w:after="0" w:line="201" w:lineRule="exact"/>
              <w:rPr>
                <w:sz w:val="20"/>
                <w:szCs w:val="20"/>
                <w:color w:val="auto"/>
              </w:rPr>
            </w:pPr>
            <w:r>
              <w:rPr>
                <w:rFonts w:ascii="Arial" w:cs="Arial" w:eastAsia="Arial" w:hAnsi="Arial"/>
                <w:sz w:val="18"/>
                <w:szCs w:val="18"/>
                <w:color w:val="auto"/>
                <w:w w:val="91"/>
              </w:rPr>
              <w:t>February 1,</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January 26,</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91"/>
              </w:rPr>
              <w:t>February 1,</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89"/>
              </w:rPr>
              <w:t>January 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603,198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1,222,153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180,532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184,573</w:t>
            </w: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323,097</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316,704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811,707</w:t>
            </w: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787,771</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1,545,250</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1,498,139</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Retail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1,843.9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1,222.2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1,205.7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2,331.4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tcPr>
          <w:p>
            <w:pPr>
              <w:ind w:left="480"/>
              <w:spacing w:after="0" w:line="192" w:lineRule="exact"/>
              <w:rPr>
                <w:sz w:val="20"/>
                <w:szCs w:val="20"/>
                <w:color w:val="auto"/>
              </w:rPr>
            </w:pPr>
            <w:r>
              <w:rPr>
                <w:rFonts w:ascii="Arial" w:cs="Arial" w:eastAsia="Arial" w:hAnsi="Arial"/>
                <w:sz w:val="18"/>
                <w:szCs w:val="18"/>
                <w:color w:val="auto"/>
              </w:rPr>
              <w:t>Restaurant and retail</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80"/>
              <w:spacing w:after="0" w:line="19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6"/>
                <w:szCs w:val="16"/>
                <w:color w:val="auto"/>
              </w:rPr>
            </w:pPr>
          </w:p>
        </w:tc>
        <w:tc>
          <w:tcPr>
            <w:tcW w:w="128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1280" w:type="dxa"/>
            <w:vAlign w:val="bottom"/>
            <w:gridSpan w:val="2"/>
          </w:tcPr>
          <w:p>
            <w:pPr>
              <w:jc w:val="right"/>
              <w:ind w:right="120"/>
              <w:spacing w:after="0" w:line="192"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6"/>
                <w:szCs w:val="16"/>
                <w:color w:val="auto"/>
              </w:rPr>
            </w:pPr>
          </w:p>
        </w:tc>
        <w:tc>
          <w:tcPr>
            <w:tcW w:w="1220" w:type="dxa"/>
            <w:vAlign w:val="bottom"/>
            <w:gridSpan w:val="2"/>
          </w:tcPr>
          <w:p>
            <w:pPr>
              <w:jc w:val="right"/>
              <w:ind w:right="60"/>
              <w:spacing w:after="0" w:line="19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780" w:type="dxa"/>
            <w:vAlign w:val="bottom"/>
          </w:tcPr>
          <w:p>
            <w:pPr>
              <w:ind w:left="100"/>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second quarter of 2019, our comparable store restaurant sales increase resulted from a 3.7% average check increase (including a 2.2% average menu price increase) and a 0.1% guest traffic increase as compared to the prior year second quarter. For the second quarter of 2019, our comparable store retail sales decrease resulted primarily from lower performance in the décor, licensed, bed and bath, and food merchandise categories partially offset by stronger performance in apparel, kitchen and dining, and media merchandise categories as compared to the prior year second quarter. Restaurant sales from newly opened stores accounted for the remainder of the total revenue increase in the second quarter of 2019 as compared to the second quarter of 2018.</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first six months of 2019, our comparable store restaurant sales increase resulted from a 3.4% average check increase (including a 2.1% average menu price increase) partially offset by a 0.7% guest traffic decline as compared to the prior year period. For the first six months of 2019, our comparable store retail sales increase resulted primarily from strong performance in the apparel and accessories and media merchandise categories partially offset by lower performance in décor and food merchandise categories as compared to the prior year period. Restaurant and retail sales from newly opened stores accounted for the remainder of the total revenue increase in the first six months of 2019 as compared to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second quarter and first six months of 2019 as compared to the same periods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Quarter Ended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6"/>
          </w:tcPr>
          <w:p>
            <w:pPr>
              <w:ind w:left="360"/>
              <w:spacing w:after="0"/>
              <w:rPr>
                <w:sz w:val="20"/>
                <w:szCs w:val="20"/>
                <w:color w:val="auto"/>
              </w:rPr>
            </w:pPr>
            <w:r>
              <w:rPr>
                <w:rFonts w:ascii="Arial" w:cs="Arial" w:eastAsia="Arial" w:hAnsi="Arial"/>
                <w:sz w:val="18"/>
                <w:szCs w:val="18"/>
                <w:color w:val="auto"/>
              </w:rPr>
              <w:t>Six Months Ended</w:t>
            </w:r>
          </w:p>
        </w:tc>
      </w:tr>
      <w:tr>
        <w:trPr>
          <w:trHeight w:val="202"/>
        </w:trPr>
        <w:tc>
          <w:tcPr>
            <w:tcW w:w="4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February 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January 26,</w:t>
            </w:r>
          </w:p>
        </w:tc>
        <w:tc>
          <w:tcPr>
            <w:tcW w:w="280" w:type="dxa"/>
            <w:vAlign w:val="bottom"/>
          </w:tcPr>
          <w:p>
            <w:pPr>
              <w:spacing w:after="0"/>
              <w:rPr>
                <w:sz w:val="17"/>
                <w:szCs w:val="17"/>
                <w:color w:val="auto"/>
              </w:rPr>
            </w:pPr>
          </w:p>
        </w:tc>
        <w:tc>
          <w:tcPr>
            <w:tcW w:w="12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February 1,</w:t>
            </w:r>
          </w:p>
        </w:tc>
        <w:tc>
          <w:tcPr>
            <w:tcW w:w="1280" w:type="dxa"/>
            <w:vAlign w:val="bottom"/>
            <w:tcBorders>
              <w:top w:val="single" w:sz="8" w:color="auto"/>
            </w:tcBorders>
            <w:gridSpan w:val="3"/>
          </w:tcPr>
          <w:p>
            <w:pPr>
              <w:ind w:left="140"/>
              <w:spacing w:after="0" w:line="201" w:lineRule="exact"/>
              <w:rPr>
                <w:sz w:val="20"/>
                <w:szCs w:val="20"/>
                <w:color w:val="auto"/>
              </w:rPr>
            </w:pPr>
            <w:r>
              <w:rPr>
                <w:rFonts w:ascii="Arial" w:cs="Arial" w:eastAsia="Arial" w:hAnsi="Arial"/>
                <w:sz w:val="18"/>
                <w:szCs w:val="18"/>
                <w:color w:val="auto"/>
              </w:rPr>
              <w:t>January 26,</w:t>
            </w:r>
          </w:p>
        </w:tc>
        <w:tc>
          <w:tcPr>
            <w:tcW w:w="160" w:type="dxa"/>
            <w:vAlign w:val="bottom"/>
          </w:tcPr>
          <w:p>
            <w:pPr>
              <w:spacing w:after="0"/>
              <w:rPr>
                <w:sz w:val="17"/>
                <w:szCs w:val="17"/>
                <w:color w:val="auto"/>
              </w:rPr>
            </w:pPr>
          </w:p>
        </w:tc>
      </w:tr>
      <w:tr>
        <w:trPr>
          <w:trHeight w:val="237"/>
        </w:trPr>
        <w:tc>
          <w:tcPr>
            <w:tcW w:w="4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165,861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157,213</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315,049</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301,063</w:t>
            </w: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Retail</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99,318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103,739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172,423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170,638</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265,179</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260,952</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471,701</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180"/>
              <w:spacing w:after="0"/>
              <w:rPr>
                <w:sz w:val="20"/>
                <w:szCs w:val="20"/>
                <w:color w:val="auto"/>
              </w:rPr>
            </w:pPr>
            <w:r>
              <w:rPr>
                <w:rFonts w:ascii="Arial" w:cs="Arial" w:eastAsia="Arial" w:hAnsi="Arial"/>
                <w:sz w:val="18"/>
                <w:szCs w:val="18"/>
                <w:color w:val="auto"/>
              </w:rPr>
              <w:t>Retail</w:t>
            </w:r>
          </w:p>
        </w:tc>
        <w:tc>
          <w:tcPr>
            <w:tcW w:w="14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2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4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increases in restaurant cost of goods sold as a percentage of restaurant revenue in the second quarter and first six months of 2019 as compared to the same periods in the prior year were primarily the result of commodity inflation and a shift to higher cost menu items partially offset by our menu price increases referenced above and lower food waste. Commodity inflation was 2.0% and 3.0%, respectively, in the second quarter and first six months of 2019. Higher cost menu items accounted for increases of 0.3% and 0.2%, respectively, as a percentage of restaurant revenue for the second quarter and first six months of 2019 as compared to same periods in the prior year. Lower food waste accounted for decreases of 0.2% and 0.1%, respectively, in restaurant cost of goods sold as a percentage of restaurant revenue for the second quarter and first six months of 2019 as compared to the same periods in the prior year.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the rate of commodity inflation to be approximately 2.0% in 2019 as compared to 2018.</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retail cost of goods sold as a percentage of retail revenue in the second quarter of 2019 as compared to the prior year second quarter resulted from lower markdowns and the change in the provision for obsolete inventory partially offset by lower initial margin, higher freight costs and higher inventory shrinkage.</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Second Quarter</w:t>
            </w:r>
          </w:p>
        </w:tc>
      </w:tr>
      <w:tr>
        <w:trPr>
          <w:trHeight w:val="216"/>
        </w:trPr>
        <w:tc>
          <w:tcPr>
            <w:tcW w:w="5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(Decrease) Increase as a</w:t>
            </w:r>
          </w:p>
        </w:tc>
      </w:tr>
      <w:tr>
        <w:trPr>
          <w:trHeight w:val="230"/>
        </w:trPr>
        <w:tc>
          <w:tcPr>
            <w:tcW w:w="5120" w:type="dxa"/>
            <w:vAlign w:val="bottom"/>
          </w:tcPr>
          <w:p>
            <w:pPr>
              <w:spacing w:after="0"/>
              <w:rPr>
                <w:sz w:val="20"/>
                <w:szCs w:val="20"/>
                <w:color w:val="auto"/>
              </w:rPr>
            </w:pPr>
          </w:p>
        </w:tc>
        <w:tc>
          <w:tcPr>
            <w:tcW w:w="5140" w:type="dxa"/>
            <w:vAlign w:val="bottom"/>
            <w:gridSpan w:val="3"/>
          </w:tcPr>
          <w:p>
            <w:pPr>
              <w:jc w:val="center"/>
              <w:ind w:left="2490"/>
              <w:spacing w:after="0"/>
              <w:rPr>
                <w:sz w:val="20"/>
                <w:szCs w:val="20"/>
                <w:color w:val="auto"/>
              </w:rPr>
            </w:pPr>
            <w:r>
              <w:rPr>
                <w:rFonts w:ascii="Arial" w:cs="Arial" w:eastAsia="Arial" w:hAnsi="Arial"/>
                <w:sz w:val="18"/>
                <w:szCs w:val="18"/>
                <w:color w:val="auto"/>
                <w:w w:val="88"/>
              </w:rPr>
              <w:t>Percentage of Retail Revenue</w:t>
            </w:r>
          </w:p>
        </w:tc>
      </w:tr>
      <w:tr>
        <w:trPr>
          <w:trHeight w:val="27"/>
        </w:trPr>
        <w:tc>
          <w:tcPr>
            <w:tcW w:w="5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5140" w:type="dxa"/>
            <w:vAlign w:val="bottom"/>
            <w:gridSpan w:val="3"/>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5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Freight</w:t>
            </w:r>
          </w:p>
        </w:tc>
        <w:tc>
          <w:tcPr>
            <w:tcW w:w="5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shrinkage</w:t>
            </w:r>
          </w:p>
        </w:tc>
        <w:tc>
          <w:tcPr>
            <w:tcW w:w="5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retail cost of goods sold as a percentage of retail revenue in the first six months of 2019 as compared to the same period in the prior year resulted from the lower markdowns and the change in the provision for obsolete inventory partially offset by lower initial margin, higher inventory shrinkage and higher freight costs.</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First Six Months</w:t>
            </w:r>
          </w:p>
        </w:tc>
      </w:tr>
      <w:tr>
        <w:trPr>
          <w:trHeight w:val="216"/>
        </w:trPr>
        <w:tc>
          <w:tcPr>
            <w:tcW w:w="5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(Decrease) Increase as a</w:t>
            </w:r>
          </w:p>
        </w:tc>
      </w:tr>
      <w:tr>
        <w:trPr>
          <w:trHeight w:val="230"/>
        </w:trPr>
        <w:tc>
          <w:tcPr>
            <w:tcW w:w="5120" w:type="dxa"/>
            <w:vAlign w:val="bottom"/>
          </w:tcPr>
          <w:p>
            <w:pPr>
              <w:spacing w:after="0"/>
              <w:rPr>
                <w:sz w:val="20"/>
                <w:szCs w:val="20"/>
                <w:color w:val="auto"/>
              </w:rPr>
            </w:pPr>
          </w:p>
        </w:tc>
        <w:tc>
          <w:tcPr>
            <w:tcW w:w="5140" w:type="dxa"/>
            <w:vAlign w:val="bottom"/>
            <w:gridSpan w:val="3"/>
          </w:tcPr>
          <w:p>
            <w:pPr>
              <w:jc w:val="center"/>
              <w:ind w:left="2490"/>
              <w:spacing w:after="0"/>
              <w:rPr>
                <w:sz w:val="20"/>
                <w:szCs w:val="20"/>
                <w:color w:val="auto"/>
              </w:rPr>
            </w:pPr>
            <w:r>
              <w:rPr>
                <w:rFonts w:ascii="Arial" w:cs="Arial" w:eastAsia="Arial" w:hAnsi="Arial"/>
                <w:sz w:val="18"/>
                <w:szCs w:val="18"/>
                <w:color w:val="auto"/>
                <w:w w:val="88"/>
              </w:rPr>
              <w:t>Percentage of Retail Revenue</w:t>
            </w:r>
          </w:p>
        </w:tc>
      </w:tr>
      <w:tr>
        <w:trPr>
          <w:trHeight w:val="27"/>
        </w:trPr>
        <w:tc>
          <w:tcPr>
            <w:tcW w:w="5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5140" w:type="dxa"/>
            <w:vAlign w:val="bottom"/>
            <w:gridSpan w:val="3"/>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5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Inventory shrinkage</w:t>
            </w:r>
          </w:p>
        </w:tc>
        <w:tc>
          <w:tcPr>
            <w:tcW w:w="5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5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Labor and related expenses include all direct and indirect labor and related costs incurred in store operations. Labor and related expenses as a percentage of total revenue increased to 34.1% in the second quarter of 2019 as compared to 33.5% in the second quarter of 2018. This percentage change resulted from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Second Quarter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45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Miscellaneous wages</w:t>
            </w:r>
          </w:p>
        </w:tc>
        <w:tc>
          <w:tcPr>
            <w:tcW w:w="68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6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682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6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596"/>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40" w:type="dxa"/>
            <w:vAlign w:val="bottom"/>
          </w:tcPr>
          <w:p>
            <w:pPr>
              <w:jc w:val="right"/>
              <w:ind w:right="3274"/>
              <w:spacing w:after="0"/>
              <w:rPr>
                <w:sz w:val="20"/>
                <w:szCs w:val="20"/>
                <w:color w:val="auto"/>
              </w:rPr>
            </w:pPr>
            <w:r>
              <w:rPr>
                <w:rFonts w:ascii="Arial" w:cs="Arial" w:eastAsia="Arial" w:hAnsi="Arial"/>
                <w:sz w:val="14"/>
                <w:szCs w:val="14"/>
                <w:color w:val="auto"/>
              </w:rPr>
              <w:t>20</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Labor and related expenses as a percentage of total revenue increased to 34.7% in the first six months of 2019 as compared to 34.2% in the same period in the prior year. This percentage change resulted primarily from the following:</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First Six Months</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Store bonus expense</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wages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store hourly labor costs as a percentage of total revenue for the second quarter and first six months of 2019 as compared to the same periods in the prior year resulted primarily from wage inflation exceeding menu price increases.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increases in miscellaneous wages as a percentage of total revenue for the second quarter and first six months of 2019 as compared to the same periods in the prior year resulted primarily from costs associated with our off-premise business, costs associated with a store closure and higher training costs.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increases in store bonus expense as a percentage of total revenue for the second quarter and first six months of 2019 as compared to the same periods in the prior year resulted from better performance against financial objectives in the second quarter and first six months of 2019 and as compared to the same periods in the prior year.</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management compensation as a percentage of total revenue for the second quarter of 2019 as compared to the second quarter of 2018 resulted primarily from higher staffing levels.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Lower employee health care expenses as a percentage of total revenue for the second quarter and first six months of 2019 as compared to the same periods in the prior year resulted primarily from lower claims 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19.3% in the second quarter of 2019 as compared to 19.1% in the second quarter of 2018. This percentage change resulted primarily from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Second Quarter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40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Supplies</w:t>
            </w:r>
          </w:p>
        </w:tc>
        <w:tc>
          <w:tcPr>
            <w:tcW w:w="634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store expenses</w:t>
            </w:r>
          </w:p>
        </w:tc>
        <w:tc>
          <w:tcPr>
            <w:tcW w:w="6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Loss on disposition of property and equipment</w:t>
            </w:r>
          </w:p>
        </w:tc>
        <w:tc>
          <w:tcPr>
            <w:tcW w:w="63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w:t>
            </w:r>
          </w:p>
        </w:tc>
        <w:tc>
          <w:tcPr>
            <w:tcW w:w="6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596"/>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60" w:type="dxa"/>
            <w:vAlign w:val="bottom"/>
          </w:tcPr>
          <w:p>
            <w:pPr>
              <w:jc w:val="right"/>
              <w:ind w:right="3274"/>
              <w:spacing w:after="0"/>
              <w:rPr>
                <w:sz w:val="20"/>
                <w:szCs w:val="20"/>
                <w:color w:val="auto"/>
              </w:rPr>
            </w:pPr>
            <w:r>
              <w:rPr>
                <w:rFonts w:ascii="Arial" w:cs="Arial" w:eastAsia="Arial" w:hAnsi="Arial"/>
                <w:sz w:val="14"/>
                <w:szCs w:val="14"/>
                <w:color w:val="auto"/>
              </w:rPr>
              <w:t>21</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20.0% in the first six months of 2019 as compared to 19.6% in the second quarter of 2018. This percentage change resulted primarily from the following:</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First Six Months</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Loss on disposition of property and equipment</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Advertising expense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Maintenance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increases in depreciation expense as a percentage of total revenue for the second quarter and first six months of 2019 as compared to the same periods in the prior year resulted from higher capital expenditures.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other store expenses as a percentage of total revenue for the second quarter of 2019 as compared to the same period in the prior year resulted from costs associated with improving the employee experience and growth in our off-premise business.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increase in loss on disposition of property and equipment as a percentage of total revenue for the second quarter of 2019 as compared to the second quarter of 2018 resulted primarily from costs associated with a store closure. The increase in loss on disposition of property and equipment as a percentage of total revenue for the first six months of 2019 as compared to the same period in the prior year primarily resulted from costs associated with store closure, higher disposals of assets related primarily to discontinued projects and a reduction in the carrying value for a previously closed store.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increases in supplies expense for the second quarter and first six months of 2019 as compared to the same periods in the prior year resulted primarily from costs associated with growth in our off-premise business.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decreases in advertising expense as a percentage of total revenue for the second quarter and first six months of 2019 as compared to the same periods in the prior year resulted primarily from lower expenses for media spending.</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maintenance expense as a percentage of total revenue for the first six months of 2019 as compared to the same period in the prior year is due to non-recurring expenses incurred in the prior year related to strategic initiatives.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as a percentage of total revenue remained relatively constant at 4.4% in the second quarter of 2019 as compared to 4.6% in the second quarter of 2018. General and administrative expenses as a percentage of total revenue remained relatively constant at 4.8% in the first six months of 2019 as compared to 4.9% in the same period in the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for the second quarter of 2019 was $4,177 as compared to $3,680 in the second quarter of 2018. Interest expense for the first six months of 2019 was $8,526 as compared to $7,298 in the second quarter of 2018. Both increases resulted primarily from higher weighted average interest rates. Additionally, as part of our debt refinancing in the first quarter of 2019, we incurred additional interest expense of $166 related to the write-off of deferred financing costs.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16.2% and (24.9%) in the second quarters of 2019 and 2018, respectively. The effective tax rate was 16.9% and 1.9% in the first six months of 2019 and 2018, respectively. The increases in the effective tax rate from the second quarter and first six months of 2018 to the second quarter and first six months of 2019 reflects the impact of P.L. 115-97, the Tax Cuts and Jobs Act (the “Tax Act”), enacted on December 22, 2017 by the U.S. government. The Tax Act made broad and complex changes to the U.S. tax code, including, but not limited to, reducing the U.S. federal corporate tax rate from 35% to 21% effective January 1, 2018. Consequently, we recorded a provisional tax benefit for the re-measurement of deferred tax liabilities of $27,032 and $2,500 for long-term and short-term deferred tax liabilities, respectively, in the second quarter of 2018. We have finalized our calculation of the re-measurement of deferred tax liabilities; the completion of our analysis resulted in no impact to our consolidated financial statements.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expect our effective tax rate for 2019 to be approximately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August 3, 2018, was sufficient to finance all of our growth, dividend payments, working capital needs and other cash payment obligations in the first six months of 2019.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February 1, 2019,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Operations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activities provided net cash of $190,863 for the first six months of 2019, representing an increase from the $148,505 net cash provided during the first six months of 2018. This increase primarily reflected lower bonus payments made in 2019 as compared to 2018, lower retail inventory, the timing of payments for accounts payments, an increase in cash received from sales of third party gift cards, lower advertising spending and the timing of interest payments.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729"/>
        <w:spacing w:after="0" w:line="286" w:lineRule="auto"/>
        <w:rPr>
          <w:sz w:val="20"/>
          <w:szCs w:val="20"/>
          <w:color w:val="auto"/>
        </w:rPr>
      </w:pPr>
      <w:r>
        <w:rPr>
          <w:rFonts w:ascii="Arial" w:cs="Arial" w:eastAsia="Arial" w:hAnsi="Arial"/>
          <w:sz w:val="17"/>
          <w:szCs w:val="17"/>
          <w:color w:val="auto"/>
        </w:rPr>
        <w:t>On September 5, 2018, we entered into a five-year $950,000 revolving credit facility (“2019 Revolving Credit Facility”) which replaced our $750,000 revolving credit facility of which $400,000 in borrowings was outstanding. The 2019 Revolving Credit Facility also contains an option to increase the revolving credit facility by $300,000. In the first quarter of 2019, we paid $3,022 in deferred financing costs related to the debt refinancing.</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February 1, 2019, we had $400,000 of outstanding borrowings under the 2019 Revolving Credit Facility and we had $8,955 of standby letters of credit related to securing reserved claims under our workers’ compensation insurance which reduce our borrowing availability under the 2019 Revolving Credit Facility. At February 1, 2019, we had $541,045 in borrowing availability under our 2019 Revolving Credit Facility. See Note 4 to our Condensed Consolidated Financial Statements for further information on our long-term debt.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2019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6" w:lineRule="exact"/>
        <w:rPr>
          <w:sz w:val="20"/>
          <w:szCs w:val="20"/>
          <w:color w:val="auto"/>
        </w:rPr>
      </w:pPr>
    </w:p>
    <w:p>
      <w:pPr>
        <w:jc w:val="both"/>
        <w:ind w:firstLine="735"/>
        <w:spacing w:after="0" w:line="270"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$69,829 for the first six months of 2019 as compared to $63,453 for the same period in the prior year. Our capital expenditures consisted primarily of capital investments for existing stores, new store locations and capital expenditures for strategic initiatives. The increase in capital expenditures from the first six months of 2018 to the first six months of 2019 resulted primarily from capital expenditures for strategic initiatives partially offset by the timing of capital expenditures for new store openings as compared to the prior year. We estimate that our capital expenditures during 2019 will be approximately $150,000. This estimate includes the acquisition of sites and construction costs of eight new Cracker Barrel stores that we have opened or expect to open during 2019, as well as for acquisition and construction costs for store locations to be opened in 2020. We also expect to increase capital expenditures for equipment, technology and strategic initiatives, which are intended to improve the guest experience and improve margins. We intend to fund our capital expenditures with cash flows from operations and borrowings under our 2019 Revolving Credit Facility, as necessary.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2019 Revolving Credit Facility imposes restrictions on the amount of dividends we are permitted to pay and the amount of shares we are permitted to repurchase. Under the 2019 Revolving Credit Facility, provided there is no default existing and the total of our availability under the 2019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six months of 2019, we paid a regular dividend of $2.50 per share and declared a dividend of $1.25 per share that was paid on February 5, 2019 to shareholders of record on January 18, 2019.</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2019. We did not repurchase any shares of our common stock during the first six months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six months of 2019, we issued 29,824 shares of our common stock resulting from the vesting of share-based compensation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tax withholding payments on these share-based compensation awards resulted in a net use of cash of $2,057.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had negative working capital of $20,987 at February 1, 2019 versus negative working capital of $57,867 at August 3, 2018. The change in working capital from August 3, 2018 to February 1, 2019 primarily resulted from the increase in cash and the timing of payments for certain taxes partially offset by the increase in sales of our gift cards during the holiday shopping season.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2018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2018. Refer to the sub-section entitled “Material Commitments” under the section entitled “Liquidity and Capital Resources” presented in the MD&amp;A of our 2018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either do not expect the accounting guidance will have a significant impact on the Company’s financial position or results of operations or we are still evaluating the impact of adopting the accounting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2018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six months of 2019,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methodology used to establish our insurance reserves during the first six months of 2019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determined by applying a cost-to-retail ratio to the retail value of our inventories. Inherent in the RIM calculation are certain management judgments and estimates, including initial markons, markups, markdowns and shrinkage, which may significantly impact the gross margin calculation as well as the ending inventory valuation.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Retail inventory also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two-year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2019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2018 Form 10-K is incorporated in this item of this Quarterly Report on Form 10-Q by this reference. There have been no material changes in our quantitative and qualitative market risks since August 3, 2018.</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February 1, 2019,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February 1, 2019 in our internal control over financial reporting (as defined in Exchange Act Rule 13a-15(f)) that have materially affected, or are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“Item 1A. Risk Factors” of our 2018 Form 10-K.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760" w:type="dxa"/>
            <w:vAlign w:val="bottom"/>
            <w:gridSpan w:val="5"/>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1420" w:type="dxa"/>
            <w:vAlign w:val="bottom"/>
            <w:gridSpan w:val="6"/>
          </w:tcPr>
          <w:p>
            <w:pPr>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92"/>
        </w:trPr>
        <w:tc>
          <w:tcPr>
            <w:tcW w:w="760" w:type="dxa"/>
            <w:vAlign w:val="bottom"/>
            <w:gridSpan w:val="5"/>
          </w:tcPr>
          <w:p>
            <w:pPr>
              <w:spacing w:after="0"/>
              <w:rPr>
                <w:sz w:val="20"/>
                <w:szCs w:val="20"/>
                <w:color w:val="auto"/>
              </w:rPr>
            </w:pPr>
            <w:r>
              <w:rPr>
                <w:rFonts w:ascii="Arial" w:cs="Arial" w:eastAsia="Arial" w:hAnsi="Arial"/>
                <w:sz w:val="18"/>
                <w:szCs w:val="18"/>
                <w:color w:val="auto"/>
              </w:rPr>
              <w:t>Exhibit</w:t>
            </w:r>
          </w:p>
        </w:tc>
        <w:tc>
          <w:tcPr>
            <w:tcW w:w="10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6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w w:val="95"/>
              </w:rPr>
              <w:t>Amended and Restated Charter of Cracker Barrel Old Country Store, Inc. (incorporated by reference to Exhibit 3.1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Current Report on Form 8-K filed under the Exchange Act on April 10, 2012 (Commission File No. 001-25225)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6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w w:val="95"/>
              </w:rPr>
              <w:t>Amended and Restated Bylaws of Cracker Barrel Old Country Store, Inc. (incorporated by reference to Exhibit 3.1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66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Current Report on Form 8-K filed under the Exchange Act on February 24, 2012 (Commission File No. 001-25225)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6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6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6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660" w:type="dxa"/>
            <w:vAlign w:val="bottom"/>
            <w:tcBorders>
              <w:bottom w:val="single" w:sz="8" w:color="CCEEFF"/>
            </w:tcBorders>
            <w:shd w:val="clear" w:color="auto" w:fill="CCEEFF"/>
          </w:tcPr>
          <w:p>
            <w:pPr>
              <w:ind w:left="62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101.SCH</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101.PRE</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106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tcPr>
          <w:p>
            <w:pPr>
              <w:ind w:left="488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40" w:type="dxa"/>
            <w:vAlign w:val="bottom"/>
            <w:gridSpan w:val="4"/>
          </w:tcPr>
          <w:p>
            <w:pPr>
              <w:ind w:left="100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2780" w:type="dxa"/>
            <w:vAlign w:val="bottom"/>
            <w:gridSpan w:val="3"/>
          </w:tcPr>
          <w:p>
            <w:pPr>
              <w:spacing w:after="0"/>
              <w:rPr>
                <w:sz w:val="20"/>
                <w:szCs w:val="20"/>
                <w:color w:val="auto"/>
              </w:rPr>
            </w:pPr>
            <w:r>
              <w:rPr>
                <w:rFonts w:ascii="Arial" w:cs="Arial" w:eastAsia="Arial" w:hAnsi="Arial"/>
                <w:sz w:val="18"/>
                <w:szCs w:val="18"/>
                <w:color w:val="auto"/>
              </w:rPr>
              <w:t>Date: February 26, 2019</w:t>
            </w:r>
          </w:p>
        </w:tc>
        <w:tc>
          <w:tcPr>
            <w:tcW w:w="1780" w:type="dxa"/>
            <w:vAlign w:val="bottom"/>
          </w:tcPr>
          <w:p>
            <w:pPr>
              <w:ind w:left="1000"/>
              <w:spacing w:after="0"/>
              <w:rPr>
                <w:sz w:val="20"/>
                <w:szCs w:val="20"/>
                <w:color w:val="auto"/>
              </w:rPr>
            </w:pPr>
            <w:r>
              <w:rPr>
                <w:rFonts w:ascii="Arial" w:cs="Arial" w:eastAsia="Arial" w:hAnsi="Arial"/>
                <w:sz w:val="18"/>
                <w:szCs w:val="18"/>
                <w:color w:val="auto"/>
              </w:rPr>
              <w:t>By:</w:t>
            </w:r>
          </w:p>
        </w:tc>
        <w:tc>
          <w:tcPr>
            <w:tcW w:w="6860" w:type="dxa"/>
            <w:vAlign w:val="bottom"/>
            <w:gridSpan w:val="3"/>
          </w:tcPr>
          <w:p>
            <w:pPr>
              <w:spacing w:after="0"/>
              <w:rPr>
                <w:sz w:val="20"/>
                <w:szCs w:val="20"/>
                <w:color w:val="auto"/>
              </w:rPr>
            </w:pPr>
            <w:r>
              <w:rPr>
                <w:rFonts w:ascii="Arial" w:cs="Arial" w:eastAsia="Arial" w:hAnsi="Arial"/>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Jill M. Golder, Senior Vice President and Chief Financial Officer</w:t>
            </w:r>
          </w:p>
        </w:tc>
      </w:tr>
      <w:tr>
        <w:trPr>
          <w:trHeight w:val="392"/>
        </w:trPr>
        <w:tc>
          <w:tcPr>
            <w:tcW w:w="2780" w:type="dxa"/>
            <w:vAlign w:val="bottom"/>
            <w:gridSpan w:val="3"/>
          </w:tcPr>
          <w:p>
            <w:pPr>
              <w:spacing w:after="0"/>
              <w:rPr>
                <w:sz w:val="20"/>
                <w:szCs w:val="20"/>
                <w:color w:val="auto"/>
              </w:rPr>
            </w:pPr>
            <w:r>
              <w:rPr>
                <w:rFonts w:ascii="Arial" w:cs="Arial" w:eastAsia="Arial" w:hAnsi="Arial"/>
                <w:sz w:val="18"/>
                <w:szCs w:val="18"/>
                <w:color w:val="auto"/>
              </w:rPr>
              <w:t>Date: February 26, 2019</w:t>
            </w:r>
          </w:p>
        </w:tc>
        <w:tc>
          <w:tcPr>
            <w:tcW w:w="1780" w:type="dxa"/>
            <w:vAlign w:val="bottom"/>
          </w:tcPr>
          <w:p>
            <w:pPr>
              <w:ind w:left="1000"/>
              <w:spacing w:after="0"/>
              <w:rPr>
                <w:sz w:val="20"/>
                <w:szCs w:val="20"/>
                <w:color w:val="auto"/>
              </w:rPr>
            </w:pPr>
            <w:r>
              <w:rPr>
                <w:rFonts w:ascii="Arial" w:cs="Arial" w:eastAsia="Arial" w:hAnsi="Arial"/>
                <w:sz w:val="18"/>
                <w:szCs w:val="18"/>
                <w:color w:val="auto"/>
              </w:rPr>
              <w:t>By:</w:t>
            </w:r>
          </w:p>
        </w:tc>
        <w:tc>
          <w:tcPr>
            <w:tcW w:w="6860" w:type="dxa"/>
            <w:vAlign w:val="bottom"/>
            <w:gridSpan w:val="3"/>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w w:val="97"/>
              </w:rPr>
              <w:t>Jeffrey M. Wilson, Vice President, Corporate Controller and Principal Accounting Officer</w:t>
            </w:r>
          </w:p>
        </w:tc>
      </w:tr>
      <w:tr>
        <w:trPr>
          <w:trHeight w:val="650"/>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gridSpan w:val="2"/>
          </w:tcPr>
          <w:p>
            <w:pPr>
              <w:ind w:left="1080"/>
              <w:spacing w:after="0"/>
              <w:rPr>
                <w:sz w:val="20"/>
                <w:szCs w:val="20"/>
                <w:color w:val="auto"/>
              </w:rPr>
            </w:pPr>
            <w:r>
              <w:rPr>
                <w:rFonts w:ascii="Arial" w:cs="Arial" w:eastAsia="Arial" w:hAnsi="Arial"/>
                <w:sz w:val="14"/>
                <w:szCs w:val="14"/>
                <w:color w:val="auto"/>
              </w:rPr>
              <w:t>29</w:t>
            </w:r>
          </w:p>
        </w:tc>
        <w:tc>
          <w:tcPr>
            <w:tcW w:w="5380" w:type="dxa"/>
            <w:vAlign w:val="bottom"/>
          </w:tcPr>
          <w:p>
            <w:pPr>
              <w:spacing w:after="0"/>
              <w:rPr>
                <w:sz w:val="24"/>
                <w:szCs w:val="24"/>
                <w:color w:val="auto"/>
              </w:rPr>
            </w:pPr>
          </w:p>
        </w:tc>
      </w:tr>
      <w:tr>
        <w:trPr>
          <w:trHeight w:val="100"/>
        </w:trPr>
        <w:tc>
          <w:tcPr>
            <w:tcW w:w="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February 26,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February 1, 2019,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color w:val="auto"/>
              </w:rPr>
              <w:t>Date: February 26, 2019</w:t>
            </w:r>
          </w:p>
        </w:tc>
        <w:tc>
          <w:tcPr>
            <w:tcW w:w="7960" w:type="dxa"/>
            <w:vAlign w:val="bottom"/>
            <w:gridSpan w:val="3"/>
          </w:tcPr>
          <w:p>
            <w:pPr>
              <w:ind w:left="17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Sandra B. Cochran</w:t>
            </w:r>
          </w:p>
        </w:tc>
        <w:tc>
          <w:tcPr>
            <w:tcW w:w="44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February 1, 2019,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Arial" w:cs="Arial" w:eastAsia="Arial" w:hAnsi="Arial"/>
                <w:sz w:val="18"/>
                <w:szCs w:val="18"/>
                <w:color w:val="auto"/>
              </w:rPr>
              <w:t>Date: February 26, 2019</w:t>
            </w:r>
          </w:p>
        </w:tc>
        <w:tc>
          <w:tcPr>
            <w:tcW w:w="7960" w:type="dxa"/>
            <w:vAlign w:val="bottom"/>
            <w:gridSpan w:val="3"/>
          </w:tcPr>
          <w:p>
            <w:pPr>
              <w:ind w:left="170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7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34" Type="http://schemas.openxmlformats.org/officeDocument/2006/relationships/hyperlink" Target="http://www.sec.gov/Archives/edgar/data/1067294/000119312512156250/d331564dex31.htm" TargetMode="External"/><Relationship Id="rId35" Type="http://schemas.openxmlformats.org/officeDocument/2006/relationships/hyperlink" Target="http://www.sec.gov/Archives/edgar/data/1067294/000119312512078431/d30647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2019-12-28T15:51:07Z</dcterms:created>
  <dcterms:modified xsi:type="dcterms:W3CDTF">2019-12-28T15:51:07Z</dcterms:modified>
</cp:coreProperties>
</file>