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43" w:lineRule="exact"/>
        <w:rPr>
          <w:sz w:val="24"/>
          <w:szCs w:val="24"/>
          <w:color w:val="auto"/>
        </w:rPr>
      </w:pPr>
    </w:p>
    <w:p>
      <w:pPr>
        <w:ind w:left="62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940" w:right="4460" w:hanging="317"/>
        <w:spacing w:after="0" w:line="267"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October 28, 2011</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940" w:right="4480" w:hanging="317"/>
        <w:spacing w:after="0" w:line="280" w:lineRule="auto"/>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 to _____________</w:t>
      </w:r>
    </w:p>
    <w:p>
      <w:pPr>
        <w:spacing w:after="0" w:line="189"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Commission file number: 001-25225</w:t>
      </w:r>
    </w:p>
    <w:p>
      <w:pPr>
        <w:spacing w:after="0" w:line="22" w:lineRule="exact"/>
        <w:rPr>
          <w:sz w:val="24"/>
          <w:szCs w:val="24"/>
          <w:color w:val="auto"/>
        </w:rPr>
      </w:pPr>
    </w:p>
    <w:p>
      <w:pPr>
        <w:ind w:left="4160"/>
        <w:spacing w:after="0"/>
        <w:rPr>
          <w:sz w:val="20"/>
          <w:szCs w:val="20"/>
          <w:color w:val="auto"/>
        </w:rPr>
      </w:pPr>
      <w:r>
        <w:rPr>
          <w:rFonts w:ascii="Arial" w:cs="Arial" w:eastAsia="Arial" w:hAnsi="Arial"/>
          <w:sz w:val="17"/>
          <w:szCs w:val="17"/>
          <w:color w:val="auto"/>
        </w:rPr>
        <w:t>____________________________________</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800" w:type="dxa"/>
        <w:tblCellMar>
          <w:top w:w="0" w:type="dxa"/>
          <w:left w:w="0" w:type="dxa"/>
          <w:bottom w:w="0" w:type="dxa"/>
          <w:right w:w="0" w:type="dxa"/>
        </w:tblCellMar>
      </w:tblPr>
      <w:tr>
        <w:trPr>
          <w:trHeight w:val="206"/>
        </w:trPr>
        <w:tc>
          <w:tcPr>
            <w:tcW w:w="5240" w:type="dxa"/>
            <w:vAlign w:val="bottom"/>
          </w:tcPr>
          <w:p>
            <w:pPr>
              <w:jc w:val="center"/>
              <w:ind w:right="1034"/>
              <w:spacing w:after="0"/>
              <w:rPr>
                <w:sz w:val="20"/>
                <w:szCs w:val="20"/>
                <w:color w:val="auto"/>
              </w:rPr>
            </w:pPr>
            <w:r>
              <w:rPr>
                <w:rFonts w:ascii="Arial" w:cs="Arial" w:eastAsia="Arial" w:hAnsi="Arial"/>
                <w:sz w:val="17"/>
                <w:szCs w:val="17"/>
                <w:color w:val="auto"/>
                <w:w w:val="85"/>
              </w:rPr>
              <w:t>Tennessee</w:t>
            </w:r>
          </w:p>
        </w:tc>
        <w:tc>
          <w:tcPr>
            <w:tcW w:w="3940" w:type="dxa"/>
            <w:vAlign w:val="bottom"/>
          </w:tcPr>
          <w:p>
            <w:pPr>
              <w:jc w:val="right"/>
              <w:ind w:right="674"/>
              <w:spacing w:after="0"/>
              <w:rPr>
                <w:sz w:val="20"/>
                <w:szCs w:val="20"/>
                <w:color w:val="auto"/>
              </w:rPr>
            </w:pPr>
            <w:r>
              <w:rPr>
                <w:rFonts w:ascii="Arial" w:cs="Arial" w:eastAsia="Arial" w:hAnsi="Arial"/>
                <w:sz w:val="17"/>
                <w:szCs w:val="17"/>
                <w:color w:val="auto"/>
              </w:rPr>
              <w:t>62-1749513</w:t>
            </w:r>
          </w:p>
        </w:tc>
      </w:tr>
      <w:tr>
        <w:trPr>
          <w:trHeight w:val="217"/>
        </w:trPr>
        <w:tc>
          <w:tcPr>
            <w:tcW w:w="5240" w:type="dxa"/>
            <w:vAlign w:val="bottom"/>
          </w:tcPr>
          <w:p>
            <w:pPr>
              <w:jc w:val="center"/>
              <w:ind w:right="103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3940" w:type="dxa"/>
            <w:vAlign w:val="bottom"/>
          </w:tcPr>
          <w:p>
            <w:pPr>
              <w:jc w:val="center"/>
              <w:ind w:left="1034"/>
              <w:spacing w:after="0"/>
              <w:rPr>
                <w:sz w:val="20"/>
                <w:szCs w:val="20"/>
                <w:color w:val="auto"/>
              </w:rPr>
            </w:pPr>
            <w:r>
              <w:rPr>
                <w:rFonts w:ascii="Arial" w:cs="Arial" w:eastAsia="Arial" w:hAnsi="Arial"/>
                <w:sz w:val="17"/>
                <w:szCs w:val="17"/>
                <w:color w:val="auto"/>
                <w:w w:val="95"/>
              </w:rPr>
              <w:t>(I.R.S. Employer Identification Number)</w:t>
            </w:r>
          </w:p>
        </w:tc>
      </w:tr>
      <w:tr>
        <w:trPr>
          <w:trHeight w:val="402"/>
        </w:trPr>
        <w:tc>
          <w:tcPr>
            <w:tcW w:w="5240" w:type="dxa"/>
            <w:vAlign w:val="bottom"/>
          </w:tcPr>
          <w:p>
            <w:pPr>
              <w:jc w:val="center"/>
              <w:ind w:right="1034"/>
              <w:spacing w:after="0"/>
              <w:rPr>
                <w:sz w:val="20"/>
                <w:szCs w:val="20"/>
                <w:color w:val="auto"/>
              </w:rPr>
            </w:pPr>
            <w:r>
              <w:rPr>
                <w:rFonts w:ascii="Arial" w:cs="Arial" w:eastAsia="Arial" w:hAnsi="Arial"/>
                <w:sz w:val="17"/>
                <w:szCs w:val="17"/>
                <w:color w:val="auto"/>
                <w:w w:val="92"/>
              </w:rPr>
              <w:t>305 Hartmann Drive, P.O. Box 787</w:t>
            </w:r>
          </w:p>
        </w:tc>
        <w:tc>
          <w:tcPr>
            <w:tcW w:w="3940" w:type="dxa"/>
            <w:vAlign w:val="bottom"/>
          </w:tcPr>
          <w:p>
            <w:pPr>
              <w:spacing w:after="0"/>
              <w:rPr>
                <w:sz w:val="24"/>
                <w:szCs w:val="24"/>
                <w:color w:val="auto"/>
              </w:rPr>
            </w:pPr>
          </w:p>
        </w:tc>
      </w:tr>
      <w:tr>
        <w:trPr>
          <w:trHeight w:val="206"/>
        </w:trPr>
        <w:tc>
          <w:tcPr>
            <w:tcW w:w="5240" w:type="dxa"/>
            <w:vAlign w:val="bottom"/>
          </w:tcPr>
          <w:p>
            <w:pPr>
              <w:jc w:val="center"/>
              <w:ind w:right="1034"/>
              <w:spacing w:after="0"/>
              <w:rPr>
                <w:sz w:val="20"/>
                <w:szCs w:val="20"/>
                <w:color w:val="auto"/>
              </w:rPr>
            </w:pPr>
            <w:r>
              <w:rPr>
                <w:rFonts w:ascii="Arial" w:cs="Arial" w:eastAsia="Arial" w:hAnsi="Arial"/>
                <w:sz w:val="17"/>
                <w:szCs w:val="17"/>
                <w:color w:val="auto"/>
                <w:w w:val="87"/>
              </w:rPr>
              <w:t>Lebanon, Tennessee</w:t>
            </w:r>
          </w:p>
        </w:tc>
        <w:tc>
          <w:tcPr>
            <w:tcW w:w="3940" w:type="dxa"/>
            <w:vAlign w:val="bottom"/>
          </w:tcPr>
          <w:p>
            <w:pPr>
              <w:jc w:val="center"/>
              <w:ind w:left="1034"/>
              <w:spacing w:after="0"/>
              <w:rPr>
                <w:sz w:val="20"/>
                <w:szCs w:val="20"/>
                <w:color w:val="auto"/>
              </w:rPr>
            </w:pPr>
            <w:r>
              <w:rPr>
                <w:rFonts w:ascii="Arial" w:cs="Arial" w:eastAsia="Arial" w:hAnsi="Arial"/>
                <w:sz w:val="17"/>
                <w:szCs w:val="17"/>
                <w:color w:val="auto"/>
                <w:w w:val="90"/>
              </w:rPr>
              <w:t>37088-0787</w:t>
            </w:r>
          </w:p>
        </w:tc>
      </w:tr>
      <w:tr>
        <w:trPr>
          <w:trHeight w:val="217"/>
        </w:trPr>
        <w:tc>
          <w:tcPr>
            <w:tcW w:w="5240" w:type="dxa"/>
            <w:vAlign w:val="bottom"/>
          </w:tcPr>
          <w:p>
            <w:pPr>
              <w:jc w:val="center"/>
              <w:ind w:right="1034"/>
              <w:spacing w:after="0"/>
              <w:rPr>
                <w:sz w:val="20"/>
                <w:szCs w:val="20"/>
                <w:color w:val="auto"/>
              </w:rPr>
            </w:pPr>
            <w:r>
              <w:rPr>
                <w:rFonts w:ascii="Arial" w:cs="Arial" w:eastAsia="Arial" w:hAnsi="Arial"/>
                <w:sz w:val="17"/>
                <w:szCs w:val="17"/>
                <w:color w:val="auto"/>
                <w:w w:val="93"/>
              </w:rPr>
              <w:t>(Address of principal executive offices)</w:t>
            </w:r>
          </w:p>
        </w:tc>
        <w:tc>
          <w:tcPr>
            <w:tcW w:w="3940" w:type="dxa"/>
            <w:vAlign w:val="bottom"/>
          </w:tcPr>
          <w:p>
            <w:pPr>
              <w:jc w:val="center"/>
              <w:ind w:left="1054"/>
              <w:spacing w:after="0"/>
              <w:rPr>
                <w:sz w:val="20"/>
                <w:szCs w:val="20"/>
                <w:color w:val="auto"/>
              </w:rPr>
            </w:pPr>
            <w:r>
              <w:rPr>
                <w:rFonts w:ascii="Arial" w:cs="Arial" w:eastAsia="Arial" w:hAnsi="Arial"/>
                <w:sz w:val="17"/>
                <w:szCs w:val="17"/>
                <w:color w:val="auto"/>
                <w:w w:val="94"/>
              </w:rPr>
              <w:t>(Zip code)</w:t>
            </w: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(Sec.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57"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3">
            <w:col w:w="5000" w:space="720"/>
            <w:col w:w="1140" w:space="100"/>
            <w:col w:w="4540"/>
          </w:cols>
          <w:pgMar w:left="240" w:top="305" w:right="159" w:bottom="1440" w:gutter="0" w:footer="0" w:header="0"/>
          <w:type w:val="continuous"/>
        </w:sectPr>
      </w:pPr>
    </w:p>
    <w:p>
      <w:pPr>
        <w:spacing w:after="0" w:line="40" w:lineRule="exact"/>
        <w:rPr>
          <w:sz w:val="24"/>
          <w:szCs w:val="24"/>
          <w:color w:val="auto"/>
        </w:rPr>
      </w:pPr>
    </w:p>
    <w:p>
      <w:pPr>
        <w:ind w:left="58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2040" w:space="160"/>
            <w:col w:w="2800" w:space="720"/>
            <w:col w:w="1880" w:space="80"/>
            <w:col w:w="3820"/>
          </w:cols>
          <w:pgMar w:left="240" w:top="305" w:right="15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19"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22,949,548 Shares of Common Stock</w:t>
      </w:r>
    </w:p>
    <w:p>
      <w:pPr>
        <w:spacing w:after="0" w:line="22"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Outstanding as of November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October 28, 2011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43" w:lineRule="exact"/>
        <w:rPr>
          <w:sz w:val="20"/>
          <w:szCs w:val="20"/>
          <w:color w:val="auto"/>
        </w:rPr>
      </w:pPr>
    </w:p>
    <w:p>
      <w:pPr>
        <w:spacing w:after="0"/>
        <w:tabs>
          <w:tab w:leader="none" w:pos="10660" w:val="left"/>
        </w:tabs>
        <w:rPr>
          <w:sz w:val="20"/>
          <w:szCs w:val="20"/>
          <w:color w:val="auto"/>
        </w:rPr>
      </w:pPr>
      <w:r>
        <w:rPr>
          <w:rFonts w:ascii="Arial" w:cs="Arial" w:eastAsia="Arial" w:hAnsi="Arial"/>
          <w:sz w:val="17"/>
          <w:szCs w:val="17"/>
          <w:b w:val="1"/>
          <w:bCs w:val="1"/>
          <w:color w:val="auto"/>
        </w:rPr>
        <w:t>PART I. FINANCIAL INFORMATION</w:t>
      </w:r>
      <w:r>
        <w:rPr>
          <w:sz w:val="20"/>
          <w:szCs w:val="20"/>
          <w:color w:val="auto"/>
        </w:rPr>
        <w:tab/>
      </w:r>
      <w:r>
        <w:rPr>
          <w:rFonts w:ascii="Arial" w:cs="Arial" w:eastAsia="Arial" w:hAnsi="Arial"/>
          <w:sz w:val="15"/>
          <w:szCs w:val="15"/>
          <w:b w:val="1"/>
          <w:bCs w:val="1"/>
          <w:u w:val="single" w:color="auto"/>
          <w:color w:val="auto"/>
        </w:rPr>
        <w:t>Page</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Item 1</w:t>
      </w:r>
    </w:p>
    <w:p>
      <w:pPr>
        <w:spacing w:after="0" w:line="22" w:lineRule="exact"/>
        <w:rPr>
          <w:sz w:val="20"/>
          <w:szCs w:val="20"/>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Condensed Consolidated Financial Statements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8940" w:type="dxa"/>
            <w:vAlign w:val="bottom"/>
            <w:gridSpan w:val="11"/>
            <w:shd w:val="clear" w:color="auto" w:fill="CCEEFF"/>
          </w:tcPr>
          <w:p>
            <w:pPr>
              <w:ind w:left="220"/>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October 28, 2011 and July 29, 2011</w:t>
              </w:r>
            </w:hyperlink>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b)</w:t>
            </w:r>
          </w:p>
        </w:tc>
        <w:tc>
          <w:tcPr>
            <w:tcW w:w="8940" w:type="dxa"/>
            <w:vAlign w:val="bottom"/>
            <w:gridSpan w:val="11"/>
            <w:shd w:val="clear" w:color="auto" w:fill="CCEEFF"/>
          </w:tcPr>
          <w:p>
            <w:pPr>
              <w:ind w:left="220"/>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Income for the Quarters Ended October 28, 2011 and October 29, 2010</w:t>
              </w:r>
            </w:hyperlink>
          </w:p>
        </w:tc>
        <w:tc>
          <w:tcPr>
            <w:tcW w:w="9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w:t>
            </w:r>
          </w:p>
        </w:tc>
        <w:tc>
          <w:tcPr>
            <w:tcW w:w="8940" w:type="dxa"/>
            <w:vAlign w:val="bottom"/>
            <w:gridSpan w:val="11"/>
            <w:shd w:val="clear" w:color="auto" w:fill="CCEEFF"/>
          </w:tcPr>
          <w:p>
            <w:pPr>
              <w:ind w:left="220"/>
              <w:spacing w:after="0" w:line="167" w:lineRule="exact"/>
              <w:rPr>
                <w:rFonts w:ascii="Arial" w:cs="Arial" w:eastAsia="Arial" w:hAnsi="Arial"/>
                <w:sz w:val="17"/>
                <w:szCs w:val="17"/>
                <w:color w:val="0000EE"/>
                <w:w w:val="99"/>
              </w:rPr>
            </w:pPr>
            <w:hyperlink w:anchor="page5">
              <w:r>
                <w:rPr>
                  <w:rFonts w:ascii="Arial" w:cs="Arial" w:eastAsia="Arial" w:hAnsi="Arial"/>
                  <w:sz w:val="17"/>
                  <w:szCs w:val="17"/>
                  <w:color w:val="0000EE"/>
                  <w:w w:val="99"/>
                </w:rPr>
                <w:t>Condensed Consolidated Statements of Cash Flows for the Quarters Ended October 28, 2011 and October 29, 2010</w:t>
              </w:r>
            </w:hyperlink>
          </w:p>
        </w:tc>
        <w:tc>
          <w:tcPr>
            <w:tcW w:w="9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d)</w:t>
            </w:r>
          </w:p>
        </w:tc>
        <w:tc>
          <w:tcPr>
            <w:tcW w:w="8940" w:type="dxa"/>
            <w:vAlign w:val="bottom"/>
            <w:gridSpan w:val="11"/>
            <w:shd w:val="clear" w:color="auto" w:fill="CCEEFF"/>
          </w:tcPr>
          <w:p>
            <w:pPr>
              <w:ind w:left="220"/>
              <w:spacing w:after="0" w:line="167" w:lineRule="exact"/>
              <w:rPr>
                <w:rFonts w:ascii="Arial" w:cs="Arial" w:eastAsia="Arial" w:hAnsi="Arial"/>
                <w:sz w:val="17"/>
                <w:szCs w:val="17"/>
                <w:color w:val="0000EE"/>
              </w:rPr>
            </w:pPr>
            <w:hyperlink w:anchor="page6">
              <w:r>
                <w:rPr>
                  <w:rFonts w:ascii="Arial" w:cs="Arial" w:eastAsia="Arial" w:hAnsi="Arial"/>
                  <w:sz w:val="17"/>
                  <w:szCs w:val="17"/>
                  <w:color w:val="0000EE"/>
                </w:rPr>
                <w:t>Notes to Condensed Consolidated Financial Statements</w:t>
              </w:r>
            </w:hyperlink>
          </w:p>
        </w:tc>
        <w:tc>
          <w:tcPr>
            <w:tcW w:w="9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Borders>
              <w:top w:val="single" w:sz="8" w:color="CCEEFF"/>
            </w:tcBorders>
            <w:gridSpan w:val="2"/>
          </w:tcPr>
          <w:p>
            <w:pPr>
              <w:ind w:left="560"/>
              <w:spacing w:after="0"/>
              <w:rPr>
                <w:sz w:val="20"/>
                <w:szCs w:val="20"/>
                <w:color w:val="auto"/>
              </w:rPr>
            </w:pPr>
            <w:r>
              <w:rPr>
                <w:rFonts w:ascii="Arial" w:cs="Arial" w:eastAsia="Arial" w:hAnsi="Arial"/>
                <w:sz w:val="17"/>
                <w:szCs w:val="17"/>
                <w:color w:val="auto"/>
              </w:rPr>
              <w:t>Item 2</w:t>
            </w: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300" w:type="dxa"/>
            <w:vAlign w:val="bottom"/>
            <w:gridSpan w:val="12"/>
            <w:shd w:val="clear" w:color="auto" w:fill="CCEEFF"/>
          </w:tcPr>
          <w:p>
            <w:pPr>
              <w:spacing w:after="0" w:line="169" w:lineRule="exact"/>
              <w:rPr>
                <w:rFonts w:ascii="Arial" w:cs="Arial" w:eastAsia="Arial" w:hAnsi="Arial"/>
                <w:sz w:val="17"/>
                <w:szCs w:val="17"/>
                <w:color w:val="0000EE"/>
              </w:rPr>
            </w:pPr>
            <w:hyperlink w:anchor="page14">
              <w:r>
                <w:rPr>
                  <w:rFonts w:ascii="Arial" w:cs="Arial" w:eastAsia="Arial" w:hAnsi="Arial"/>
                  <w:sz w:val="17"/>
                  <w:szCs w:val="17"/>
                  <w:color w:val="0000EE"/>
                </w:rPr>
                <w:t>Management’s Discussion and Analysis of Financial Condition and Results of Operations</w:t>
              </w:r>
            </w:hyperlink>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Borders>
              <w:top w:val="single" w:sz="8" w:color="CCEEFF"/>
            </w:tcBorders>
            <w:gridSpan w:val="2"/>
          </w:tcPr>
          <w:p>
            <w:pPr>
              <w:ind w:left="560"/>
              <w:spacing w:after="0"/>
              <w:rPr>
                <w:sz w:val="20"/>
                <w:szCs w:val="20"/>
                <w:color w:val="auto"/>
              </w:rPr>
            </w:pPr>
            <w:r>
              <w:rPr>
                <w:rFonts w:ascii="Arial" w:cs="Arial" w:eastAsia="Arial" w:hAnsi="Arial"/>
                <w:sz w:val="17"/>
                <w:szCs w:val="17"/>
                <w:color w:val="auto"/>
              </w:rPr>
              <w:t>Item 3</w:t>
            </w: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300" w:type="dxa"/>
            <w:vAlign w:val="bottom"/>
            <w:gridSpan w:val="12"/>
            <w:shd w:val="clear" w:color="auto" w:fill="CCEEFF"/>
          </w:tcPr>
          <w:p>
            <w:pPr>
              <w:spacing w:after="0" w:line="169" w:lineRule="exact"/>
              <w:rPr>
                <w:rFonts w:ascii="Arial" w:cs="Arial" w:eastAsia="Arial" w:hAnsi="Arial"/>
                <w:sz w:val="17"/>
                <w:szCs w:val="17"/>
                <w:color w:val="0000EE"/>
              </w:rPr>
            </w:pPr>
            <w:hyperlink w:anchor="page26">
              <w:r>
                <w:rPr>
                  <w:rFonts w:ascii="Arial" w:cs="Arial" w:eastAsia="Arial" w:hAnsi="Arial"/>
                  <w:sz w:val="17"/>
                  <w:szCs w:val="17"/>
                  <w:color w:val="0000EE"/>
                </w:rPr>
                <w:t>Quantitative and Qualitative Disclosures About Market Risk</w:t>
              </w:r>
            </w:hyperlink>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Borders>
              <w:top w:val="single" w:sz="8" w:color="CCEEFF"/>
            </w:tcBorders>
            <w:gridSpan w:val="2"/>
          </w:tcPr>
          <w:p>
            <w:pPr>
              <w:ind w:left="560"/>
              <w:spacing w:after="0"/>
              <w:rPr>
                <w:sz w:val="20"/>
                <w:szCs w:val="20"/>
                <w:color w:val="auto"/>
              </w:rPr>
            </w:pPr>
            <w:r>
              <w:rPr>
                <w:rFonts w:ascii="Arial" w:cs="Arial" w:eastAsia="Arial" w:hAnsi="Arial"/>
                <w:sz w:val="17"/>
                <w:szCs w:val="17"/>
                <w:color w:val="auto"/>
              </w:rPr>
              <w:t>Item 4</w:t>
            </w: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0000EE"/>
            </w:tcBorders>
            <w:gridSpan w:val="5"/>
            <w:shd w:val="clear" w:color="auto" w:fill="CCEEFF"/>
          </w:tcPr>
          <w:p>
            <w:pPr>
              <w:spacing w:after="0" w:line="169" w:lineRule="exact"/>
              <w:rPr>
                <w:rFonts w:ascii="Arial" w:cs="Arial" w:eastAsia="Arial" w:hAnsi="Arial"/>
                <w:sz w:val="17"/>
                <w:szCs w:val="17"/>
                <w:color w:val="0000EE"/>
                <w:w w:val="89"/>
              </w:rPr>
            </w:pPr>
            <w:hyperlink w:anchor="page26">
              <w:r>
                <w:rPr>
                  <w:rFonts w:ascii="Arial" w:cs="Arial" w:eastAsia="Arial" w:hAnsi="Arial"/>
                  <w:sz w:val="17"/>
                  <w:szCs w:val="17"/>
                  <w:color w:val="0000EE"/>
                  <w:w w:val="89"/>
                </w:rPr>
                <w:t>Controls and Procedures</w:t>
              </w:r>
            </w:hyperlink>
          </w:p>
        </w:tc>
        <w:tc>
          <w:tcPr>
            <w:tcW w:w="7600" w:type="dxa"/>
            <w:vAlign w:val="bottom"/>
            <w:tcBorders>
              <w:bottom w:val="single" w:sz="8" w:color="CCEEFF"/>
            </w:tcBorders>
            <w:gridSpan w:val="7"/>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0460" w:type="dxa"/>
            <w:vAlign w:val="bottom"/>
            <w:gridSpan w:val="15"/>
          </w:tcPr>
          <w:p>
            <w:pPr>
              <w:spacing w:after="0"/>
              <w:rPr>
                <w:sz w:val="20"/>
                <w:szCs w:val="20"/>
                <w:color w:val="auto"/>
              </w:rPr>
            </w:pPr>
            <w:r>
              <w:rPr>
                <w:rFonts w:ascii="Arial" w:cs="Arial" w:eastAsia="Arial" w:hAnsi="Arial"/>
                <w:sz w:val="17"/>
                <w:szCs w:val="17"/>
                <w:b w:val="1"/>
                <w:bCs w:val="1"/>
                <w:color w:val="auto"/>
              </w:rPr>
              <w:t>PART II. 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140" w:type="dxa"/>
            <w:vAlign w:val="bottom"/>
            <w:gridSpan w:val="2"/>
          </w:tcPr>
          <w:p>
            <w:pPr>
              <w:ind w:left="560"/>
              <w:spacing w:after="0"/>
              <w:rPr>
                <w:sz w:val="20"/>
                <w:szCs w:val="20"/>
                <w:color w:val="auto"/>
              </w:rPr>
            </w:pPr>
            <w:r>
              <w:rPr>
                <w:rFonts w:ascii="Arial" w:cs="Arial" w:eastAsia="Arial" w:hAnsi="Arial"/>
                <w:sz w:val="17"/>
                <w:szCs w:val="17"/>
                <w:color w:val="auto"/>
                <w:w w:val="95"/>
              </w:rPr>
              <w:t>Item 1A</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300" w:type="dxa"/>
            <w:vAlign w:val="bottom"/>
            <w:gridSpan w:val="12"/>
            <w:shd w:val="clear" w:color="auto" w:fill="CCEEFF"/>
          </w:tcPr>
          <w:p>
            <w:pPr>
              <w:spacing w:after="0" w:line="169" w:lineRule="exact"/>
              <w:rPr>
                <w:rFonts w:ascii="Arial" w:cs="Arial" w:eastAsia="Arial" w:hAnsi="Arial"/>
                <w:sz w:val="17"/>
                <w:szCs w:val="17"/>
                <w:color w:val="0000EE"/>
              </w:rPr>
            </w:pPr>
            <w:hyperlink w:anchor="page27">
              <w:r>
                <w:rPr>
                  <w:rFonts w:ascii="Arial" w:cs="Arial" w:eastAsia="Arial" w:hAnsi="Arial"/>
                  <w:sz w:val="17"/>
                  <w:szCs w:val="17"/>
                  <w:color w:val="0000EE"/>
                </w:rPr>
                <w:t>Risk Factors</w:t>
              </w:r>
            </w:hyperlink>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Borders>
              <w:top w:val="single" w:sz="8" w:color="CCEEFF"/>
            </w:tcBorders>
            <w:gridSpan w:val="2"/>
          </w:tcPr>
          <w:p>
            <w:pPr>
              <w:ind w:left="560"/>
              <w:spacing w:after="0"/>
              <w:rPr>
                <w:sz w:val="20"/>
                <w:szCs w:val="20"/>
                <w:color w:val="auto"/>
              </w:rPr>
            </w:pPr>
            <w:r>
              <w:rPr>
                <w:rFonts w:ascii="Arial" w:cs="Arial" w:eastAsia="Arial" w:hAnsi="Arial"/>
                <w:sz w:val="17"/>
                <w:szCs w:val="17"/>
                <w:color w:val="auto"/>
              </w:rPr>
              <w:t>Item 6</w:t>
            </w: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300" w:type="dxa"/>
            <w:vAlign w:val="bottom"/>
            <w:gridSpan w:val="12"/>
            <w:shd w:val="clear" w:color="auto" w:fill="CCEEFF"/>
          </w:tcPr>
          <w:p>
            <w:pPr>
              <w:spacing w:after="0" w:line="169" w:lineRule="exact"/>
              <w:rPr>
                <w:rFonts w:ascii="Arial" w:cs="Arial" w:eastAsia="Arial" w:hAnsi="Arial"/>
                <w:sz w:val="17"/>
                <w:szCs w:val="17"/>
                <w:color w:val="0000EE"/>
              </w:rPr>
            </w:pPr>
            <w:hyperlink w:anchor="page27">
              <w:r>
                <w:rPr>
                  <w:rFonts w:ascii="Arial" w:cs="Arial" w:eastAsia="Arial" w:hAnsi="Arial"/>
                  <w:sz w:val="17"/>
                  <w:szCs w:val="17"/>
                  <w:color w:val="0000EE"/>
                </w:rPr>
                <w:t>Exhibits</w:t>
              </w:r>
            </w:hyperlink>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9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40" w:type="dxa"/>
            <w:vAlign w:val="bottom"/>
            <w:gridSpan w:val="2"/>
            <w:shd w:val="clear" w:color="auto" w:fill="CCEEFF"/>
          </w:tcPr>
          <w:p>
            <w:pPr>
              <w:spacing w:after="0" w:line="167"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SIGNATURES</w:t>
              </w:r>
            </w:hyperlink>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820" w:type="dxa"/>
            <w:vAlign w:val="bottom"/>
            <w:tcBorders>
              <w:top w:val="single" w:sz="8" w:color="CCEEFF"/>
            </w:tcBorders>
            <w:gridSpan w:val="7"/>
          </w:tcPr>
          <w:p>
            <w:pPr>
              <w:ind w:left="4160"/>
              <w:spacing w:after="0"/>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October 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July 29,</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49,771</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Property held for sale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 receivable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160,668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12,704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261,821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245,915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1,690,936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1,673,873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 of capital leases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678,942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664,709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 –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1,011,994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1,009,164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1,327,928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101,467</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Current maturities of long-term debt and other long-term obligations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4,812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taxes payable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Accrued interest expense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10,177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159,444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275,607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267,103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545,429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550,143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long-term obligations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98,351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105,661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68,339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 (Note 13)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stock – 100,000,000 shares of $.01 par value authorized; no shares issued</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w w:val="93"/>
              </w:rPr>
              <w:t>Common stock – 400,000,000 shares of $.01 par value authorized; 22,917,135 shares issued and outstanding at October 28,</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2011, and 22,840,974 shares issued and outstanding at July 29, 2011</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(34,082)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(38,032)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298,757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293,461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268,034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1,327,928</w:t>
            </w:r>
          </w:p>
        </w:tc>
        <w:tc>
          <w:tcPr>
            <w:tcW w:w="2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3"/>
        <w:spacing w:after="0" w:line="280" w:lineRule="auto"/>
        <w:tabs>
          <w:tab w:leader="none" w:pos="13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July 29, 2011, as filed in the Company’s Annual Report on Form 10-K for the fiscal year ended July 29, 2011.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STATEMENTS OF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7"/>
                <w:szCs w:val="17"/>
                <w:color w:val="auto"/>
              </w:rPr>
              <w:t>Quarter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October 28,</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598,437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598,691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179,753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412,130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418,938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Labor and related expenses</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220,968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224,604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111,959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Store operating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82,375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37,494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36,876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45,416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11,714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33,702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23,734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22,870,934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22,832,393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23,145,783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23,593,882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declared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0" w:type="dxa"/>
            <w:vAlign w:val="bottom"/>
            <w:gridSpan w:val="3"/>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STATEMENTS OF CASH FLOWS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4" w:lineRule="exact"/>
              <w:rPr>
                <w:sz w:val="20"/>
                <w:szCs w:val="20"/>
                <w:color w:val="auto"/>
              </w:rPr>
            </w:pPr>
            <w:r>
              <w:rPr>
                <w:rFonts w:ascii="Arial" w:cs="Arial" w:eastAsia="Arial" w:hAnsi="Arial"/>
                <w:sz w:val="17"/>
                <w:szCs w:val="17"/>
                <w:color w:val="auto"/>
                <w:w w:val="92"/>
              </w:rPr>
              <w:t>October 28,</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Loss on disposition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(19,121)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(21,711)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(14,591)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Other long-term assets and liabilities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2,619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cash provided by (used in) by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(9,937)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(18,778)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(18,177)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sale of property and equipment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Proceeds from insurance recoveries of property and equipment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(17,957)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Proceeds from issuance of long-term debt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92,600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86,200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(87,943)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Proceeds from exercise of share-based compensation awards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10,307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Dividends on common stock</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(4,547)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decrease in cash and cash equivalents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52,274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47,700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24,661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Cash paid during the period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net of amounts capitalized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Change in deferred tax asset for interest rate swap</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and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Cracker Barrel Old Country Store, Inc. and its affiliates (collectively, in the Notes, the “Company”) are principally engaged in the operation and development in the United States of the Cracker Barrel Old Country Store® (“Cracker Barrel”) concept.</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The condensed consolidated balance sheets at October 28, 2011 and July 29, 2011 and the related condensed consolidated statements of income and cash flows for the quarters ended October 28, 2011 and October 29, 2010, have been prepared by the Company in accordance with accounting principles generally accepted in the United States of America (“GAAP”)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9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2011 (the “2011 Form 10-K”). The accounting policies used in preparing these condensed consolidated financial statements are the same as described in the 2011 Form 10-K. References in these Notes to Condensed Consolidated Financial Statements to a year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The Company does not expect that the adoption of this accounting guidance in the third quarter of 2012 will have a significant impact on its Consolidated Financial Statements.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This guidance is effective for fiscal years beginning after December 15, 2011 on a retrospective basis. The Company does not expect that the adoption of this accounting guidance in the first quarter of 2013 will have a significant impact on its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Company’s assets and liabilities measured at fair value on a recurring basis at October 28, 2011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9"/>
              </w:rPr>
              <w:t>in Active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Other</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4"/>
              </w:rPr>
              <w:t>Markets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Unobservable</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w w:val="92"/>
              </w:rPr>
              <w:t>Identical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of October 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28,251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28,251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55,576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47,342</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47,342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assets and liabilities measured at fair value on a recurring basis at July 29, 2011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9"/>
              </w:rPr>
              <w:t>in Active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Other</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4"/>
              </w:rPr>
              <w:t>Markets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Unobservable</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w w:val="92"/>
              </w:rPr>
              <w:t>Identical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of July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29,665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59,213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59,213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51,604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51,604</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20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liability is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fair values of the Company’s accounts receivable and accounts payable approximate their carrying amounts because of their short duration. The fair value of the Company’s variable rate debt, based on quoted market prices, approximates its carrying amount at October 28, 2011 and July 29, 2011.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Inventories were comprised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October 28,</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July 29,</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125,295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Restaurant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20,421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19,200</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13,518</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160,668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141,547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w w:val="84"/>
              </w:rPr>
              <w:t>4.</w:t>
            </w:r>
          </w:p>
        </w:tc>
        <w:tc>
          <w:tcPr>
            <w:tcW w:w="360" w:type="dxa"/>
            <w:vAlign w:val="bottom"/>
            <w:vMerge w:val="restart"/>
          </w:tcPr>
          <w:p>
            <w:pPr>
              <w:spacing w:after="0"/>
              <w:rPr>
                <w:sz w:val="20"/>
                <w:szCs w:val="20"/>
                <w:color w:val="auto"/>
              </w:rPr>
            </w:pPr>
            <w:r>
              <w:rPr>
                <w:rFonts w:ascii="Arial" w:cs="Arial" w:eastAsia="Arial" w:hAnsi="Arial"/>
                <w:sz w:val="17"/>
                <w:szCs w:val="17"/>
                <w:b w:val="1"/>
                <w:bCs w:val="1"/>
                <w:color w:val="auto"/>
                <w:w w:val="89"/>
              </w:rPr>
              <w:t>Debt</w:t>
            </w:r>
          </w:p>
        </w:tc>
        <w:tc>
          <w:tcPr>
            <w:tcW w:w="69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0" w:type="dxa"/>
            <w:vAlign w:val="bottom"/>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6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at: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October 28,</w:t>
            </w:r>
          </w:p>
        </w:tc>
        <w:tc>
          <w:tcPr>
            <w:tcW w:w="1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July 29,</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Term loan payable on or before July 8, 2016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231,250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231,250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 payable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550,220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550,246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(4,791)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26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545,429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550,143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October 28, 2011, the Company had $318,750 outstanding borrowings under the Revolving Credit Facility. At October 28, 2011, the Company had $28,706 of standby letters of credit, which reduce the Company’s availability under the Revolving Credit Facility (see Note 13). At October 28, 2011, the Company had $152,544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As of October 28, 2011, the Company’s outstanding borrowings were swapped at weighted average interest rates of 7.57% (see Note 5 for information on the Company’s interest rate swaps).</w:t>
      </w:r>
    </w:p>
    <w:p>
      <w:pPr>
        <w:spacing w:after="0" w:line="202"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Credit Facility contains customary financial covenants, which are specified in the agreement and include maintenance of a maximum consolidated total leverage ratio and a minimum consolidated interest coverage ratio. At October 28, 2011, the Company was in compliance with all debt covenants.</w:t>
      </w:r>
    </w:p>
    <w:p>
      <w:pPr>
        <w:spacing w:after="0" w:line="167"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Credit Facility also imposes restrictions on the amount of dividends the Company is able to pay. If there is no default then existing and the total of our availability under the Revolving Credit Facility plus the Company’s cash and cash equivalents on hand is at least $100,000, the Company may: (1) pay cash dividends on its common stock if the aggregate amount of dividends paid in any fiscal year is less than 15% of Consolidated EBITDA from continuing operations (as defined in the Credit Facility) during the immediately preceding fiscal year; or (2) increase its regular quarterly cash dividend in any quarter by an amount not to exceed the greater of $.01 per share or 10% of the amount of the dividend paid in the prior fiscal quarter.</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 has interest rate risk relative to its outstanding borrowings, which bear interest at the Company’s election either at the prime rate or LIBOR plus a percentage point spread based on certain specified financial ratios under the Credit Facility (see Note 4). The Company’s policy has been to manage interest cost using a mix of fixed and variable rate debt. To manage this risk in a cost efficient manner, the Company uses derivative instruments, specifically interest rate swaps.</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On May 4, 2006, the Company entered into an interest rate swap (the “2006 swap”) in which it agreed to exchange with a counterparty, at specified intervals effective August 3, 2006, the difference between fixed and variable interest amounts calculated by reference to an agreed-upon notional principal amount. The swapped portion of the outstanding debt or notional amount of the 2006 swap over its remaining life is as follows: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From May 3, 2011 to May 2, 2012</w:t>
            </w:r>
          </w:p>
        </w:tc>
        <w:tc>
          <w:tcPr>
            <w:tcW w:w="3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550,000</w:t>
            </w:r>
          </w:p>
        </w:tc>
      </w:tr>
      <w:tr>
        <w:trPr>
          <w:trHeight w:val="217"/>
        </w:trPr>
        <w:tc>
          <w:tcPr>
            <w:tcW w:w="5460" w:type="dxa"/>
            <w:vAlign w:val="bottom"/>
          </w:tcPr>
          <w:p>
            <w:pPr>
              <w:spacing w:after="0"/>
              <w:rPr>
                <w:sz w:val="20"/>
                <w:szCs w:val="20"/>
                <w:color w:val="auto"/>
              </w:rPr>
            </w:pPr>
            <w:r>
              <w:rPr>
                <w:rFonts w:ascii="Arial" w:cs="Arial" w:eastAsia="Arial" w:hAnsi="Arial"/>
                <w:sz w:val="17"/>
                <w:szCs w:val="17"/>
                <w:color w:val="auto"/>
              </w:rPr>
              <w:t>From May 3, 2012 to May 3, 2013</w:t>
            </w:r>
          </w:p>
        </w:tc>
        <w:tc>
          <w:tcPr>
            <w:tcW w:w="338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525,000</w:t>
            </w:r>
          </w:p>
        </w:tc>
      </w:tr>
    </w:tbl>
    <w:p>
      <w:pPr>
        <w:spacing w:after="0" w:line="20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2006 swap was accounted for as a cash flow hedge and expires in May 2013. The rate on the portion of the Company’s outstanding debt covered by the 2006 swap is fixed at a rate of 5.57% plus the Company’s credit spread over the 7-year life of the 2006 swap. The Company’s weighted average credit spread at October 28, 2011 was 2.00%.</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On August 10, 2010, the Company entered into a second interest rate swap (the “2010 swap”) in which it agreed to exchange with a counterparty, effective May 3, 2013, the difference between fixed and variable interest amounts calculated by reference to the notional principal amount of $200,000. The 2010 swap was also accounted for as a cash flow hedge. The rate on the portion of the Company’s outstanding debt covered by the 2010 swap will be fixed at a rate of 2.73% plus the Company’s credit spread over the 2-year life of the 2010 swap.</w:t>
      </w:r>
    </w:p>
    <w:p>
      <w:pPr>
        <w:spacing w:after="0" w:line="205"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6"/>
          <w:szCs w:val="16"/>
          <w:color w:val="auto"/>
        </w:rPr>
        <w:t>On July 25, 2011, the Company entered into two additional interest rate swaps; one with a 2-year life (the “2011 2-year swap”) and one with a 3-year life (the “2011 3-year swap”). For both of these interest rate swaps, the Company agreed to exchange with counterparties, effective May 3, 2013, the difference between fixed and variable interest amounts calculated by reference to the notional principal amount of $50,000 for each interest rate swap. These interest rate swaps were also accounted for as cash flow hedges. The rates on the portion of the Company’s outstanding debt covered by the 2011 2-year swap and 2011 3-year swap will be fixed at 2.00% and 2.45%, respectively, plus the Company’s credit spreads over the respective lives of the interest rate swaps.</w:t>
      </w:r>
    </w:p>
    <w:p>
      <w:pPr>
        <w:spacing w:after="0" w:line="192" w:lineRule="exact"/>
        <w:rPr>
          <w:sz w:val="20"/>
          <w:szCs w:val="20"/>
          <w:color w:val="auto"/>
        </w:rPr>
      </w:pPr>
    </w:p>
    <w:p>
      <w:pPr>
        <w:jc w:val="both"/>
        <w:ind w:right="20" w:firstLine="620"/>
        <w:spacing w:after="0" w:line="283" w:lineRule="auto"/>
        <w:rPr>
          <w:sz w:val="20"/>
          <w:szCs w:val="20"/>
          <w:color w:val="auto"/>
        </w:rPr>
      </w:pPr>
      <w:r>
        <w:rPr>
          <w:rFonts w:ascii="Arial" w:cs="Arial" w:eastAsia="Arial" w:hAnsi="Arial"/>
          <w:sz w:val="16"/>
          <w:szCs w:val="16"/>
          <w:color w:val="auto"/>
        </w:rPr>
        <w:t>Additionally, on September 19, 2011, the Company entered into two interest rate swaps. For both of these interest rate swaps, the Company agreed to exchange with counterparties, effective May 3, 2013, the difference between fixed and variable interest amounts calculated by reference to the notional principal amount of $25,000 for each interest rate swap. These interest rate swaps were also accounted for as cash flow hedges. The rate on the portion of the Company’s outstanding debt covered by these swaps will be fixed at a rate of 1.05% plus the Company’s credit spread over the 2-year life of each swap.</w:t>
      </w:r>
    </w:p>
    <w:p>
      <w:pPr>
        <w:spacing w:after="0" w:line="190"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w:t>
      </w:r>
    </w:p>
    <w:p>
      <w:pPr>
        <w:spacing w:after="0" w:line="202"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fair values of the Company’s derivative instruments as of October 28, 2011 and July 29, 2011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color w:val="auto"/>
              </w:rPr>
              <w:t>Asset</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Liability</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80" w:type="dxa"/>
            <w:vAlign w:val="bottom"/>
          </w:tcPr>
          <w:p>
            <w:pPr>
              <w:jc w:val="center"/>
              <w:spacing w:after="0" w:line="194" w:lineRule="exact"/>
              <w:rPr>
                <w:sz w:val="20"/>
                <w:szCs w:val="20"/>
                <w:color w:val="auto"/>
              </w:rPr>
            </w:pPr>
            <w:r>
              <w:rPr>
                <w:rFonts w:ascii="Arial" w:cs="Arial" w:eastAsia="Arial" w:hAnsi="Arial"/>
                <w:sz w:val="17"/>
                <w:szCs w:val="17"/>
                <w:color w:val="auto"/>
                <w:w w:val="86"/>
              </w:rPr>
              <w:t>Balance Sheet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line="194" w:lineRule="exact"/>
              <w:rPr>
                <w:sz w:val="20"/>
                <w:szCs w:val="20"/>
                <w:color w:val="auto"/>
              </w:rPr>
            </w:pPr>
            <w:r>
              <w:rPr>
                <w:rFonts w:ascii="Arial" w:cs="Arial" w:eastAsia="Arial" w:hAnsi="Arial"/>
                <w:sz w:val="17"/>
                <w:szCs w:val="17"/>
                <w:color w:val="auto"/>
                <w:w w:val="90"/>
              </w:rPr>
              <w:t>October 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94"/>
              <w:spacing w:after="0" w:line="194" w:lineRule="exact"/>
              <w:rPr>
                <w:sz w:val="20"/>
                <w:szCs w:val="20"/>
                <w:color w:val="auto"/>
              </w:rPr>
            </w:pPr>
            <w:r>
              <w:rPr>
                <w:rFonts w:ascii="Arial" w:cs="Arial" w:eastAsia="Arial" w:hAnsi="Arial"/>
                <w:sz w:val="17"/>
                <w:szCs w:val="17"/>
                <w:color w:val="auto"/>
                <w:w w:val="92"/>
              </w:rPr>
              <w:t>July 29,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Arial" w:cs="Arial" w:eastAsia="Arial" w:hAnsi="Arial"/>
                <w:sz w:val="17"/>
                <w:szCs w:val="17"/>
                <w:color w:val="auto"/>
                <w:w w:val="92"/>
              </w:rPr>
              <w:t>October 28,</w:t>
            </w:r>
          </w:p>
        </w:tc>
        <w:tc>
          <w:tcPr>
            <w:tcW w:w="220" w:type="dxa"/>
            <w:vAlign w:val="bottom"/>
          </w:tcPr>
          <w:p>
            <w:pPr>
              <w:spacing w:after="0"/>
              <w:rPr>
                <w:sz w:val="16"/>
                <w:szCs w:val="16"/>
                <w:color w:val="auto"/>
              </w:rPr>
            </w:pPr>
          </w:p>
        </w:tc>
        <w:tc>
          <w:tcPr>
            <w:tcW w:w="900" w:type="dxa"/>
            <w:vAlign w:val="bottom"/>
          </w:tcPr>
          <w:p>
            <w:pPr>
              <w:jc w:val="center"/>
              <w:ind w:right="134"/>
              <w:spacing w:after="0" w:line="194" w:lineRule="exact"/>
              <w:rPr>
                <w:sz w:val="20"/>
                <w:szCs w:val="20"/>
                <w:color w:val="auto"/>
              </w:rPr>
            </w:pPr>
            <w:r>
              <w:rPr>
                <w:rFonts w:ascii="Arial" w:cs="Arial" w:eastAsia="Arial" w:hAnsi="Arial"/>
                <w:sz w:val="17"/>
                <w:szCs w:val="17"/>
                <w:color w:val="auto"/>
                <w:w w:val="95"/>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Location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Interest rate swaps*</w:t>
            </w:r>
          </w:p>
        </w:tc>
        <w:tc>
          <w:tcPr>
            <w:tcW w:w="86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(See Note 2)</w:t>
            </w:r>
          </w:p>
        </w:tc>
        <w:tc>
          <w:tcPr>
            <w:tcW w:w="37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Interest rate swap liability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47,446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interest rate swaps are subject to a master netting agreement and are presented on a net basis in the condensed consolidated balance sheets.</w:t>
      </w:r>
    </w:p>
    <w:p>
      <w:pPr>
        <w:spacing w:after="0" w:line="255"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liability incorporates the Company’s non-performance risk (see Note 2). The adjustment related to the Company’s non-performance risk at October 28, 2011 and July 29, 2011 resulted in reductions of $1,941 and $1,546, respectively, in the fair value of the interest rate swap liability. The offset to the interest rate swap liability is recorded in accumulated other comprehensive loss (“AOCL”), net of the deferred tax asset, and will be reclassified into earnings over the term of the underlying debt. As of October 28, 2011, the estimated pre-tax portion of AOCL that is expected to be reclassified into earnings over the next twelve months is $27,641.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 on AOCL for the quarter ended October 28, 2011 and the year ended July 29,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Arial" w:cs="Arial" w:eastAsia="Arial" w:hAnsi="Arial"/>
                <w:sz w:val="17"/>
                <w:szCs w:val="17"/>
                <w:color w:val="auto"/>
                <w:w w:val="95"/>
              </w:rPr>
              <w:t>Amount of Income Recognized in AOCL on</w:t>
            </w:r>
          </w:p>
        </w:tc>
      </w:tr>
      <w:tr>
        <w:trPr>
          <w:trHeight w:val="225"/>
        </w:trPr>
        <w:tc>
          <w:tcPr>
            <w:tcW w:w="8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6"/>
          </w:tcPr>
          <w:p>
            <w:pPr>
              <w:jc w:val="right"/>
              <w:ind w:right="54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1"/>
              </w:rPr>
              <w:t>Quarter Ended</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8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October 28, 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July 29, 2011</w:t>
            </w:r>
          </w:p>
        </w:tc>
        <w:tc>
          <w:tcPr>
            <w:tcW w:w="100" w:type="dxa"/>
            <w:vAlign w:val="bottom"/>
          </w:tcPr>
          <w:p>
            <w:pPr>
              <w:spacing w:after="0"/>
              <w:rPr>
                <w:sz w:val="18"/>
                <w:szCs w:val="18"/>
                <w:color w:val="auto"/>
              </w:rPr>
            </w:pPr>
          </w:p>
        </w:tc>
      </w:tr>
      <w:tr>
        <w:trPr>
          <w:trHeight w:val="205"/>
        </w:trPr>
        <w:tc>
          <w:tcPr>
            <w:tcW w:w="8300" w:type="dxa"/>
            <w:vAlign w:val="bottom"/>
          </w:tcPr>
          <w:p>
            <w:pPr>
              <w:spacing w:after="0"/>
              <w:rPr>
                <w:sz w:val="20"/>
                <w:szCs w:val="20"/>
                <w:color w:val="auto"/>
              </w:rPr>
            </w:pPr>
            <w:r>
              <w:rPr>
                <w:rFonts w:ascii="Arial" w:cs="Arial" w:eastAsia="Arial" w:hAnsi="Arial"/>
                <w:sz w:val="17"/>
                <w:szCs w:val="17"/>
                <w:color w:val="auto"/>
              </w:rPr>
              <w:t>Cash flow hedges: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14,677</w:t>
            </w:r>
          </w:p>
        </w:tc>
      </w:tr>
      <w:tr>
        <w:trPr>
          <w:trHeight w:val="20"/>
        </w:trPr>
        <w:tc>
          <w:tcPr>
            <w:tcW w:w="8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 on income for the quarters ended October 28, 2011 and October 29,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4840" w:type="dxa"/>
            <w:vAlign w:val="bottom"/>
          </w:tcPr>
          <w:p>
            <w:pPr>
              <w:jc w:val="center"/>
              <w:spacing w:after="0"/>
              <w:rPr>
                <w:sz w:val="20"/>
                <w:szCs w:val="20"/>
                <w:color w:val="auto"/>
              </w:rPr>
            </w:pPr>
            <w:r>
              <w:rPr>
                <w:rFonts w:ascii="Arial" w:cs="Arial" w:eastAsia="Arial" w:hAnsi="Arial"/>
                <w:sz w:val="17"/>
                <w:szCs w:val="17"/>
                <w:color w:val="auto"/>
                <w:w w:val="94"/>
              </w:rPr>
              <w:t>Location of Loss Reclassified from</w:t>
            </w:r>
          </w:p>
        </w:tc>
        <w:tc>
          <w:tcPr>
            <w:tcW w:w="100" w:type="dxa"/>
            <w:vAlign w:val="bottom"/>
          </w:tcPr>
          <w:p>
            <w:pPr>
              <w:spacing w:after="0"/>
              <w:rPr>
                <w:sz w:val="17"/>
                <w:szCs w:val="17"/>
                <w:color w:val="auto"/>
              </w:rPr>
            </w:pPr>
          </w:p>
        </w:tc>
        <w:tc>
          <w:tcPr>
            <w:tcW w:w="3280" w:type="dxa"/>
            <w:vAlign w:val="bottom"/>
            <w:gridSpan w:val="7"/>
          </w:tcPr>
          <w:p>
            <w:pPr>
              <w:jc w:val="center"/>
              <w:ind w:right="80"/>
              <w:spacing w:after="0"/>
              <w:rPr>
                <w:sz w:val="20"/>
                <w:szCs w:val="20"/>
                <w:color w:val="auto"/>
              </w:rPr>
            </w:pPr>
            <w:r>
              <w:rPr>
                <w:rFonts w:ascii="Arial" w:cs="Arial" w:eastAsia="Arial" w:hAnsi="Arial"/>
                <w:sz w:val="17"/>
                <w:szCs w:val="17"/>
                <w:color w:val="auto"/>
                <w:w w:val="95"/>
              </w:rPr>
              <w:t>Amount of Loss Reclassified from AOCL into</w:t>
            </w:r>
          </w:p>
        </w:tc>
      </w:tr>
      <w:tr>
        <w:trPr>
          <w:trHeight w:val="225"/>
        </w:trPr>
        <w:tc>
          <w:tcPr>
            <w:tcW w:w="320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7"/>
                <w:szCs w:val="17"/>
                <w:color w:val="auto"/>
                <w:w w:val="96"/>
              </w:rPr>
              <w:t>AOCL into Income (Effective Portion)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6"/>
          </w:tcPr>
          <w:p>
            <w:pPr>
              <w:jc w:val="center"/>
              <w:ind w:right="220"/>
              <w:spacing w:after="0"/>
              <w:rPr>
                <w:sz w:val="20"/>
                <w:szCs w:val="20"/>
                <w:color w:val="auto"/>
              </w:rPr>
            </w:pPr>
            <w:r>
              <w:rPr>
                <w:rFonts w:ascii="Arial" w:cs="Arial" w:eastAsia="Arial" w:hAnsi="Arial"/>
                <w:sz w:val="17"/>
                <w:szCs w:val="17"/>
                <w:color w:val="auto"/>
                <w:w w:val="95"/>
              </w:rPr>
              <w:t>Income (Effective Portion)</w:t>
            </w:r>
          </w:p>
        </w:tc>
      </w:tr>
      <w:tr>
        <w:trPr>
          <w:trHeight w:val="212"/>
        </w:trPr>
        <w:tc>
          <w:tcPr>
            <w:tcW w:w="3200" w:type="dxa"/>
            <w:vAlign w:val="bottom"/>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5"/>
          </w:tcPr>
          <w:p>
            <w:pPr>
              <w:jc w:val="center"/>
              <w:ind w:right="14"/>
              <w:spacing w:after="0"/>
              <w:rPr>
                <w:sz w:val="20"/>
                <w:szCs w:val="20"/>
                <w:color w:val="auto"/>
              </w:rPr>
            </w:pPr>
            <w:r>
              <w:rPr>
                <w:rFonts w:ascii="Arial" w:cs="Arial" w:eastAsia="Arial" w:hAnsi="Arial"/>
                <w:sz w:val="17"/>
                <w:szCs w:val="17"/>
                <w:color w:val="auto"/>
                <w:w w:val="89"/>
              </w:rPr>
              <w:t>Quarter Ended</w:t>
            </w:r>
          </w:p>
        </w:tc>
        <w:tc>
          <w:tcPr>
            <w:tcW w:w="10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7"/>
                <w:szCs w:val="17"/>
                <w:color w:val="auto"/>
              </w:rPr>
              <w:t>October 28, 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7"/>
                <w:szCs w:val="17"/>
                <w:color w:val="auto"/>
                <w:w w:val="98"/>
              </w:rPr>
              <w:t>October 29, 2010</w:t>
            </w:r>
          </w:p>
        </w:tc>
        <w:tc>
          <w:tcPr>
            <w:tcW w:w="100" w:type="dxa"/>
            <w:vAlign w:val="bottom"/>
          </w:tcPr>
          <w:p>
            <w:pPr>
              <w:spacing w:after="0"/>
              <w:rPr>
                <w:sz w:val="18"/>
                <w:szCs w:val="18"/>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Cash flow hedges:</w:t>
            </w: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4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 expense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7,445</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7,595</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quarters ended October 28, 2011 and October 29, 2010.</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During the quarter ended October 28, 2011, the Company received proceeds of $823 from the exercise of share-based compensation awards and the corresponding issuance of 76,161 shares of its common stock and did not make any share repurchases.</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Company paid dividends of $0.22 per common share. In addition, the Company declared a regular dividend of $0.25 per common share that was paid on November 7, 2011 and is recorded in other current liabilities in the accompanying Condensed Consolidated Balance Sheet.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unrealized loss, net of tax, on the Company’s interest rate swaps decreased by $3,950 to $34,082 and is recorded in AOCL (see Notes 2, 5 and 7).</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Total share-based compensation expense was $2,547. The excess tax benefit realized upon exercise of share-based compensation awards was $83.</w:t>
      </w:r>
    </w:p>
    <w:p>
      <w:pPr>
        <w:spacing w:after="0" w:line="249"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Comprehensive Income</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Comprehensive income for the quarters ended October 28, 2011 and October 29, 2010 consisted of the following:</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r>
      <w:tr>
        <w:trPr>
          <w:trHeight w:val="194"/>
        </w:trPr>
        <w:tc>
          <w:tcPr>
            <w:tcW w:w="7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rPr>
              <w:t>October 28,</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2"/>
              </w:rPr>
              <w:t>October 29,</w:t>
            </w:r>
          </w:p>
        </w:tc>
        <w:tc>
          <w:tcPr>
            <w:tcW w:w="100" w:type="dxa"/>
            <w:vAlign w:val="bottom"/>
          </w:tcPr>
          <w:p>
            <w:pPr>
              <w:spacing w:after="0"/>
              <w:rPr>
                <w:sz w:val="16"/>
                <w:szCs w:val="16"/>
                <w:color w:val="auto"/>
              </w:rPr>
            </w:pPr>
          </w:p>
        </w:tc>
      </w:tr>
      <w:tr>
        <w:trPr>
          <w:trHeight w:val="225"/>
        </w:trPr>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206"/>
        </w:trPr>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23,734</w:t>
            </w:r>
          </w:p>
        </w:tc>
      </w:tr>
      <w:tr>
        <w:trPr>
          <w:trHeight w:val="206"/>
        </w:trPr>
        <w:tc>
          <w:tcPr>
            <w:tcW w:w="7260" w:type="dxa"/>
            <w:vAlign w:val="bottom"/>
          </w:tcPr>
          <w:p>
            <w:pPr>
              <w:ind w:left="160"/>
              <w:spacing w:after="0"/>
              <w:rPr>
                <w:sz w:val="20"/>
                <w:szCs w:val="20"/>
                <w:color w:val="auto"/>
              </w:rPr>
            </w:pPr>
            <w:r>
              <w:rPr>
                <w:rFonts w:ascii="Arial" w:cs="Arial" w:eastAsia="Arial" w:hAnsi="Arial"/>
                <w:sz w:val="17"/>
                <w:szCs w:val="17"/>
                <w:color w:val="auto"/>
              </w:rPr>
              <w:t>Other comprehensive income: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72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3"/>
              </w:rPr>
              <w:t>Change in fair value of interest rate swaps, net of tax expense of $312 and a tax benefit of $2,349,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5"/>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6"/>
        </w:trPr>
        <w:tc>
          <w:tcPr>
            <w:tcW w:w="7260" w:type="dxa"/>
            <w:vAlign w:val="bottom"/>
          </w:tcPr>
          <w:p>
            <w:pPr>
              <w:ind w:left="160"/>
              <w:spacing w:after="0"/>
              <w:rPr>
                <w:sz w:val="20"/>
                <w:szCs w:val="20"/>
                <w:color w:val="auto"/>
              </w:rPr>
            </w:pPr>
            <w:r>
              <w:rPr>
                <w:rFonts w:ascii="Arial" w:cs="Arial" w:eastAsia="Arial" w:hAnsi="Arial"/>
                <w:sz w:val="17"/>
                <w:szCs w:val="17"/>
                <w:color w:val="auto"/>
              </w:rPr>
              <w:t>Total comprehensive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27,752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23,917</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much higher during the summer months, thereby contributing to higher profits in the Company’s fourth quarter. The Company also generally opens additional new locations throughout the year. Therefore, the results of operations for any interim period cannot be considered indicative of the operating results for an entire year.</w:t>
      </w:r>
    </w:p>
    <w:p>
      <w:pPr>
        <w:spacing w:after="0" w:line="187"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revenue for the quarters ended October 28, 2011 and October 29, 2010 was comprised of the following:</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4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r>
      <w:tr>
        <w:trPr>
          <w:trHeight w:val="194"/>
        </w:trPr>
        <w:tc>
          <w:tcPr>
            <w:tcW w:w="4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20"/>
              <w:spacing w:after="0" w:line="194" w:lineRule="exact"/>
              <w:rPr>
                <w:sz w:val="20"/>
                <w:szCs w:val="20"/>
                <w:color w:val="auto"/>
              </w:rPr>
            </w:pPr>
            <w:r>
              <w:rPr>
                <w:rFonts w:ascii="Arial" w:cs="Arial" w:eastAsia="Arial" w:hAnsi="Arial"/>
                <w:sz w:val="17"/>
                <w:szCs w:val="17"/>
                <w:color w:val="auto"/>
                <w:w w:val="92"/>
              </w:rPr>
              <w:t>October 28,</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2"/>
              </w:rPr>
              <w:t>October 29,</w:t>
            </w:r>
          </w:p>
        </w:tc>
        <w:tc>
          <w:tcPr>
            <w:tcW w:w="100" w:type="dxa"/>
            <w:vAlign w:val="bottom"/>
          </w:tcPr>
          <w:p>
            <w:pPr>
              <w:spacing w:after="0"/>
              <w:rPr>
                <w:sz w:val="16"/>
                <w:szCs w:val="16"/>
                <w:color w:val="auto"/>
              </w:rPr>
            </w:pPr>
          </w:p>
        </w:tc>
      </w:tr>
      <w:tr>
        <w:trPr>
          <w:trHeight w:val="225"/>
        </w:trPr>
        <w:tc>
          <w:tcPr>
            <w:tcW w:w="4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7"/>
                <w:szCs w:val="17"/>
                <w:color w:val="auto"/>
              </w:rPr>
              <w:t>Revenue:</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481,509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481,815</w:t>
            </w:r>
          </w:p>
        </w:tc>
        <w:tc>
          <w:tcPr>
            <w:tcW w:w="100" w:type="dxa"/>
            <w:vAlign w:val="bottom"/>
            <w:shd w:val="clear" w:color="auto" w:fill="CCEEFF"/>
          </w:tcPr>
          <w:p>
            <w:pPr>
              <w:spacing w:after="0"/>
              <w:rPr>
                <w:sz w:val="18"/>
                <w:szCs w:val="18"/>
                <w:color w:val="auto"/>
              </w:rPr>
            </w:pPr>
          </w:p>
        </w:tc>
      </w:tr>
      <w:tr>
        <w:trPr>
          <w:trHeight w:val="206"/>
        </w:trPr>
        <w:tc>
          <w:tcPr>
            <w:tcW w:w="4180" w:type="dxa"/>
            <w:vAlign w:val="bottom"/>
          </w:tcPr>
          <w:p>
            <w:pPr>
              <w:ind w:left="160"/>
              <w:spacing w:after="0"/>
              <w:rPr>
                <w:sz w:val="20"/>
                <w:szCs w:val="20"/>
                <w:color w:val="auto"/>
              </w:rPr>
            </w:pPr>
            <w:r>
              <w:rPr>
                <w:rFonts w:ascii="Arial" w:cs="Arial" w:eastAsia="Arial" w:hAnsi="Arial"/>
                <w:sz w:val="17"/>
                <w:szCs w:val="17"/>
                <w:color w:val="auto"/>
              </w:rPr>
              <w:t>Retail</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116,928</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116,876</w:t>
            </w:r>
          </w:p>
        </w:tc>
      </w:tr>
      <w:tr>
        <w:trPr>
          <w:trHeight w:val="26"/>
        </w:trPr>
        <w:tc>
          <w:tcPr>
            <w:tcW w:w="4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598,437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598,691</w:t>
            </w:r>
          </w:p>
        </w:tc>
        <w:tc>
          <w:tcPr>
            <w:tcW w:w="100" w:type="dxa"/>
            <w:vAlign w:val="bottom"/>
            <w:shd w:val="clear" w:color="auto" w:fill="CCEEFF"/>
          </w:tcPr>
          <w:p>
            <w:pPr>
              <w:spacing w:after="0"/>
              <w:rPr>
                <w:sz w:val="19"/>
                <w:szCs w:val="19"/>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Share-based compensation is recorded in general and administrative expenses in the Consolidated Statements of Income. For the quarters ended October 28, 2011 and October 29, 2010, share-based compensation expense totaled $408 and $713, respectively, for stock options and $1,539 and $1,749 respectively, for nonvested stock. For the quarter ended October 28, 2011, share-based compensation expense for performance-based stock units totaled $600.</w:t>
      </w:r>
    </w:p>
    <w:p>
      <w:pPr>
        <w:spacing w:after="0" w:line="177"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Restructuring</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July 2011, as part of its cost reduction and organization streamlining initiative, the Company incurred severance charges related to the elimination of approximately 60 management and staff positions. The related severance accrual is recorded in other current liabilities in the accompanying Condensed Consolidated Balance Sheets.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Liability at July 29, 2011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100" w:type="dxa"/>
            <w:vAlign w:val="bottom"/>
            <w:shd w:val="clear" w:color="auto" w:fill="CCEEFF"/>
          </w:tcPr>
          <w:p>
            <w:pPr>
              <w:spacing w:after="0"/>
              <w:rPr>
                <w:sz w:val="17"/>
                <w:szCs w:val="17"/>
                <w:color w:val="auto"/>
              </w:rPr>
            </w:pPr>
          </w:p>
        </w:tc>
      </w:tr>
      <w:tr>
        <w:trPr>
          <w:trHeight w:val="206"/>
        </w:trPr>
        <w:tc>
          <w:tcPr>
            <w:tcW w:w="8540" w:type="dxa"/>
            <w:vAlign w:val="bottom"/>
          </w:tcPr>
          <w:p>
            <w:pPr>
              <w:spacing w:after="0"/>
              <w:rPr>
                <w:sz w:val="20"/>
                <w:szCs w:val="20"/>
                <w:color w:val="auto"/>
              </w:rPr>
            </w:pPr>
            <w:r>
              <w:rPr>
                <w:rFonts w:ascii="Arial" w:cs="Arial" w:eastAsia="Arial" w:hAnsi="Arial"/>
                <w:sz w:val="17"/>
                <w:szCs w:val="17"/>
                <w:color w:val="auto"/>
              </w:rPr>
              <w:t>Payments</w:t>
            </w:r>
          </w:p>
        </w:tc>
        <w:tc>
          <w:tcPr>
            <w:tcW w:w="3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(782)</w:t>
            </w:r>
          </w:p>
        </w:tc>
      </w:tr>
      <w:tr>
        <w:trPr>
          <w:trHeight w:val="212"/>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Adjustments</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w:t>
            </w:r>
          </w:p>
        </w:tc>
      </w:tr>
      <w:tr>
        <w:trPr>
          <w:trHeight w:val="206"/>
        </w:trPr>
        <w:tc>
          <w:tcPr>
            <w:tcW w:w="85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Liability at October 28, 2011</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top w:val="single" w:sz="8" w:color="CCEEFF"/>
            </w:tcBorders>
          </w:tcPr>
          <w:p>
            <w:pPr>
              <w:spacing w:after="0"/>
              <w:rPr>
                <w:sz w:val="17"/>
                <w:szCs w:val="17"/>
                <w:color w:val="auto"/>
              </w:rPr>
            </w:pP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Basic consolidated net income per share is computed by dividing consolidated net income available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reporting period. Common equivalent shares related to stock options and nonvested stock and stock awards issued by the Company are calculated using the treasury stock method. The Company’s outstanding stock options and nonvested stock and stock awards issued by the Company represent the only dilutive effects on diluted consolidated net income per share.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reconciles the components of diluted earnings per share computations: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7"/>
                <w:szCs w:val="17"/>
                <w:color w:val="auto"/>
              </w:rPr>
              <w:t>Quarter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October 28,</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23,734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4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tcPr>
          <w:p>
            <w:pPr>
              <w:ind w:left="140"/>
              <w:spacing w:after="0"/>
              <w:rPr>
                <w:sz w:val="20"/>
                <w:szCs w:val="20"/>
                <w:color w:val="auto"/>
              </w:rPr>
            </w:pPr>
            <w:r>
              <w:rPr>
                <w:rFonts w:ascii="Arial" w:cs="Arial" w:eastAsia="Arial" w:hAnsi="Arial"/>
                <w:sz w:val="17"/>
                <w:szCs w:val="17"/>
                <w:color w:val="auto"/>
              </w:rPr>
              <w:t>Basic weighted average shares outstanding</w:t>
            </w:r>
          </w:p>
        </w:tc>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22,870,934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22,832,393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tcPr>
          <w:p>
            <w:pPr>
              <w:ind w:left="300"/>
              <w:spacing w:after="0"/>
              <w:rPr>
                <w:sz w:val="20"/>
                <w:szCs w:val="20"/>
                <w:color w:val="auto"/>
              </w:rPr>
            </w:pPr>
            <w:r>
              <w:rPr>
                <w:rFonts w:ascii="Arial" w:cs="Arial" w:eastAsia="Arial" w:hAnsi="Arial"/>
                <w:sz w:val="17"/>
                <w:szCs w:val="17"/>
                <w:color w:val="auto"/>
              </w:rPr>
              <w:t>Stock options and nonvested stock and stock awards</w:t>
            </w:r>
          </w:p>
        </w:tc>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761,489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weighted average shares outstanding</w:t>
            </w:r>
          </w:p>
        </w:tc>
        <w:tc>
          <w:tcPr>
            <w:tcW w:w="4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23,145,783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23,593,882</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tcPr>
          <w:p>
            <w:pPr>
              <w:jc w:val="right"/>
              <w:ind w:right="2943"/>
              <w:spacing w:after="0"/>
              <w:rPr>
                <w:sz w:val="20"/>
                <w:szCs w:val="20"/>
                <w:color w:val="auto"/>
              </w:rPr>
            </w:pPr>
            <w:r>
              <w:rPr>
                <w:rFonts w:ascii="Arial" w:cs="Arial" w:eastAsia="Arial" w:hAnsi="Arial"/>
                <w:sz w:val="14"/>
                <w:szCs w:val="14"/>
                <w:color w:val="auto"/>
              </w:rPr>
              <w:t>12</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parties to various legal and regulatory proceedings and claims incidental to and arising out of the ordinary course of its business.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October 28, 2011, the Company had $28,706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first quarter of 2012, the Company received proceeds of $3,000 from a lawsuit settlement and recorded the proceeds as a gain that is included in other store operating expenses in the accompanying Condensed Consolidated Statement of Income. Because the Company believed this settlement represented a gain contingency, the Company did not record such gain contingency until the settlement amount and timing were assured.</w:t>
      </w:r>
    </w:p>
    <w:p>
      <w:pPr>
        <w:spacing w:after="0" w:line="202"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The Company is secondarily liable for lease payments under the terms of an operating lease that has been assigned to a third party. At October 28, 2011, the lease has a remaining life of approximately 1.9 years with annual lease payments of approximately $361 for a total guarantee of $691. The Company’s performance is required only if the assignee fails to perform its obligations as lessee. At this time, the Company has no reason to believe that the assignee will not perform and, therefore, no provision has been made in the Condensed Consolidated Balance Sheets for amounts to be paid in case of non-performance by the assignee.</w:t>
      </w:r>
    </w:p>
    <w:p>
      <w:pPr>
        <w:spacing w:after="0" w:line="17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Upon the sale of Logan’s Roadhouse, Inc. (“Logan’s”) in 2007, the Company reaffirmed its guarantee of the lease payments for two Logan’s restaurants. At October 28, 2011, the operating leases had remaining lives of 0.2 and 8.4 years with annual payments of approximately $94 and $108, respectively, for a total guarantee of $971. The Company’s performance is required only if Logan’s fails to perform its obligations as lessee. At this time, the Company has no reason to believe Logan’s will not perform, and therefore, no provision has been made in the Condensed Consolidated Balance Sheets for amounts to be paid as a result of non-performance by Logan’s.</w:t>
      </w:r>
    </w:p>
    <w:p>
      <w:pPr>
        <w:spacing w:after="0" w:line="206"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connection with the divestiture of Logan’s, the Company entered into various agreements to indemnify third parties against certain tax obligations, for any breaches of representations and warranties in the applicable transaction documents and for certain costs and expenses that may arise out of specified real estate matters, including potential relocation and legal costs. The Company believes that the probability of being required to make any indemnification payments to Logan’s is remote, and therefore, no provision has been recorded in the Condensed Consolidated Balance Sheets for potential tax indemnifications.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October 28, 2011, we operated 606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 this Quarterly Report on Form 10-Q and (ii) financial statements and the notes thereto included in the Company’s Annual Report on Form 10-K for the fiscal year ended July 29, 2011 (the “2011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2011 Form 10-K, which is incorporated herein by this reference, as well as the factors described under “Critical Accounting Estimates” on pages 21-25 of the Form 10-Q or, from time to time, in our filings with the Securities and Exchange Commission (“SEC”), press releases and other communications.</w:t>
      </w:r>
    </w:p>
    <w:p>
      <w:pPr>
        <w:spacing w:after="0" w:line="19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since the statements speak only as of the report’s date. Except as may be required by law, we have no obligation, and do not intend,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ended October 28, 2011 as compared to the same period in the prior year:</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7160" w:type="dxa"/>
            <w:vAlign w:val="bottom"/>
          </w:tcPr>
          <w:p>
            <w:pPr>
              <w:spacing w:after="0"/>
              <w:rPr>
                <w:sz w:val="19"/>
                <w:szCs w:val="19"/>
                <w:color w:val="auto"/>
              </w:rPr>
            </w:pPr>
          </w:p>
        </w:tc>
        <w:tc>
          <w:tcPr>
            <w:tcW w:w="2560" w:type="dxa"/>
            <w:vAlign w:val="bottom"/>
            <w:gridSpan w:val="4"/>
          </w:tcPr>
          <w:p>
            <w:pPr>
              <w:jc w:val="right"/>
              <w:ind w:right="860"/>
              <w:spacing w:after="0"/>
              <w:rPr>
                <w:sz w:val="20"/>
                <w:szCs w:val="20"/>
                <w:color w:val="auto"/>
              </w:rPr>
            </w:pPr>
            <w:r>
              <w:rPr>
                <w:rFonts w:ascii="Arial" w:cs="Arial" w:eastAsia="Arial" w:hAnsi="Arial"/>
                <w:sz w:val="17"/>
                <w:szCs w:val="17"/>
                <w:color w:val="auto"/>
              </w:rPr>
              <w:t>Quarter Ended</w:t>
            </w:r>
          </w:p>
        </w:tc>
      </w:tr>
      <w:tr>
        <w:trPr>
          <w:trHeight w:val="194"/>
        </w:trPr>
        <w:tc>
          <w:tcPr>
            <w:tcW w:w="716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360"/>
              <w:spacing w:after="0" w:line="194" w:lineRule="exact"/>
              <w:rPr>
                <w:sz w:val="20"/>
                <w:szCs w:val="20"/>
                <w:color w:val="auto"/>
              </w:rPr>
            </w:pPr>
            <w:r>
              <w:rPr>
                <w:rFonts w:ascii="Arial" w:cs="Arial" w:eastAsia="Arial" w:hAnsi="Arial"/>
                <w:sz w:val="17"/>
                <w:szCs w:val="17"/>
                <w:color w:val="auto"/>
              </w:rPr>
              <w:t>October 28,</w:t>
            </w:r>
          </w:p>
        </w:tc>
        <w:tc>
          <w:tcPr>
            <w:tcW w:w="110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October 29,</w:t>
            </w:r>
          </w:p>
        </w:tc>
        <w:tc>
          <w:tcPr>
            <w:tcW w:w="160" w:type="dxa"/>
            <w:vAlign w:val="bottom"/>
          </w:tcPr>
          <w:p>
            <w:pPr>
              <w:spacing w:after="0"/>
              <w:rPr>
                <w:sz w:val="16"/>
                <w:szCs w:val="16"/>
                <w:color w:val="auto"/>
              </w:rPr>
            </w:pPr>
          </w:p>
        </w:tc>
      </w:tr>
      <w:tr>
        <w:trPr>
          <w:trHeight w:val="225"/>
        </w:trPr>
        <w:tc>
          <w:tcPr>
            <w:tcW w:w="7160" w:type="dxa"/>
            <w:vAlign w:val="bottom"/>
          </w:tcPr>
          <w:p>
            <w:pPr>
              <w:spacing w:after="0"/>
              <w:rPr>
                <w:sz w:val="19"/>
                <w:szCs w:val="19"/>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60" w:type="dxa"/>
            <w:vAlign w:val="bottom"/>
          </w:tcPr>
          <w:p>
            <w:pPr>
              <w:spacing w:after="0"/>
              <w:rPr>
                <w:sz w:val="19"/>
                <w:szCs w:val="19"/>
                <w:color w:val="auto"/>
              </w:rPr>
            </w:pPr>
          </w:p>
        </w:tc>
      </w:tr>
      <w:tr>
        <w:trPr>
          <w:trHeight w:val="206"/>
        </w:trPr>
        <w:tc>
          <w:tcPr>
            <w:tcW w:w="7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r>
      <w:tr>
        <w:trPr>
          <w:trHeight w:val="206"/>
        </w:trPr>
        <w:tc>
          <w:tcPr>
            <w:tcW w:w="7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7"/>
                <w:szCs w:val="17"/>
                <w:color w:val="auto"/>
              </w:rPr>
              <w:t>Gross profit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68.9</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70.0</w:t>
            </w:r>
          </w:p>
        </w:tc>
      </w:tr>
      <w:tr>
        <w:trPr>
          <w:trHeight w:val="206"/>
        </w:trPr>
        <w:tc>
          <w:tcPr>
            <w:tcW w:w="7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7"/>
                <w:szCs w:val="17"/>
                <w:color w:val="auto"/>
              </w:rPr>
              <w:t>Labor and related expenses</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37.0</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37.6</w:t>
            </w:r>
          </w:p>
        </w:tc>
      </w:tr>
      <w:tr>
        <w:trPr>
          <w:trHeight w:val="21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13.7</w:t>
            </w:r>
          </w:p>
        </w:tc>
      </w:tr>
      <w:tr>
        <w:trPr>
          <w:trHeight w:val="206"/>
        </w:trPr>
        <w:tc>
          <w:tcPr>
            <w:tcW w:w="7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6.2</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r>
      <w:tr>
        <w:trPr>
          <w:trHeight w:val="21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7"/>
                <w:szCs w:val="17"/>
                <w:color w:val="auto"/>
              </w:rPr>
              <w:t>Operating income</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7.5</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r>
      <w:tr>
        <w:trPr>
          <w:trHeight w:val="206"/>
        </w:trPr>
        <w:tc>
          <w:tcPr>
            <w:tcW w:w="7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7160" w:type="dxa"/>
            <w:vAlign w:val="bottom"/>
          </w:tcPr>
          <w:p>
            <w:pPr>
              <w:spacing w:after="0"/>
              <w:rPr>
                <w:sz w:val="20"/>
                <w:szCs w:val="20"/>
                <w:color w:val="auto"/>
              </w:rPr>
            </w:pPr>
            <w:r>
              <w:rPr>
                <w:rFonts w:ascii="Arial" w:cs="Arial" w:eastAsia="Arial" w:hAnsi="Arial"/>
                <w:sz w:val="17"/>
                <w:szCs w:val="17"/>
                <w:color w:val="auto"/>
              </w:rPr>
              <w:t>Interest expense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8"/>
                <w:szCs w:val="18"/>
                <w:color w:val="auto"/>
              </w:rPr>
            </w:pPr>
          </w:p>
        </w:tc>
      </w:tr>
      <w:tr>
        <w:trPr>
          <w:trHeight w:val="206"/>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r>
      <w:tr>
        <w:trPr>
          <w:trHeight w:val="206"/>
        </w:trPr>
        <w:tc>
          <w:tcPr>
            <w:tcW w:w="7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r>
      <w:tr>
        <w:trPr>
          <w:trHeight w:val="206"/>
        </w:trPr>
        <w:tc>
          <w:tcPr>
            <w:tcW w:w="71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26"/>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tables highlight the components of total revenue in dollars and by percentage relationships to total revenue for the quarter ended October 28, 2011 as compared to the same period in the prior year:</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r>
      <w:tr>
        <w:trPr>
          <w:trHeight w:val="194"/>
        </w:trPr>
        <w:tc>
          <w:tcPr>
            <w:tcW w:w="4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20"/>
              <w:spacing w:after="0" w:line="194" w:lineRule="exact"/>
              <w:rPr>
                <w:sz w:val="20"/>
                <w:szCs w:val="20"/>
                <w:color w:val="auto"/>
              </w:rPr>
            </w:pPr>
            <w:r>
              <w:rPr>
                <w:rFonts w:ascii="Arial" w:cs="Arial" w:eastAsia="Arial" w:hAnsi="Arial"/>
                <w:sz w:val="17"/>
                <w:szCs w:val="17"/>
                <w:color w:val="auto"/>
                <w:w w:val="92"/>
              </w:rPr>
              <w:t>October 28,</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2"/>
              </w:rPr>
              <w:t>October 29,</w:t>
            </w:r>
          </w:p>
        </w:tc>
        <w:tc>
          <w:tcPr>
            <w:tcW w:w="100" w:type="dxa"/>
            <w:vAlign w:val="bottom"/>
          </w:tcPr>
          <w:p>
            <w:pPr>
              <w:spacing w:after="0"/>
              <w:rPr>
                <w:sz w:val="16"/>
                <w:szCs w:val="16"/>
                <w:color w:val="auto"/>
              </w:rPr>
            </w:pPr>
          </w:p>
        </w:tc>
      </w:tr>
      <w:tr>
        <w:trPr>
          <w:trHeight w:val="225"/>
        </w:trPr>
        <w:tc>
          <w:tcPr>
            <w:tcW w:w="4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194"/>
        </w:trPr>
        <w:tc>
          <w:tcPr>
            <w:tcW w:w="4280" w:type="dxa"/>
            <w:vAlign w:val="bottom"/>
          </w:tcPr>
          <w:p>
            <w:pPr>
              <w:spacing w:after="0" w:line="194" w:lineRule="exact"/>
              <w:rPr>
                <w:sz w:val="20"/>
                <w:szCs w:val="20"/>
                <w:color w:val="auto"/>
              </w:rPr>
            </w:pPr>
            <w:r>
              <w:rPr>
                <w:rFonts w:ascii="Arial" w:cs="Arial" w:eastAsia="Arial" w:hAnsi="Arial"/>
                <w:sz w:val="17"/>
                <w:szCs w:val="17"/>
                <w:color w:val="auto"/>
              </w:rPr>
              <w:t>Revenue in dollars</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280" w:type="dxa"/>
            <w:vAlign w:val="bottom"/>
          </w:tcPr>
          <w:p>
            <w:pPr>
              <w:spacing w:after="0"/>
              <w:rPr>
                <w:sz w:val="20"/>
                <w:szCs w:val="20"/>
                <w:color w:val="auto"/>
              </w:rPr>
            </w:pPr>
            <w:r>
              <w:rPr>
                <w:rFonts w:ascii="Arial" w:cs="Arial" w:eastAsia="Arial" w:hAnsi="Arial"/>
                <w:sz w:val="17"/>
                <w:szCs w:val="17"/>
                <w:color w:val="auto"/>
              </w:rPr>
              <w:t>Total Revenue: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481,509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481,815</w:t>
            </w:r>
          </w:p>
        </w:tc>
        <w:tc>
          <w:tcPr>
            <w:tcW w:w="100" w:type="dxa"/>
            <w:vAlign w:val="bottom"/>
            <w:shd w:val="clear" w:color="auto" w:fill="CCEEFF"/>
          </w:tcPr>
          <w:p>
            <w:pPr>
              <w:spacing w:after="0"/>
              <w:rPr>
                <w:sz w:val="18"/>
                <w:szCs w:val="18"/>
                <w:color w:val="auto"/>
              </w:rPr>
            </w:pPr>
          </w:p>
        </w:tc>
      </w:tr>
      <w:tr>
        <w:trPr>
          <w:trHeight w:val="206"/>
        </w:trPr>
        <w:tc>
          <w:tcPr>
            <w:tcW w:w="4280" w:type="dxa"/>
            <w:vAlign w:val="bottom"/>
          </w:tcPr>
          <w:p>
            <w:pPr>
              <w:ind w:left="160"/>
              <w:spacing w:after="0"/>
              <w:rPr>
                <w:sz w:val="20"/>
                <w:szCs w:val="20"/>
                <w:color w:val="auto"/>
              </w:rPr>
            </w:pPr>
            <w:r>
              <w:rPr>
                <w:rFonts w:ascii="Arial" w:cs="Arial" w:eastAsia="Arial" w:hAnsi="Arial"/>
                <w:sz w:val="17"/>
                <w:szCs w:val="17"/>
                <w:color w:val="auto"/>
              </w:rPr>
              <w:t>Retail</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116,928</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116,876</w:t>
            </w:r>
          </w:p>
        </w:tc>
      </w:tr>
      <w:tr>
        <w:trPr>
          <w:trHeight w:val="26"/>
        </w:trPr>
        <w:tc>
          <w:tcPr>
            <w:tcW w:w="4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598,437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598,691</w:t>
            </w:r>
          </w:p>
        </w:tc>
        <w:tc>
          <w:tcPr>
            <w:tcW w:w="100" w:type="dxa"/>
            <w:vAlign w:val="bottom"/>
            <w:shd w:val="clear" w:color="auto" w:fill="CCEEFF"/>
          </w:tcPr>
          <w:p>
            <w:pPr>
              <w:spacing w:after="0"/>
              <w:rPr>
                <w:sz w:val="19"/>
                <w:szCs w:val="19"/>
                <w:color w:val="auto"/>
              </w:rPr>
            </w:pP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560" w:type="dxa"/>
            <w:vAlign w:val="bottom"/>
            <w:gridSpan w:val="4"/>
          </w:tcPr>
          <w:p>
            <w:pPr>
              <w:jc w:val="right"/>
              <w:ind w:right="860"/>
              <w:spacing w:after="0"/>
              <w:rPr>
                <w:sz w:val="20"/>
                <w:szCs w:val="20"/>
                <w:color w:val="auto"/>
              </w:rPr>
            </w:pPr>
            <w:r>
              <w:rPr>
                <w:rFonts w:ascii="Arial" w:cs="Arial" w:eastAsia="Arial" w:hAnsi="Arial"/>
                <w:sz w:val="17"/>
                <w:szCs w:val="17"/>
                <w:color w:val="auto"/>
              </w:rPr>
              <w:t>Quarter Ended</w:t>
            </w:r>
          </w:p>
        </w:tc>
        <w:tc>
          <w:tcPr>
            <w:tcW w:w="1080" w:type="dxa"/>
            <w:vAlign w:val="bottom"/>
          </w:tcPr>
          <w:p>
            <w:pPr>
              <w:spacing w:after="0"/>
              <w:rPr>
                <w:sz w:val="19"/>
                <w:szCs w:val="19"/>
                <w:color w:val="auto"/>
              </w:rPr>
            </w:pPr>
          </w:p>
        </w:tc>
      </w:tr>
      <w:tr>
        <w:trPr>
          <w:trHeight w:val="194"/>
        </w:trPr>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360"/>
              <w:spacing w:after="0" w:line="194" w:lineRule="exact"/>
              <w:rPr>
                <w:sz w:val="20"/>
                <w:szCs w:val="20"/>
                <w:color w:val="auto"/>
              </w:rPr>
            </w:pPr>
            <w:r>
              <w:rPr>
                <w:rFonts w:ascii="Arial" w:cs="Arial" w:eastAsia="Arial" w:hAnsi="Arial"/>
                <w:sz w:val="17"/>
                <w:szCs w:val="17"/>
                <w:color w:val="auto"/>
              </w:rPr>
              <w:t>October 28,</w:t>
            </w:r>
          </w:p>
        </w:tc>
        <w:tc>
          <w:tcPr>
            <w:tcW w:w="110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October 29,</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440" w:type="dxa"/>
            <w:vAlign w:val="bottom"/>
            <w:gridSpan w:val="2"/>
          </w:tcPr>
          <w:p>
            <w:pPr>
              <w:jc w:val="right"/>
              <w:ind w:right="27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100" w:type="dxa"/>
            <w:vAlign w:val="bottom"/>
          </w:tcPr>
          <w:p>
            <w:pPr>
              <w:jc w:val="right"/>
              <w:ind w:right="294"/>
              <w:spacing w:after="0"/>
              <w:rPr>
                <w:sz w:val="20"/>
                <w:szCs w:val="20"/>
                <w:color w:val="auto"/>
              </w:rPr>
            </w:pPr>
            <w:r>
              <w:rPr>
                <w:rFonts w:ascii="Arial" w:cs="Arial" w:eastAsia="Arial" w:hAnsi="Arial"/>
                <w:sz w:val="17"/>
                <w:szCs w:val="17"/>
                <w:color w:val="auto"/>
              </w:rPr>
              <w:t>2010</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94"/>
        </w:trPr>
        <w:tc>
          <w:tcPr>
            <w:tcW w:w="620" w:type="dxa"/>
            <w:vAlign w:val="bottom"/>
          </w:tcPr>
          <w:p>
            <w:pPr>
              <w:spacing w:after="0"/>
              <w:rPr>
                <w:sz w:val="16"/>
                <w:szCs w:val="16"/>
                <w:color w:val="auto"/>
              </w:rPr>
            </w:pPr>
          </w:p>
        </w:tc>
        <w:tc>
          <w:tcPr>
            <w:tcW w:w="3780" w:type="dxa"/>
            <w:vAlign w:val="bottom"/>
          </w:tcPr>
          <w:p>
            <w:pPr>
              <w:spacing w:after="0" w:line="194" w:lineRule="exact"/>
              <w:rPr>
                <w:sz w:val="20"/>
                <w:szCs w:val="20"/>
                <w:color w:val="auto"/>
              </w:rPr>
            </w:pPr>
            <w:r>
              <w:rPr>
                <w:rFonts w:ascii="Arial" w:cs="Arial" w:eastAsia="Arial" w:hAnsi="Arial"/>
                <w:sz w:val="17"/>
                <w:szCs w:val="17"/>
                <w:color w:val="auto"/>
              </w:rPr>
              <w:t>Revenue by percentage relationships</w:t>
            </w:r>
          </w:p>
        </w:tc>
        <w:tc>
          <w:tcPr>
            <w:tcW w:w="33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8"/>
        </w:trPr>
        <w:tc>
          <w:tcPr>
            <w:tcW w:w="6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Total Revenue: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6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4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80.5%</w:t>
            </w:r>
          </w:p>
        </w:tc>
        <w:tc>
          <w:tcPr>
            <w:tcW w:w="1080" w:type="dxa"/>
            <w:vAlign w:val="bottom"/>
          </w:tcPr>
          <w:p>
            <w:pPr>
              <w:spacing w:after="0"/>
              <w:rPr>
                <w:sz w:val="18"/>
                <w:szCs w:val="18"/>
                <w:color w:val="auto"/>
              </w:rPr>
            </w:pPr>
          </w:p>
        </w:tc>
      </w:tr>
      <w:tr>
        <w:trPr>
          <w:trHeight w:val="212"/>
        </w:trPr>
        <w:tc>
          <w:tcPr>
            <w:tcW w:w="6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7"/>
                <w:szCs w:val="17"/>
                <w:color w:val="auto"/>
              </w:rPr>
              <w:t>Retail</w:t>
            </w:r>
          </w:p>
        </w:tc>
        <w:tc>
          <w:tcPr>
            <w:tcW w:w="33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6"/>
        </w:trPr>
        <w:tc>
          <w:tcPr>
            <w:tcW w:w="620" w:type="dxa"/>
            <w:vAlign w:val="bottom"/>
          </w:tcPr>
          <w:p>
            <w:pPr>
              <w:spacing w:after="0"/>
              <w:rPr>
                <w:sz w:val="21"/>
                <w:szCs w:val="21"/>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4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080" w:type="dxa"/>
            <w:vAlign w:val="bottom"/>
          </w:tcPr>
          <w:p>
            <w:pPr>
              <w:spacing w:after="0"/>
              <w:rPr>
                <w:sz w:val="21"/>
                <w:szCs w:val="21"/>
                <w:color w:val="auto"/>
              </w:rPr>
            </w:pPr>
          </w:p>
        </w:tc>
      </w:tr>
      <w:tr>
        <w:trPr>
          <w:trHeight w:val="522"/>
        </w:trPr>
        <w:tc>
          <w:tcPr>
            <w:tcW w:w="62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1918"/>
              <w:spacing w:after="0"/>
              <w:rPr>
                <w:sz w:val="20"/>
                <w:szCs w:val="20"/>
                <w:color w:val="auto"/>
              </w:rPr>
            </w:pPr>
            <w:r>
              <w:rPr>
                <w:rFonts w:ascii="Arial" w:cs="Arial" w:eastAsia="Arial" w:hAnsi="Arial"/>
                <w:sz w:val="14"/>
                <w:szCs w:val="14"/>
                <w:color w:val="auto"/>
              </w:rPr>
              <w:t>15</w:t>
            </w: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6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sets forth the number of stores in operation at the beginning and end of the quarters ended October 28, 2011 and October 29, 2010, respectively:</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7260" w:type="dxa"/>
            <w:vAlign w:val="bottom"/>
          </w:tcPr>
          <w:p>
            <w:pPr>
              <w:spacing w:after="0"/>
              <w:rPr>
                <w:sz w:val="19"/>
                <w:szCs w:val="19"/>
                <w:color w:val="auto"/>
              </w:rPr>
            </w:pPr>
          </w:p>
        </w:tc>
        <w:tc>
          <w:tcPr>
            <w:tcW w:w="2460" w:type="dxa"/>
            <w:vAlign w:val="bottom"/>
            <w:gridSpan w:val="4"/>
          </w:tcPr>
          <w:p>
            <w:pPr>
              <w:ind w:left="680"/>
              <w:spacing w:after="0"/>
              <w:rPr>
                <w:sz w:val="20"/>
                <w:szCs w:val="20"/>
                <w:color w:val="auto"/>
              </w:rPr>
            </w:pPr>
            <w:r>
              <w:rPr>
                <w:rFonts w:ascii="Arial" w:cs="Arial" w:eastAsia="Arial" w:hAnsi="Arial"/>
                <w:sz w:val="17"/>
                <w:szCs w:val="17"/>
                <w:color w:val="auto"/>
              </w:rPr>
              <w:t>Quarter Ended</w:t>
            </w:r>
          </w:p>
        </w:tc>
      </w:tr>
      <w:tr>
        <w:trPr>
          <w:trHeight w:val="194"/>
        </w:trPr>
        <w:tc>
          <w:tcPr>
            <w:tcW w:w="726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4" w:lineRule="exact"/>
              <w:rPr>
                <w:sz w:val="20"/>
                <w:szCs w:val="20"/>
                <w:color w:val="auto"/>
              </w:rPr>
            </w:pPr>
            <w:r>
              <w:rPr>
                <w:rFonts w:ascii="Arial" w:cs="Arial" w:eastAsia="Arial" w:hAnsi="Arial"/>
                <w:sz w:val="17"/>
                <w:szCs w:val="17"/>
                <w:color w:val="auto"/>
                <w:w w:val="92"/>
              </w:rPr>
              <w:t>October 28,</w:t>
            </w:r>
          </w:p>
        </w:tc>
        <w:tc>
          <w:tcPr>
            <w:tcW w:w="10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October 29,</w:t>
            </w:r>
          </w:p>
        </w:tc>
        <w:tc>
          <w:tcPr>
            <w:tcW w:w="100" w:type="dxa"/>
            <w:vAlign w:val="bottom"/>
          </w:tcPr>
          <w:p>
            <w:pPr>
              <w:spacing w:after="0"/>
              <w:rPr>
                <w:sz w:val="16"/>
                <w:szCs w:val="16"/>
                <w:color w:val="auto"/>
              </w:rPr>
            </w:pPr>
          </w:p>
        </w:tc>
      </w:tr>
      <w:tr>
        <w:trPr>
          <w:trHeight w:val="225"/>
        </w:trPr>
        <w:tc>
          <w:tcPr>
            <w:tcW w:w="7260" w:type="dxa"/>
            <w:vAlign w:val="bottom"/>
          </w:tcPr>
          <w:p>
            <w:pPr>
              <w:spacing w:after="0"/>
              <w:rPr>
                <w:sz w:val="19"/>
                <w:szCs w:val="19"/>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206"/>
        </w:trPr>
        <w:tc>
          <w:tcPr>
            <w:tcW w:w="7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w:t>
            </w:r>
          </w:p>
        </w:tc>
      </w:tr>
      <w:tr>
        <w:trPr>
          <w:trHeight w:val="206"/>
        </w:trPr>
        <w:tc>
          <w:tcPr>
            <w:tcW w:w="7260" w:type="dxa"/>
            <w:vAlign w:val="bottom"/>
          </w:tcPr>
          <w:p>
            <w:pPr>
              <w:spacing w:after="0"/>
              <w:rPr>
                <w:sz w:val="20"/>
                <w:szCs w:val="20"/>
                <w:color w:val="auto"/>
              </w:rPr>
            </w:pPr>
            <w:r>
              <w:rPr>
                <w:rFonts w:ascii="Arial" w:cs="Arial" w:eastAsia="Arial" w:hAnsi="Arial"/>
                <w:sz w:val="17"/>
                <w:szCs w:val="17"/>
                <w:color w:val="auto"/>
              </w:rPr>
              <w:t>Open during period</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6"/>
        </w:trPr>
        <w:tc>
          <w:tcPr>
            <w:tcW w:w="7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596</w:t>
            </w:r>
          </w:p>
        </w:tc>
      </w:tr>
      <w:tr>
        <w:trPr>
          <w:trHeight w:val="20"/>
        </w:trPr>
        <w:tc>
          <w:tcPr>
            <w:tcW w:w="7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Average unit volumes include sales of all stores. The following table highlights average unit volumes for the quarter ended October 28, 2011 as compared to the same period in the prior year:</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r>
      <w:tr>
        <w:trPr>
          <w:trHeight w:val="194"/>
        </w:trPr>
        <w:tc>
          <w:tcPr>
            <w:tcW w:w="4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rPr>
              <w:t>October 28,</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2"/>
              </w:rPr>
              <w:t>October 29,</w:t>
            </w:r>
          </w:p>
        </w:tc>
        <w:tc>
          <w:tcPr>
            <w:tcW w:w="100" w:type="dxa"/>
            <w:vAlign w:val="bottom"/>
          </w:tcPr>
          <w:p>
            <w:pPr>
              <w:spacing w:after="0"/>
              <w:rPr>
                <w:sz w:val="16"/>
                <w:szCs w:val="16"/>
                <w:color w:val="auto"/>
              </w:rPr>
            </w:pPr>
          </w:p>
        </w:tc>
      </w:tr>
      <w:tr>
        <w:trPr>
          <w:trHeight w:val="225"/>
        </w:trPr>
        <w:tc>
          <w:tcPr>
            <w:tcW w:w="4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412"/>
        </w:trPr>
        <w:tc>
          <w:tcPr>
            <w:tcW w:w="4260" w:type="dxa"/>
            <w:vAlign w:val="bottom"/>
          </w:tcPr>
          <w:p>
            <w:pPr>
              <w:spacing w:after="0"/>
              <w:rPr>
                <w:sz w:val="20"/>
                <w:szCs w:val="20"/>
                <w:color w:val="auto"/>
              </w:rPr>
            </w:pPr>
            <w:r>
              <w:rPr>
                <w:rFonts w:ascii="Arial" w:cs="Arial" w:eastAsia="Arial" w:hAnsi="Arial"/>
                <w:sz w:val="17"/>
                <w:szCs w:val="17"/>
                <w:color w:val="auto"/>
              </w:rPr>
              <w:t>Revenue:</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797.1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810.5</w:t>
            </w:r>
          </w:p>
        </w:tc>
        <w:tc>
          <w:tcPr>
            <w:tcW w:w="100" w:type="dxa"/>
            <w:vAlign w:val="bottom"/>
            <w:shd w:val="clear" w:color="auto" w:fill="CCEEFF"/>
          </w:tcPr>
          <w:p>
            <w:pPr>
              <w:spacing w:after="0"/>
              <w:rPr>
                <w:sz w:val="18"/>
                <w:szCs w:val="18"/>
                <w:color w:val="auto"/>
              </w:rPr>
            </w:pPr>
          </w:p>
        </w:tc>
      </w:tr>
      <w:tr>
        <w:trPr>
          <w:trHeight w:val="206"/>
        </w:trPr>
        <w:tc>
          <w:tcPr>
            <w:tcW w:w="4260" w:type="dxa"/>
            <w:vAlign w:val="bottom"/>
          </w:tcPr>
          <w:p>
            <w:pPr>
              <w:ind w:left="160"/>
              <w:spacing w:after="0"/>
              <w:rPr>
                <w:sz w:val="20"/>
                <w:szCs w:val="20"/>
                <w:color w:val="auto"/>
              </w:rPr>
            </w:pPr>
            <w:r>
              <w:rPr>
                <w:rFonts w:ascii="Arial" w:cs="Arial" w:eastAsia="Arial" w:hAnsi="Arial"/>
                <w:sz w:val="17"/>
                <w:szCs w:val="17"/>
                <w:color w:val="auto"/>
              </w:rPr>
              <w:t>Retail</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580"/>
              <w:spacing w:after="0"/>
              <w:rPr>
                <w:sz w:val="20"/>
                <w:szCs w:val="20"/>
                <w:color w:val="auto"/>
              </w:rPr>
            </w:pPr>
            <w:r>
              <w:rPr>
                <w:rFonts w:ascii="Arial" w:cs="Arial" w:eastAsia="Arial" w:hAnsi="Arial"/>
                <w:sz w:val="17"/>
                <w:szCs w:val="17"/>
                <w:color w:val="auto"/>
              </w:rPr>
              <w:t>193.6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196.6</w:t>
            </w:r>
          </w:p>
        </w:tc>
        <w:tc>
          <w:tcPr>
            <w:tcW w:w="100" w:type="dxa"/>
            <w:vAlign w:val="bottom"/>
          </w:tcPr>
          <w:p>
            <w:pPr>
              <w:spacing w:after="0"/>
              <w:rPr>
                <w:sz w:val="17"/>
                <w:szCs w:val="17"/>
                <w:color w:val="auto"/>
              </w:rPr>
            </w:pPr>
          </w:p>
        </w:tc>
      </w:tr>
      <w:tr>
        <w:trPr>
          <w:trHeight w:val="26"/>
        </w:trPr>
        <w:tc>
          <w:tcPr>
            <w:tcW w:w="4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990.7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1,007.1</w:t>
            </w:r>
          </w:p>
        </w:tc>
        <w:tc>
          <w:tcPr>
            <w:tcW w:w="100" w:type="dxa"/>
            <w:vAlign w:val="bottom"/>
            <w:shd w:val="clear" w:color="auto" w:fill="CCEEFF"/>
          </w:tcPr>
          <w:p>
            <w:pPr>
              <w:spacing w:after="0"/>
              <w:rPr>
                <w:sz w:val="19"/>
                <w:szCs w:val="19"/>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Total revenue for the first quarter of 2012 was flat compared to the prior year first quarter. For the quarter, our comparable store restaurant sales decreased 1.6% and comparable store retail sales decreased 1.3% resulting in a total combined comparable store sales decrease of 1.5%. Our comparable store restaurant sales decrease consisted of a 3.8% guest traffic decrease and a 2.2% average check increase for the quarter (including a 2.1% average menu price increase). The comparable store retail sales decrease resulted from the decline in guest traffic. The total combined comparable store sales decrease in the first quarter of 2012 was partially offset by sales from newly opened stores.</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quarter of 2012, our guest traffic sequentially improved on a month-over-month basis throughout the quarter and we presently anticipate further improvement over the remainder of the year</w:t>
      </w:r>
      <w:r>
        <w:rPr>
          <w:rFonts w:ascii="Arial" w:cs="Arial" w:eastAsia="Arial" w:hAnsi="Arial"/>
          <w:sz w:val="17"/>
          <w:szCs w:val="17"/>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for the quarter ended October 28, 2011 as compared to the same period in the prior year:</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r>
      <w:tr>
        <w:trPr>
          <w:trHeight w:val="194"/>
        </w:trPr>
        <w:tc>
          <w:tcPr>
            <w:tcW w:w="4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40"/>
              <w:spacing w:after="0" w:line="194" w:lineRule="exact"/>
              <w:rPr>
                <w:sz w:val="20"/>
                <w:szCs w:val="20"/>
                <w:color w:val="auto"/>
              </w:rPr>
            </w:pPr>
            <w:r>
              <w:rPr>
                <w:rFonts w:ascii="Arial" w:cs="Arial" w:eastAsia="Arial" w:hAnsi="Arial"/>
                <w:sz w:val="17"/>
                <w:szCs w:val="17"/>
                <w:color w:val="auto"/>
                <w:w w:val="92"/>
              </w:rPr>
              <w:t>October 28,</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2"/>
              </w:rPr>
              <w:t>October 29,</w:t>
            </w:r>
          </w:p>
        </w:tc>
        <w:tc>
          <w:tcPr>
            <w:tcW w:w="100" w:type="dxa"/>
            <w:vAlign w:val="bottom"/>
          </w:tcPr>
          <w:p>
            <w:pPr>
              <w:spacing w:after="0"/>
              <w:rPr>
                <w:sz w:val="16"/>
                <w:szCs w:val="16"/>
                <w:color w:val="auto"/>
              </w:rPr>
            </w:pPr>
          </w:p>
        </w:tc>
      </w:tr>
      <w:tr>
        <w:trPr>
          <w:trHeight w:val="225"/>
        </w:trPr>
        <w:tc>
          <w:tcPr>
            <w:tcW w:w="4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r>
      <w:tr>
        <w:trPr>
          <w:trHeight w:val="206"/>
        </w:trPr>
        <w:tc>
          <w:tcPr>
            <w:tcW w:w="4660" w:type="dxa"/>
            <w:vAlign w:val="bottom"/>
          </w:tcPr>
          <w:p>
            <w:pPr>
              <w:spacing w:after="0"/>
              <w:rPr>
                <w:sz w:val="20"/>
                <w:szCs w:val="20"/>
                <w:color w:val="auto"/>
              </w:rPr>
            </w:pPr>
            <w:r>
              <w:rPr>
                <w:rFonts w:ascii="Arial" w:cs="Arial" w:eastAsia="Arial" w:hAnsi="Arial"/>
                <w:sz w:val="17"/>
                <w:szCs w:val="17"/>
                <w:color w:val="auto"/>
              </w:rPr>
              <w:t>Cost of Goods Sold</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122,381</w:t>
            </w:r>
          </w:p>
        </w:tc>
        <w:tc>
          <w:tcPr>
            <w:tcW w:w="100" w:type="dxa"/>
            <w:vAlign w:val="bottom"/>
            <w:shd w:val="clear" w:color="auto" w:fill="CCEEFF"/>
          </w:tcPr>
          <w:p>
            <w:pPr>
              <w:spacing w:after="0"/>
              <w:rPr>
                <w:sz w:val="18"/>
                <w:szCs w:val="18"/>
                <w:color w:val="auto"/>
              </w:rPr>
            </w:pPr>
          </w:p>
        </w:tc>
      </w:tr>
      <w:tr>
        <w:trPr>
          <w:trHeight w:val="212"/>
        </w:trPr>
        <w:tc>
          <w:tcPr>
            <w:tcW w:w="4660" w:type="dxa"/>
            <w:vAlign w:val="bottom"/>
          </w:tcPr>
          <w:p>
            <w:pPr>
              <w:ind w:left="160"/>
              <w:spacing w:after="0"/>
              <w:rPr>
                <w:sz w:val="20"/>
                <w:szCs w:val="20"/>
                <w:color w:val="auto"/>
              </w:rPr>
            </w:pPr>
            <w:r>
              <w:rPr>
                <w:rFonts w:ascii="Arial" w:cs="Arial" w:eastAsia="Arial" w:hAnsi="Arial"/>
                <w:sz w:val="17"/>
                <w:szCs w:val="17"/>
                <w:color w:val="auto"/>
              </w:rPr>
              <w:t>Retail</w:t>
            </w: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57,372</w:t>
            </w:r>
          </w:p>
        </w:tc>
        <w:tc>
          <w:tcPr>
            <w:tcW w:w="100" w:type="dxa"/>
            <w:vAlign w:val="bottom"/>
          </w:tcPr>
          <w:p>
            <w:pPr>
              <w:spacing w:after="0"/>
              <w:rPr>
                <w:sz w:val="18"/>
                <w:szCs w:val="18"/>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Cost of Goods Sold</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179,753</w:t>
            </w:r>
          </w:p>
        </w:tc>
        <w:tc>
          <w:tcPr>
            <w:tcW w:w="100" w:type="dxa"/>
            <w:vAlign w:val="bottom"/>
            <w:shd w:val="clear" w:color="auto" w:fill="CCEEFF"/>
          </w:tcPr>
          <w:p>
            <w:pPr>
              <w:spacing w:after="0"/>
              <w:rPr>
                <w:sz w:val="19"/>
                <w:szCs w:val="19"/>
                <w:color w:val="auto"/>
              </w:rPr>
            </w:pP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Restaurant cost of goods sold as a percentage of restaurant revenue was 26.5% in the first quarter of 2012 as compared to 25.4% in the prior year first quarter. This increase is primarily the result of food commodity inflation of 5.5% partially offset by our menu price increase referenced above.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We presently expect the rate of commodity inflation to approximately double in 2012 as compared to 2011. We expect to partially offset the effects of food commodity inflation through a combination of menu price increases, supply contracts and other cost reduction initiatives.</w:t>
      </w:r>
    </w:p>
    <w:p>
      <w:pPr>
        <w:spacing w:after="0" w:line="18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Retail cost of goods sold as a percentage of retail revenue was 50.1% in the first quarter of 2012 as compared to 49.1% in the prior year first quarter. Higher retail cost of goods sold resulted primarily from an increase in freight expense resulting from higher fuel costs, a change in retail inventory valuation reserves and design costs related to proprietary products. These costs increased retail cost of goods sold as compared to the prior year by 0.5%, 0.3% and 0.1% as a percentage of retail revenue,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Labor and related expenses include all direct and indirect labor and related costs incurred in store operations. Labor and related expenses as a percentage of total revenue decreased during the first quarter of 2012 to 37.0% as compared to 37.6% in the first quarter of the prior year. This decrease resulted from decreases of 0.5%, 0.3% and 0.1% as a percentage of total revenue, respectively, in workers’ compensation expense, health care costs and store hourly labor partially offset by increases of 0.2% and 0.1% as a percentage of total revenue, respectively, in payroll taxes and store management compensation.</w:t>
      </w:r>
    </w:p>
    <w:p>
      <w:pPr>
        <w:spacing w:after="0" w:line="19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Lower workers’ compensation expense resulted from continued favorable claims experience over the prior years due to improvements in claims management over the life of the claims. These improvements were reflected in our quarterly actuarial valuation of our workers’ compensation reserves and resulted in an approximate $2,600 reduction in required reserves. We do not presently expect workers’ compensation expense to be lower than the prior year’s expense during the remaining quarters of 2012.</w:t>
      </w:r>
    </w:p>
    <w:p>
      <w:pPr>
        <w:spacing w:after="0" w:line="205"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Health care costs in the calendar 2011 plan year were lower due to improvements in claims experience. As a result of these improvements, we negotiated with our health plan administrator and agreed to terms of a retrospectively rated group policy during the first quarter of 2012. This policy is retroactive to January 1, 2011 and provides for a reimbursement of health insurance premiums based on actual claims experience through the end of the calendar year. The terms of this policy resulted in us recording an approximate $2,500 receivable for reimbursement of certain health insurance premiums paid in prior periods of calendar 2011. We presently expect to receive additional reimbursements during the remainder of 2012 as calendar 2011 health care claims complete their development.</w:t>
      </w:r>
    </w:p>
    <w:p>
      <w:pPr>
        <w:spacing w:after="0" w:line="18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store hourly labor costs of 0.1% as a percentage of total revenue resulted from improved productivity due to our enhanced labor management system and menu price increases being higher than wage inflation.</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increase in payroll taxes primarily resulted from higher state unemployment rates as compared to the prior year. The increase in store management compensation resulted primarily from new store growth partially offset by lower store bonus expense.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and general insurance.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Other store operating expenses as a percentage of total revenue decreased to 18.2% in the first quarter of 2012 as compared to 18.7% in the first quarter of the prior year. This decrease resulted primarily from the settlement of ongoing litigation in the first quarter of 2012, which represented a decrease of 0.5% as a percentage of total revenue. This settlement was accounted for as a gain contingency and related to a matter previously recorded in other store operating expenses. Additionally, a 0.2% decrease as a percentage of total revenue in maintenance expense resulted from cost saving initiatives. These decreases were partially offset by a 0.1% increase as a percentage of total revenue in advertising expense which resulted primarily from higher media spending to support our new marketing messaging. We presently expect the quarterly pattern of advertising spending will be different this year compared to the prior year with the highest level of spending expected in the second quarter of 2012. This is the result of a change in advertising strategy which we expect to implement during the second quarter of 2012.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General and administrative expenses as a percentage of total revenue increased to 6.2% in the first quarter of 2012 as compared to 6.1% in the first quarter of the prior year. This increase resulted from increases of 0.3% each as a percentage of total revenue in manager meeting expense and expenses related to the proxy contest with Biglari Holdings Inc. In the first quarter of 2012, we held a manager meeting conference for the first time in several years. These increases were partially offset by decreases of 0.3% and 0.1% as a percentage of total revenue, respectively, in salaries and incentive compensation. The decrease in salaries resulted primarily from the elimination of approximately 60 management and staff positions in July 2011. The decrease in incentive compensation resulted primarily from the reduction in management and staff positions in July 2011 and lower share-based compensation expense compared to the prior year’s quarter.</w:t>
      </w:r>
    </w:p>
    <w:p>
      <w:pPr>
        <w:spacing w:after="0" w:line="18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We presently expect to incur an additional expense of approximately $2,000 to $3,000 related to the proxy contest with Biglari Holdings Inc. over the remainder of the year, most of which we expect to incur in the second quarter of 2012.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Interest expense for the first quarter of 2012 was $11,135 as compared to $11,714 in the same period in the prior year. The decrease resulted primarily from lower debt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Provision for income taxes as a percent of income before income taxes was 28.9% and 29.6%, respectively, in the first quarters of 2012 and 2011. The decrease in the effective tax rate from the first quarter of 2011 to the first quarter of 2012 resulted primarily from higher employer tax credits.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July 29, 2011, our borrowings under our Revolving Credit Facility and proceeds from exercises of share-based compensation awards, were sufficient to finance all of our growth, dividend payments, working capital needs and other cash payment obligations in the first quarter of 2012.</w:t>
      </w:r>
    </w:p>
    <w:p>
      <w:pPr>
        <w:spacing w:after="0" w:line="205"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believe that cash at October 28, 2011, along with cash generated from our operating activities, the borrowing capacity under our Revolving Credit Facility and proceeds from exercises of share-based compensation awards will be sufficient to finance our continuing operations, our continuing expansion plans, our principal payments on our debt, our share repurchase plans and our expected dividend payments for at least the next twelve months and thereafter for the foreseeable future.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Generated from Operations</w:t>
      </w:r>
    </w:p>
    <w:p>
      <w:pPr>
        <w:spacing w:after="0" w:line="249" w:lineRule="exact"/>
        <w:rPr>
          <w:sz w:val="20"/>
          <w:szCs w:val="20"/>
          <w:color w:val="auto"/>
        </w:rPr>
      </w:pPr>
    </w:p>
    <w:p>
      <w:pPr>
        <w:jc w:val="both"/>
        <w:ind w:right="40" w:firstLine="620"/>
        <w:spacing w:after="0" w:line="312" w:lineRule="auto"/>
        <w:rPr>
          <w:sz w:val="20"/>
          <w:szCs w:val="20"/>
          <w:color w:val="auto"/>
        </w:rPr>
      </w:pPr>
      <w:r>
        <w:rPr>
          <w:rFonts w:ascii="Arial" w:cs="Arial" w:eastAsia="Arial" w:hAnsi="Arial"/>
          <w:sz w:val="16"/>
          <w:szCs w:val="16"/>
          <w:color w:val="auto"/>
        </w:rPr>
        <w:t>Our operating activities provided net cash of $20,244 for the quarter ended October 28, 2011, which represented an increase from the $9,937 net cash used during the same period a year ago. This increase reflected lower annual bonus payments made this year and the timing of payments for accounts payable.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right="40" w:firstLine="620"/>
        <w:spacing w:after="0" w:line="260" w:lineRule="auto"/>
        <w:rPr>
          <w:sz w:val="20"/>
          <w:szCs w:val="20"/>
          <w:color w:val="auto"/>
        </w:rPr>
      </w:pPr>
      <w:r>
        <w:rPr>
          <w:rFonts w:ascii="Arial" w:cs="Arial" w:eastAsia="Arial" w:hAnsi="Arial"/>
          <w:sz w:val="17"/>
          <w:szCs w:val="17"/>
          <w:color w:val="auto"/>
        </w:rPr>
        <w:t>Our $750,000 credit facility (the “Credit Facility”) consists of a term loan (aggregate outstanding at October 28, 2011 was $231,250) and our Revolving Credit Facility. At October 28, 2011, we had $318,750 of outstanding borrowings under the Revolving Credit Facility and we had $28,706 of standby letters of credit related to securing reserved claims under workers’ compensation insurance which reduce our borrowing availability under the Revolving Credit Facility. At October 28, 2011, we had $152,544 in borrowing availability under our Revolving Credit Facility. See Note 4 to our Consolidated Financial Statements for further information on our long-term debt.</w:t>
      </w:r>
    </w:p>
    <w:p>
      <w:pPr>
        <w:spacing w:after="0" w:line="206" w:lineRule="exact"/>
        <w:rPr>
          <w:sz w:val="20"/>
          <w:szCs w:val="20"/>
          <w:color w:val="auto"/>
        </w:rPr>
      </w:pPr>
    </w:p>
    <w:p>
      <w:pPr>
        <w:jc w:val="both"/>
        <w:ind w:right="40" w:firstLine="620"/>
        <w:spacing w:after="0" w:line="266" w:lineRule="auto"/>
        <w:rPr>
          <w:sz w:val="20"/>
          <w:szCs w:val="20"/>
          <w:color w:val="auto"/>
        </w:rPr>
      </w:pPr>
      <w:r>
        <w:rPr>
          <w:rFonts w:ascii="Arial" w:cs="Arial" w:eastAsia="Arial" w:hAnsi="Arial"/>
          <w:sz w:val="17"/>
          <w:szCs w:val="17"/>
          <w:color w:val="auto"/>
        </w:rPr>
        <w:t>The Credit Facility contains customary financial covenants, which are specified in the agreement and include maintenance of a maximum consolidated total leverage ratio and a minimum consolidated interest coverage ratio. We presently are and expect to remain in compliance with the Credit Facility’s financial covenants for the remaining term of the facility.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right="40" w:firstLine="620"/>
        <w:spacing w:after="0" w:line="258"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$18,712 for the first quarter of 2012 as compared to $18,153 during the same period a year ago. Our capital expenditures consisted primarily of costs of new store locations and capital expenditures for maintenance programs. We estimate that our capital expenditures during 2012 will be between $90,000 and $100,000. This estimate includes certain costs related to the acquisition of sites and construction of fifteen new stores that will open or have opened during 2012,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Dividends and Proceeds from the Exercise of Share-Based Compensation Awards</w:t>
      </w:r>
    </w:p>
    <w:p>
      <w:pPr>
        <w:spacing w:after="0" w:line="249" w:lineRule="exact"/>
        <w:rPr>
          <w:sz w:val="20"/>
          <w:szCs w:val="20"/>
          <w:color w:val="auto"/>
        </w:rPr>
      </w:pPr>
    </w:p>
    <w:p>
      <w:pPr>
        <w:jc w:val="both"/>
        <w:ind w:right="40" w:firstLine="620"/>
        <w:spacing w:after="0" w:line="266" w:lineRule="auto"/>
        <w:rPr>
          <w:sz w:val="20"/>
          <w:szCs w:val="20"/>
          <w:color w:val="auto"/>
        </w:rPr>
      </w:pPr>
      <w:r>
        <w:rPr>
          <w:rFonts w:ascii="Arial" w:cs="Arial" w:eastAsia="Arial" w:hAnsi="Arial"/>
          <w:sz w:val="17"/>
          <w:szCs w:val="17"/>
          <w:color w:val="auto"/>
        </w:rPr>
        <w:t>Subject to a maximum amount of $65,000, we have been authorized by our Board of Directors to repurchase shares during 2012 at the discretion of management. Our current criteria for share repurchases are that they be accretive to expected net income per share and are within the limits imposed by our Credit Facility. We did not repurchase any shares in the first quarter of 2012.</w:t>
      </w:r>
    </w:p>
    <w:p>
      <w:pPr>
        <w:spacing w:after="0" w:line="202" w:lineRule="exact"/>
        <w:rPr>
          <w:sz w:val="20"/>
          <w:szCs w:val="20"/>
          <w:color w:val="auto"/>
        </w:rPr>
      </w:pPr>
    </w:p>
    <w:p>
      <w:pPr>
        <w:jc w:val="both"/>
        <w:ind w:right="40" w:firstLine="620"/>
        <w:spacing w:after="0" w:line="260" w:lineRule="auto"/>
        <w:rPr>
          <w:sz w:val="20"/>
          <w:szCs w:val="20"/>
          <w:color w:val="auto"/>
        </w:rPr>
      </w:pPr>
      <w:r>
        <w:rPr>
          <w:rFonts w:ascii="Arial" w:cs="Arial" w:eastAsia="Arial" w:hAnsi="Arial"/>
          <w:sz w:val="17"/>
          <w:szCs w:val="17"/>
          <w:color w:val="auto"/>
        </w:rPr>
        <w:t>Our Credit Facility imposes restrictions on the amount of dividends we are able to pay. If there is no default then existing and the total of our availability under our Revolving Credit Facility plus our cash and cash equivalents on hand is at least $100,000, we may (1) pay cash dividends on our common stock if the aggregate amount of such dividends paid during any fiscal year is less than 15% of Consolidated EBITDA from continuing operations (as defined in the Credit Facility) during the immediately preceding fiscal year; or (2) increase our regular quarterly cash dividend in any quarter by an amount not to exceed the greater of $.01 per share or 10% of the amount of the dividend paid in the prior fiscal quarter.</w:t>
      </w:r>
    </w:p>
    <w:p>
      <w:pPr>
        <w:spacing w:after="0" w:line="206" w:lineRule="exact"/>
        <w:rPr>
          <w:sz w:val="20"/>
          <w:szCs w:val="20"/>
          <w:color w:val="auto"/>
        </w:rPr>
      </w:pPr>
    </w:p>
    <w:p>
      <w:pPr>
        <w:jc w:val="both"/>
        <w:ind w:right="40" w:firstLine="620"/>
        <w:spacing w:after="0" w:line="280" w:lineRule="auto"/>
        <w:rPr>
          <w:sz w:val="20"/>
          <w:szCs w:val="20"/>
          <w:color w:val="auto"/>
        </w:rPr>
      </w:pPr>
      <w:r>
        <w:rPr>
          <w:rFonts w:ascii="Arial" w:cs="Arial" w:eastAsia="Arial" w:hAnsi="Arial"/>
          <w:sz w:val="17"/>
          <w:szCs w:val="17"/>
          <w:color w:val="auto"/>
        </w:rPr>
        <w:t>During the first quarter of 2012, we paid dividends of $0.22 per share. Additionally, during the first quarter of 2012, we declared a dividend of $0.25 per share that was paid on November 7, 2011.</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During the first quarter of 2012, we received proceeds of $823 from the exercise of share-based compensation awards and the corresponding issuance of 76,161 shares.</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7"/>
          <w:szCs w:val="17"/>
          <w:color w:val="auto"/>
        </w:rPr>
        <w:t>We had negative working capital of $13,786 at October 28, 2011 versus negative working capital of $21,188 at July 29, 2011. Working capital increased from July 29, 2011 primarily because of higher retail inventories which reflected our normal seasonal build of retail inventory to support our expected holiday sales. In the restaurant industry, virtually all sales are either for cash or third-party credit or debit card. Like many other restaurant companies, we are able to, and often do, operate with negative working capital.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2011 Form 10-K for additional information regarding our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2011. Refer to the sub-section entitled “Material Commitments” under the section entitled “Liquidity and Capital Resources” presented in the MD&amp;A of our 2011 Form 10-K for additional information regarding our material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We do not expect that the adoption of this accounting guidance in the third quarter of 2012 will have a significant impact on our consolidated financial statements.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This guidance is effective for fiscal years beginning after December 15, 2011 on a retrospective basis. We do not expect that the adoption of this accounting guidance in the first quarter of 2013 will have a significant impact on our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2" w:lineRule="exact"/>
        <w:rPr>
          <w:sz w:val="20"/>
          <w:szCs w:val="20"/>
          <w:color w:val="auto"/>
        </w:rPr>
      </w:pPr>
    </w:p>
    <w:p>
      <w:pPr>
        <w:ind w:left="940" w:hanging="317"/>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21" w:lineRule="exact"/>
        <w:rPr>
          <w:rFonts w:ascii="Arial" w:cs="Arial" w:eastAsia="Arial" w:hAnsi="Arial"/>
          <w:sz w:val="17"/>
          <w:szCs w:val="17"/>
          <w:color w:val="auto"/>
        </w:rPr>
      </w:pPr>
    </w:p>
    <w:p>
      <w:pPr>
        <w:ind w:left="940" w:hanging="317"/>
        <w:spacing w:after="0" w:line="267"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Unredeemed Gift Cards</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Legal Proceedings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quarter of 2012 and we do not believe that there is a reasonable likelihood that there will be a material change in the estimates or assumptions used by us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202" w:lineRule="exact"/>
        <w:rPr>
          <w:sz w:val="20"/>
          <w:szCs w:val="20"/>
          <w:color w:val="auto"/>
        </w:rPr>
      </w:pPr>
    </w:p>
    <w:p>
      <w:pPr>
        <w:jc w:val="both"/>
        <w:ind w:firstLine="620"/>
        <w:spacing w:after="0" w:line="297" w:lineRule="auto"/>
        <w:rPr>
          <w:sz w:val="20"/>
          <w:szCs w:val="20"/>
          <w:color w:val="auto"/>
        </w:rPr>
      </w:pPr>
      <w:r>
        <w:rPr>
          <w:rFonts w:ascii="Arial" w:cs="Arial" w:eastAsia="Arial" w:hAnsi="Arial"/>
          <w:sz w:val="15"/>
          <w:szCs w:val="15"/>
          <w:color w:val="auto"/>
        </w:rPr>
        <w:t>We record a liability for workers’ compensation and general liability for all unresolved claims and for an actuarially determined estimate of incurred but not reported claims at the anticipated cost to us based upon an actuarially determined reserve as of the end of our third quarter and adjust it by the actuarially determined losses and actual claims payments for the fourth quarter. The reserves and losses are determined actuarially from a range of possible outcomes within which no given estimate is more likely than any other estimate. As such, we record the actuarially determined losses at the lower end of that range and discount them to present value using a risk-free interest rate based on actuarially projected timing of payments. We also monitor actual claims development, including incurrence or settlement of individual large claims during the interim period between actuarial studies as another means of estimating the adequacy of our reserves. Beginning in the second quarter of 2011, we began performing limited scope actuarial studies on a quarterly basis to verify and/or modify our reserves.</w:t>
      </w:r>
    </w:p>
    <w:p>
      <w:pPr>
        <w:spacing w:after="0" w:line="184"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A significant portion of our health insurance program is self-insured. For our calendar 2012 and 2011 plans,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Beginning in the first quarter of 2012, the fully-insured portion of our health insurance program contains a retrospective feature which could increase or decrease premiums based on actual claims experience.</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2012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2012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14 to our Consolidated Financial Statements contained in the 2011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Share-based compensation expense is measured at the grant date based on the fair value of the award. We recognize share-based compensation expense on a straight-line basis over the requisite service period, which is generally the award’s vesting period, or the date on which retirement is achieved, if shorter.</w:t>
      </w:r>
    </w:p>
    <w:p>
      <w:pPr>
        <w:spacing w:after="0" w:line="144"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for performance-based awards is recognized when it is probable that the performance criteria will be met. At each reporting period, we reassess the probability of achieving the performance targets and the performance period required to meet those targets. Determining whether the performance targets will be achieved involves judgment and the estimate of expense may be revised periodically based on the probability of achieving the performance targets. Revisions are reflected in the period in which the estimate is changed. If any performance goals are not met, no compensation expense is ultimately recognized and, to the extent previously recognized, compensation expense is reversed.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nonvested stock grants generally vest over 2 – 5 years. Generally, the fair value of each nonvested stock grant is equal to the market price of our common stock at the date of grant reduced by the present value of expected dividends to be paid prior to the vesting period, discounted using an appropriate risk-free interest rate. Certain nonvested stock grants accrue dividends and their fair value is equal to the market price of our stock at the date of grant.</w:t>
      </w:r>
    </w:p>
    <w:p>
      <w:pPr>
        <w:spacing w:after="0" w:line="183" w:lineRule="exact"/>
        <w:rPr>
          <w:sz w:val="20"/>
          <w:szCs w:val="20"/>
          <w:color w:val="auto"/>
        </w:rPr>
      </w:pPr>
    </w:p>
    <w:p>
      <w:pPr>
        <w:jc w:val="both"/>
        <w:ind w:right="20" w:firstLine="620"/>
        <w:spacing w:after="0" w:line="275" w:lineRule="auto"/>
        <w:rPr>
          <w:sz w:val="20"/>
          <w:szCs w:val="20"/>
          <w:color w:val="auto"/>
        </w:rPr>
      </w:pPr>
      <w:r>
        <w:rPr>
          <w:rFonts w:ascii="Arial" w:cs="Arial" w:eastAsia="Arial" w:hAnsi="Arial"/>
          <w:sz w:val="16"/>
          <w:szCs w:val="16"/>
          <w:color w:val="auto"/>
        </w:rPr>
        <w:t>In 2011, we adopted annual long-term incentive plans that award performance-based stock units (“PBSUs”) to our executives instead of stock options. Subject to the respective executive’s continued employment, the PBSUs will be awarded at the end of the applicable three-year performance period for each annual plan. The number of PBSUs that will ultimately be awarded is based on various performance factors, including a market condition, total shareholder return, which is defined as increases in our stock price plus dividends paid during the performance period. The target number of shares will be awarded if there is no change in shareholder value during the performance period and the maximum number of shares that may be awarded is 150% of target. The probability of the actual shares expected to be awarded is considered in the grant date valuation; therefore, the expense will not be adjusted to reflect the actual units awarded. The vesting of the PBSUs is also subject to the achievement of a specified level of operating income during the performance period. If this performance goal is not met, no PBSUs will be awarded and to the extent previously recognized, compensation expense will be reversed.</w:t>
      </w:r>
    </w:p>
    <w:p>
      <w:pPr>
        <w:spacing w:after="0" w:line="198"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the PBSUs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200"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The fair value of each stock option award granted was estimated on the date of grant using a binomial lattice-based option valuation model. This model incorporates the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We update the historical and implied components of the expected volatility assumption when new grants are made. The expected life is a by-product of the lattice model and is updated when new grants are made.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options that are expected to vest. Therefore, an estimated forfeiture rate derived from historical employee termination behavior, grouped by job classification, is applied against share-based compensation expense. The forfeiture rate is applied on a straight-line basis over the service (vesting) period for each separately vesting portion of the award as if the award were, in-substance,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quarter of 2012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Unredeemed Gift Cards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Unredeemed gift cards represent liabilities related to unearned income and are recorded at their expected redemption value. No revenue is recognized in connection with the point-of-sale transaction when gift cards are sold. For those states that exempt gift cards from their escheat laws, we make estimates of the ultimate unredeemed (“breakage”) gift cards in the period of the original sale and amortize this breakage over the redemption period that other gift cards historically have been redeemed by reducing the liability and recording revenue accordingly. For those states that do not exempt gift cards from their escheat laws, we record breakage in the period that gift cards are remitted to the state and reduce our liability accordingly. Any amounts remitted to states under escheat or similar laws reduce our deferred revenue liability and have no effect on revenue or expense while any amounts that we are permitted to retain are recorded as revenue. Changes in redemption behavior or management’s judgments regarding redemption trends in the future may produce materially different amounts of deferred revenue to be reported.</w:t>
      </w:r>
    </w:p>
    <w:p>
      <w:pPr>
        <w:spacing w:after="0" w:line="210"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have not made any material changes in the methodology used to record the deferred revenue liability for unredeemed gift cards during the first quarter of 2012 and do not believe there is a reasonable likelihood that there will be material changes in the future estimates or assumptions used to record this liability. However, if actual results are not consistent with our estimates or assumptions, we may be exposed to losses or gains that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We are parties to various legal and regulatory proceedings and claims incidental to our business. In the opinion of management, however, based upon information currently available, the ultimate liability with respect to these actions will not materially affect our consolidated results of operations or financial position. We review outstanding claims and proceedings internally and with external counsel as necessary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2011 Form 10-K is incorporated in this item of this Quarterly Report on Form 10-Q by this reference. There have been no material changes in our quantitative and qualitative market risks since July 29, 2011.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9" w:lineRule="exact"/>
        <w:rPr>
          <w:sz w:val="20"/>
          <w:szCs w:val="20"/>
          <w:color w:val="auto"/>
        </w:rPr>
      </w:pPr>
    </w:p>
    <w:p>
      <w:pPr>
        <w:jc w:val="both"/>
        <w:ind w:right="20" w:firstLine="620"/>
        <w:spacing w:after="0" w:line="260" w:lineRule="auto"/>
        <w:rPr>
          <w:sz w:val="20"/>
          <w:szCs w:val="20"/>
          <w:color w:val="auto"/>
        </w:rPr>
      </w:pPr>
      <w:r>
        <w:rPr>
          <w:rFonts w:ascii="Arial" w:cs="Arial" w:eastAsia="Arial" w:hAnsi="Arial"/>
          <w:sz w:val="17"/>
          <w:szCs w:val="17"/>
          <w:color w:val="auto"/>
        </w:rPr>
        <w:t>Our management, with the participation of our principal executive and principal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October 28, 2011, our disclosure controls and procedures were effective for the purposes set forth in the definition thereof in Exchange Act Rule 13a-15(e).</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October 28, 2011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material changes in the risk factors previously disclosed in “Item 1A. Risk Factors” of our 2011 Form 10-K.</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80" w:type="dxa"/>
            <w:vAlign w:val="bottom"/>
            <w:gridSpan w:val="4"/>
          </w:tcPr>
          <w:p>
            <w:pPr>
              <w:ind w:left="2380"/>
              <w:spacing w:after="0"/>
              <w:rPr>
                <w:sz w:val="20"/>
                <w:szCs w:val="20"/>
                <w:color w:val="auto"/>
              </w:rPr>
            </w:pPr>
            <w:r>
              <w:rPr>
                <w:rFonts w:ascii="Arial" w:cs="Arial" w:eastAsia="Arial" w:hAnsi="Arial"/>
                <w:sz w:val="17"/>
                <w:szCs w:val="17"/>
                <w:b w:val="1"/>
                <w:bCs w:val="1"/>
                <w:color w:val="auto"/>
              </w:rPr>
              <w:t>CRACKER BARREL OLD COUNTRY STORE, INC.</w:t>
            </w:r>
          </w:p>
        </w:tc>
      </w:tr>
      <w:tr>
        <w:trPr>
          <w:trHeight w:val="789"/>
        </w:trPr>
        <w:tc>
          <w:tcPr>
            <w:tcW w:w="3340" w:type="dxa"/>
            <w:vAlign w:val="bottom"/>
            <w:gridSpan w:val="3"/>
          </w:tcPr>
          <w:p>
            <w:pPr>
              <w:spacing w:after="0"/>
              <w:rPr>
                <w:sz w:val="20"/>
                <w:szCs w:val="20"/>
                <w:color w:val="auto"/>
              </w:rPr>
            </w:pPr>
            <w:r>
              <w:rPr>
                <w:rFonts w:ascii="Arial" w:cs="Arial" w:eastAsia="Arial" w:hAnsi="Arial"/>
                <w:sz w:val="17"/>
                <w:szCs w:val="17"/>
                <w:color w:val="auto"/>
              </w:rPr>
              <w:t>Date: 11/22/11</w:t>
            </w:r>
          </w:p>
        </w:tc>
        <w:tc>
          <w:tcPr>
            <w:tcW w:w="2940" w:type="dxa"/>
            <w:vAlign w:val="bottom"/>
          </w:tcPr>
          <w:p>
            <w:pPr>
              <w:ind w:left="2380"/>
              <w:spacing w:after="0"/>
              <w:rPr>
                <w:sz w:val="20"/>
                <w:szCs w:val="20"/>
                <w:color w:val="auto"/>
              </w:rPr>
            </w:pPr>
            <w:r>
              <w:rPr>
                <w:rFonts w:ascii="Arial" w:cs="Arial" w:eastAsia="Arial" w:hAnsi="Arial"/>
                <w:sz w:val="17"/>
                <w:szCs w:val="17"/>
                <w:color w:val="auto"/>
              </w:rPr>
              <w:t>By:</w:t>
            </w:r>
          </w:p>
        </w:tc>
        <w:tc>
          <w:tcPr>
            <w:tcW w:w="5140" w:type="dxa"/>
            <w:vAlign w:val="bottom"/>
            <w:gridSpan w:val="3"/>
          </w:tcPr>
          <w:p>
            <w:pPr>
              <w:spacing w:after="0"/>
              <w:rPr>
                <w:sz w:val="20"/>
                <w:szCs w:val="20"/>
                <w:color w:val="auto"/>
              </w:rPr>
            </w:pPr>
            <w:r>
              <w:rPr>
                <w:rFonts w:ascii="Arial" w:cs="Arial" w:eastAsia="Arial" w:hAnsi="Arial"/>
                <w:sz w:val="17"/>
                <w:szCs w:val="17"/>
                <w:color w:val="auto"/>
              </w:rPr>
              <w:t>/s/Lawrence E. Hyatt</w:t>
            </w:r>
          </w:p>
        </w:tc>
      </w:tr>
      <w:tr>
        <w:trPr>
          <w:trHeight w:val="20"/>
        </w:trPr>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24"/>
        </w:trPr>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7"/>
                <w:szCs w:val="17"/>
                <w:color w:val="auto"/>
                <w:w w:val="99"/>
              </w:rPr>
              <w:t>Lawrence E. Hyatt, Senior Vice President and Chief Financial Officer</w:t>
            </w:r>
          </w:p>
        </w:tc>
      </w:tr>
      <w:tr>
        <w:trPr>
          <w:trHeight w:val="582"/>
        </w:trPr>
        <w:tc>
          <w:tcPr>
            <w:tcW w:w="3340" w:type="dxa"/>
            <w:vAlign w:val="bottom"/>
            <w:gridSpan w:val="3"/>
          </w:tcPr>
          <w:p>
            <w:pPr>
              <w:spacing w:after="0"/>
              <w:rPr>
                <w:sz w:val="20"/>
                <w:szCs w:val="20"/>
                <w:color w:val="auto"/>
              </w:rPr>
            </w:pPr>
            <w:r>
              <w:rPr>
                <w:rFonts w:ascii="Arial" w:cs="Arial" w:eastAsia="Arial" w:hAnsi="Arial"/>
                <w:sz w:val="17"/>
                <w:szCs w:val="17"/>
                <w:color w:val="auto"/>
              </w:rPr>
              <w:t>Date: 11/22/11</w:t>
            </w:r>
          </w:p>
        </w:tc>
        <w:tc>
          <w:tcPr>
            <w:tcW w:w="2940" w:type="dxa"/>
            <w:vAlign w:val="bottom"/>
          </w:tcPr>
          <w:p>
            <w:pPr>
              <w:ind w:left="2380"/>
              <w:spacing w:after="0"/>
              <w:rPr>
                <w:sz w:val="20"/>
                <w:szCs w:val="20"/>
                <w:color w:val="auto"/>
              </w:rPr>
            </w:pPr>
            <w:r>
              <w:rPr>
                <w:rFonts w:ascii="Arial" w:cs="Arial" w:eastAsia="Arial" w:hAnsi="Arial"/>
                <w:sz w:val="17"/>
                <w:szCs w:val="17"/>
                <w:color w:val="auto"/>
              </w:rPr>
              <w:t>By:</w:t>
            </w:r>
          </w:p>
        </w:tc>
        <w:tc>
          <w:tcPr>
            <w:tcW w:w="5140" w:type="dxa"/>
            <w:vAlign w:val="bottom"/>
            <w:gridSpan w:val="3"/>
          </w:tcPr>
          <w:p>
            <w:pPr>
              <w:spacing w:after="0"/>
              <w:rPr>
                <w:sz w:val="20"/>
                <w:szCs w:val="20"/>
                <w:color w:val="auto"/>
              </w:rPr>
            </w:pPr>
            <w:r>
              <w:rPr>
                <w:rFonts w:ascii="Arial" w:cs="Arial" w:eastAsia="Arial" w:hAnsi="Arial"/>
                <w:sz w:val="17"/>
                <w:szCs w:val="17"/>
                <w:color w:val="auto"/>
              </w:rPr>
              <w:t>/s/P. Douglas Couvillion</w:t>
            </w:r>
          </w:p>
        </w:tc>
      </w:tr>
      <w:tr>
        <w:trPr>
          <w:trHeight w:val="20"/>
        </w:trPr>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7"/>
                <w:szCs w:val="17"/>
                <w:color w:val="auto"/>
                <w:w w:val="93"/>
              </w:rPr>
              <w:t>P. Douglas Couvillion, Vice President, Corporate Controller and Principal</w:t>
            </w:r>
          </w:p>
        </w:tc>
      </w:tr>
      <w:tr>
        <w:trPr>
          <w:trHeight w:val="217"/>
        </w:trPr>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7"/>
                <w:szCs w:val="17"/>
                <w:color w:val="auto"/>
              </w:rPr>
              <w:t>Accounting Officer</w:t>
            </w:r>
          </w:p>
        </w:tc>
      </w:tr>
      <w:tr>
        <w:trPr>
          <w:trHeight w:val="532"/>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40" w:type="dxa"/>
            <w:vAlign w:val="bottom"/>
          </w:tcPr>
          <w:p>
            <w:pPr>
              <w:jc w:val="right"/>
              <w:ind w:right="418"/>
              <w:spacing w:after="0"/>
              <w:rPr>
                <w:sz w:val="20"/>
                <w:szCs w:val="20"/>
                <w:color w:val="auto"/>
              </w:rPr>
            </w:pPr>
            <w:r>
              <w:rPr>
                <w:rFonts w:ascii="Arial" w:cs="Arial" w:eastAsia="Arial" w:hAnsi="Arial"/>
                <w:sz w:val="14"/>
                <w:szCs w:val="14"/>
                <w:color w:val="auto"/>
              </w:rPr>
              <w:t>28</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98"/>
        </w:trPr>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20" w:type="dxa"/>
            <w:vAlign w:val="bottom"/>
            <w:shd w:val="clear" w:color="auto" w:fill="CCEEFF"/>
          </w:tcPr>
          <w:p>
            <w:pPr>
              <w:spacing w:after="0"/>
              <w:rPr>
                <w:sz w:val="16"/>
                <w:szCs w:val="16"/>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3"/>
              </w:rPr>
              <w:t>Agreement and Plan of Merger, dated October 11, 2011 by and between Cracker Barrel Old Country Store, Inc. and CBOCS, Inc. (incorporated by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reference to Exhibit 2.1 to the Company’s Current Report on Form 8-K filed on October 14, 2011)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3.1</w:t>
            </w:r>
          </w:p>
        </w:tc>
        <w:tc>
          <w:tcPr>
            <w:tcW w:w="420" w:type="dxa"/>
            <w:vAlign w:val="bottom"/>
            <w:shd w:val="clear" w:color="auto" w:fill="CCEEFF"/>
          </w:tcPr>
          <w:p>
            <w:pPr>
              <w:spacing w:after="0"/>
              <w:rPr>
                <w:sz w:val="16"/>
                <w:szCs w:val="16"/>
                <w:color w:val="auto"/>
              </w:rPr>
            </w:pP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7"/>
              </w:rPr>
              <w:t>Charter of Cracker Barrel Old Country Store, Inc. (restated for SEC filing purposes only) (incorporated by reference to Exhibit 3(i), 4.1 to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Company’s Quarterly Report on Form 10-Q for the quarterly period ended October 31, 2008)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3.2</w:t>
            </w:r>
          </w:p>
        </w:tc>
        <w:tc>
          <w:tcPr>
            <w:tcW w:w="420" w:type="dxa"/>
            <w:vAlign w:val="bottom"/>
            <w:shd w:val="clear" w:color="auto" w:fill="CCEEFF"/>
          </w:tcPr>
          <w:p>
            <w:pPr>
              <w:spacing w:after="0"/>
              <w:rPr>
                <w:sz w:val="16"/>
                <w:szCs w:val="16"/>
                <w:color w:val="auto"/>
              </w:rPr>
            </w:pP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3"/>
              </w:rPr>
              <w:t>Articles of Amendment to the Charter of Cracker Barrel Old Country Store, Inc. (incorporated by reference to Exhibit 3.1 to the Company’s Current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Report on Form 8-K filed on September 23, 2011)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4.1</w:t>
            </w:r>
          </w:p>
        </w:tc>
        <w:tc>
          <w:tcPr>
            <w:tcW w:w="420" w:type="dxa"/>
            <w:vAlign w:val="bottom"/>
            <w:shd w:val="clear" w:color="auto" w:fill="CCEEFF"/>
          </w:tcPr>
          <w:p>
            <w:pPr>
              <w:spacing w:after="0"/>
              <w:rPr>
                <w:sz w:val="16"/>
                <w:szCs w:val="16"/>
                <w:color w:val="auto"/>
              </w:rPr>
            </w:pP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8"/>
              </w:rPr>
              <w:t>Rights Agreement, dated as of September 22, 2011, between Cracker Barrel Old Country Store, Inc. and American Stock Transfer &amp; Trust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5"/>
              </w:rPr>
              <w:t>Company, LLC, which includes the form of Articles of Amendment to the Charter as Exhibit A, the form of Right Certificate as Exhibit B and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1"/>
              </w:rPr>
              <w:t>Summary of Rights to Purchase Preferred Shares as Exhibit C (incorporated by reference to Exhibit 4.1 to the Company’s Current Report on Form 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K filed on September 23, 2011)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10.1</w:t>
            </w: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5"/>
              </w:rPr>
              <w:t>Change-in-Control Agreement with Sandra B. Cochran, dated March 11, 2009, as amended September 12, 2011 (incorporated by reference to</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Exhibit 10(o) to the Company’s Annual Report on Form 10-K for the fiscal year ended July 29,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10.2</w:t>
            </w: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6"/>
              </w:rPr>
              <w:t>Executive Employment Agreement with Sandra B. Cochran, dated as of September 12, 2011 (incorporated by reference to Exhibit 10.1 to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Company’s Current Report on Form 8-K filed on September 15,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10.3</w:t>
            </w: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3"/>
              </w:rPr>
              <w:t>Executive Employment Agreement with Michael A. Woodhouse, dated as of September 12, 2011 (incorporated by reference to Exhibit 10.2 to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Company’s Current Report on Form 8-K filed on September 15,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10.4</w:t>
            </w:r>
          </w:p>
        </w:tc>
        <w:tc>
          <w:tcPr>
            <w:tcW w:w="10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94"/>
              </w:rPr>
              <w:t>Consulting Agreement with Terry Maxwell, dated as of September 12, 2011 (incorporated by reference to Exhibit 10(ff) to the Company’s Annual</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Report on Form 10-K for the fiscal year ended July 29,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5</w:t>
            </w:r>
          </w:p>
        </w:tc>
        <w:tc>
          <w:tcPr>
            <w:tcW w:w="10700" w:type="dxa"/>
            <w:vAlign w:val="bottom"/>
            <w:shd w:val="clear" w:color="auto" w:fill="CCEEFF"/>
          </w:tcPr>
          <w:p>
            <w:pPr>
              <w:ind w:left="440"/>
              <w:spacing w:after="0" w:line="167" w:lineRule="exact"/>
              <w:rPr>
                <w:sz w:val="20"/>
                <w:szCs w:val="20"/>
                <w:color w:val="auto"/>
              </w:rPr>
            </w:pPr>
            <w:r>
              <w:rPr>
                <w:rFonts w:ascii="Arial" w:cs="Arial" w:eastAsia="Arial" w:hAnsi="Arial"/>
                <w:sz w:val="17"/>
                <w:szCs w:val="17"/>
                <w:color w:val="auto"/>
              </w:rPr>
              <w:t>Change-in-Control Agreement with Douglas E. Barber, dated as of April 23, 2008, as amended October 19, 2011 (filed herewith)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10.6</w:t>
            </w: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Change-in-Control Agreement with N.B. Forrest Shoaf, dated as of May 12, 2005, as amended October 19,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10.7</w:t>
            </w: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Change-in-Control Agreement with Terry Maxwell, dated as of August 14, 2006, as amended October 19, 2011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10.8</w:t>
            </w:r>
          </w:p>
        </w:tc>
        <w:tc>
          <w:tcPr>
            <w:tcW w:w="10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Change-in-Control Agreement with Edward A. Greene, dated as of June 22, 2006, as amended October 19, 2011 †*</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700" w:type="dxa"/>
            <w:vAlign w:val="bottom"/>
          </w:tcPr>
          <w:p>
            <w:pPr>
              <w:ind w:left="49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9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0" w:type="dxa"/>
            <w:vAlign w:val="bottom"/>
            <w:tcBorders>
              <w:bottom w:val="single" w:sz="8" w:color="0000EE"/>
            </w:tcBorders>
            <w:shd w:val="clear" w:color="auto" w:fill="CCEEFF"/>
          </w:tcPr>
          <w:p>
            <w:pPr>
              <w:spacing w:after="0" w:line="167" w:lineRule="exact"/>
              <w:rPr>
                <w:sz w:val="20"/>
                <w:szCs w:val="20"/>
                <w:color w:val="auto"/>
              </w:rPr>
            </w:pPr>
            <w:r>
              <w:rPr>
                <w:rFonts w:ascii="Arial" w:cs="Arial" w:eastAsia="Arial" w:hAnsi="Arial"/>
                <w:sz w:val="17"/>
                <w:szCs w:val="17"/>
                <w:color w:val="0000EE"/>
                <w:w w:val="78"/>
              </w:rPr>
              <w:t>31.</w:t>
            </w:r>
            <w:r>
              <w:rPr>
                <w:rFonts w:ascii="Arial" w:cs="Arial" w:eastAsia="Arial" w:hAnsi="Arial"/>
                <w:sz w:val="17"/>
                <w:szCs w:val="17"/>
                <w:u w:val="single" w:color="auto"/>
                <w:color w:val="0000EE"/>
                <w:w w:val="78"/>
              </w:rPr>
              <w:t>1</w:t>
            </w:r>
          </w:p>
        </w:tc>
        <w:tc>
          <w:tcPr>
            <w:tcW w:w="600" w:type="dxa"/>
            <w:vAlign w:val="bottom"/>
            <w:tcBorders>
              <w:bottom w:val="single" w:sz="8" w:color="CCEEFF"/>
            </w:tcBorders>
            <w:shd w:val="clear" w:color="auto" w:fill="CCEEFF"/>
          </w:tcPr>
          <w:p>
            <w:pPr>
              <w:spacing w:after="0"/>
              <w:rPr>
                <w:sz w:val="16"/>
                <w:szCs w:val="16"/>
                <w:color w:val="auto"/>
              </w:rPr>
            </w:pPr>
          </w:p>
        </w:tc>
        <w:tc>
          <w:tcPr>
            <w:tcW w:w="105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0" w:type="dxa"/>
            <w:vAlign w:val="bottom"/>
            <w:tcBorders>
              <w:bottom w:val="single" w:sz="8" w:color="0000EE"/>
            </w:tcBorders>
            <w:shd w:val="clear" w:color="auto" w:fill="CCEEFF"/>
          </w:tcPr>
          <w:p>
            <w:pPr>
              <w:spacing w:after="0" w:line="167" w:lineRule="exact"/>
              <w:rPr>
                <w:sz w:val="20"/>
                <w:szCs w:val="20"/>
                <w:color w:val="auto"/>
              </w:rPr>
            </w:pPr>
            <w:r>
              <w:rPr>
                <w:rFonts w:ascii="Arial" w:cs="Arial" w:eastAsia="Arial" w:hAnsi="Arial"/>
                <w:sz w:val="17"/>
                <w:szCs w:val="17"/>
                <w:color w:val="0000EE"/>
                <w:w w:val="78"/>
              </w:rPr>
              <w:t>31.</w:t>
            </w:r>
            <w:r>
              <w:rPr>
                <w:rFonts w:ascii="Arial" w:cs="Arial" w:eastAsia="Arial" w:hAnsi="Arial"/>
                <w:sz w:val="17"/>
                <w:szCs w:val="17"/>
                <w:u w:val="single" w:color="auto"/>
                <w:color w:val="0000EE"/>
                <w:w w:val="78"/>
              </w:rPr>
              <w:t>2</w:t>
            </w:r>
          </w:p>
        </w:tc>
        <w:tc>
          <w:tcPr>
            <w:tcW w:w="600" w:type="dxa"/>
            <w:vAlign w:val="bottom"/>
            <w:tcBorders>
              <w:bottom w:val="single" w:sz="8" w:color="CCEEFF"/>
            </w:tcBorders>
            <w:shd w:val="clear" w:color="auto" w:fill="CCEEFF"/>
          </w:tcPr>
          <w:p>
            <w:pPr>
              <w:spacing w:after="0"/>
              <w:rPr>
                <w:sz w:val="16"/>
                <w:szCs w:val="16"/>
                <w:color w:val="auto"/>
              </w:rPr>
            </w:pPr>
          </w:p>
        </w:tc>
        <w:tc>
          <w:tcPr>
            <w:tcW w:w="105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0" w:type="dxa"/>
            <w:vAlign w:val="bottom"/>
            <w:tcBorders>
              <w:bottom w:val="single" w:sz="8" w:color="0000EE"/>
            </w:tcBorders>
            <w:shd w:val="clear" w:color="auto" w:fill="CCEEFF"/>
          </w:tcPr>
          <w:p>
            <w:pPr>
              <w:spacing w:after="0" w:line="167" w:lineRule="exact"/>
              <w:rPr>
                <w:sz w:val="20"/>
                <w:szCs w:val="20"/>
                <w:color w:val="auto"/>
              </w:rPr>
            </w:pPr>
            <w:r>
              <w:rPr>
                <w:rFonts w:ascii="Arial" w:cs="Arial" w:eastAsia="Arial" w:hAnsi="Arial"/>
                <w:sz w:val="17"/>
                <w:szCs w:val="17"/>
                <w:color w:val="0000EE"/>
                <w:w w:val="78"/>
              </w:rPr>
              <w:t>32.</w:t>
            </w:r>
            <w:r>
              <w:rPr>
                <w:rFonts w:ascii="Arial" w:cs="Arial" w:eastAsia="Arial" w:hAnsi="Arial"/>
                <w:sz w:val="17"/>
                <w:szCs w:val="17"/>
                <w:u w:val="single" w:color="auto"/>
                <w:color w:val="0000EE"/>
                <w:w w:val="78"/>
              </w:rPr>
              <w:t>1</w:t>
            </w:r>
          </w:p>
        </w:tc>
        <w:tc>
          <w:tcPr>
            <w:tcW w:w="600" w:type="dxa"/>
            <w:vAlign w:val="bottom"/>
            <w:tcBorders>
              <w:bottom w:val="single" w:sz="8" w:color="CCEEFF"/>
            </w:tcBorders>
            <w:shd w:val="clear" w:color="auto" w:fill="CCEEFF"/>
          </w:tcPr>
          <w:p>
            <w:pPr>
              <w:spacing w:after="0"/>
              <w:rPr>
                <w:sz w:val="16"/>
                <w:szCs w:val="16"/>
                <w:color w:val="auto"/>
              </w:rPr>
            </w:pPr>
          </w:p>
        </w:tc>
        <w:tc>
          <w:tcPr>
            <w:tcW w:w="105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0" w:type="dxa"/>
            <w:vAlign w:val="bottom"/>
            <w:tcBorders>
              <w:bottom w:val="single" w:sz="8" w:color="0000EE"/>
            </w:tcBorders>
            <w:shd w:val="clear" w:color="auto" w:fill="CCEEFF"/>
          </w:tcPr>
          <w:p>
            <w:pPr>
              <w:spacing w:after="0" w:line="167" w:lineRule="exact"/>
              <w:rPr>
                <w:sz w:val="20"/>
                <w:szCs w:val="20"/>
                <w:color w:val="auto"/>
              </w:rPr>
            </w:pPr>
            <w:r>
              <w:rPr>
                <w:rFonts w:ascii="Arial" w:cs="Arial" w:eastAsia="Arial" w:hAnsi="Arial"/>
                <w:sz w:val="17"/>
                <w:szCs w:val="17"/>
                <w:color w:val="0000EE"/>
                <w:w w:val="78"/>
              </w:rPr>
              <w:t>32.</w:t>
            </w:r>
            <w:r>
              <w:rPr>
                <w:rFonts w:ascii="Arial" w:cs="Arial" w:eastAsia="Arial" w:hAnsi="Arial"/>
                <w:sz w:val="17"/>
                <w:szCs w:val="17"/>
                <w:u w:val="single" w:color="auto"/>
                <w:color w:val="0000EE"/>
                <w:w w:val="78"/>
              </w:rPr>
              <w:t>2</w:t>
            </w:r>
          </w:p>
        </w:tc>
        <w:tc>
          <w:tcPr>
            <w:tcW w:w="600" w:type="dxa"/>
            <w:vAlign w:val="bottom"/>
            <w:tcBorders>
              <w:bottom w:val="single" w:sz="8" w:color="CCEEFF"/>
            </w:tcBorders>
            <w:shd w:val="clear" w:color="auto" w:fill="CCEEFF"/>
          </w:tcPr>
          <w:p>
            <w:pPr>
              <w:spacing w:after="0"/>
              <w:rPr>
                <w:sz w:val="16"/>
                <w:szCs w:val="16"/>
                <w:color w:val="auto"/>
              </w:rPr>
            </w:pPr>
          </w:p>
        </w:tc>
        <w:tc>
          <w:tcPr>
            <w:tcW w:w="105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101.INS</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Instance Document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Schema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101.CAL</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Calculation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101.LAB</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Label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Presentation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Definition Linkbase (filed herewith)</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5280"/>
        <w:spacing w:after="0" w:line="312" w:lineRule="auto"/>
        <w:rPr>
          <w:sz w:val="20"/>
          <w:szCs w:val="20"/>
          <w:color w:val="auto"/>
        </w:rPr>
      </w:pPr>
      <w:r>
        <w:rPr>
          <w:rFonts w:ascii="Arial" w:cs="Arial" w:eastAsia="Arial" w:hAnsi="Arial"/>
          <w:sz w:val="16"/>
          <w:szCs w:val="16"/>
          <w:color w:val="auto"/>
        </w:rPr>
        <w:t>*Document not filed because essentially identical in terms and conditions to Exhibit 10.5 †Denotes management contract or compensatory plan, contract or arrangement.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732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10.5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1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RETENTION AGREEMENT</w:t>
      </w:r>
    </w:p>
    <w:p>
      <w:pPr>
        <w:spacing w:after="0" w:line="227"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AMENDMENT NO. 1 TO RETENTION AGREEMENT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October 19, 2011, is by and between Cracker Barrel Old Country Store,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Doug Barber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Executive entered into an Employee Retention Agreement dated April 23, 2008 (the “</w:t>
      </w:r>
      <w:r>
        <w:rPr>
          <w:rFonts w:ascii="Arial" w:cs="Arial" w:eastAsia="Arial" w:hAnsi="Arial"/>
          <w:sz w:val="16"/>
          <w:szCs w:val="16"/>
          <w:u w:val="single" w:color="auto"/>
          <w:color w:val="auto"/>
        </w:rPr>
        <w:t>Retention Agreement</w:t>
      </w:r>
      <w:r>
        <w:rPr>
          <w:rFonts w:ascii="Arial" w:cs="Arial" w:eastAsia="Arial" w:hAnsi="Arial"/>
          <w:sz w:val="16"/>
          <w:szCs w:val="16"/>
          <w:color w:val="auto"/>
        </w:rPr>
        <w:t>”); and</w:t>
      </w:r>
    </w:p>
    <w:p>
      <w:pPr>
        <w:spacing w:after="0" w:line="255"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Executive mutually desire to amend the Retention Agreement to accord with the Company’s current policy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280G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regulations promulgated thereunder and to make other technical changes thereto.</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the Executive hereby mutually agree to amend the Agreement as follows:</w:t>
      </w:r>
    </w:p>
    <w:p>
      <w:pPr>
        <w:spacing w:after="0" w:line="249" w:lineRule="exact"/>
        <w:rPr>
          <w:sz w:val="20"/>
          <w:szCs w:val="20"/>
          <w:color w:val="auto"/>
        </w:rPr>
      </w:pPr>
    </w:p>
    <w:p>
      <w:pPr>
        <w:ind w:left="1320" w:hanging="697"/>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language is added to the end of Section 1.2 of the Retention Agreement:</w:t>
      </w:r>
    </w:p>
    <w:p>
      <w:pPr>
        <w:spacing w:after="0" w:line="243" w:lineRule="exact"/>
        <w:rPr>
          <w:sz w:val="20"/>
          <w:szCs w:val="20"/>
          <w:color w:val="auto"/>
        </w:rPr>
      </w:pPr>
    </w:p>
    <w:p>
      <w:pPr>
        <w:jc w:val="both"/>
        <w:ind w:left="620" w:firstLine="619"/>
        <w:spacing w:after="0" w:line="278" w:lineRule="auto"/>
        <w:rPr>
          <w:sz w:val="20"/>
          <w:szCs w:val="20"/>
          <w:color w:val="auto"/>
        </w:rPr>
      </w:pPr>
      <w:r>
        <w:rPr>
          <w:rFonts w:ascii="Arial" w:cs="Arial" w:eastAsia="Arial" w:hAnsi="Arial"/>
          <w:sz w:val="16"/>
          <w:szCs w:val="16"/>
          <w:color w:val="auto"/>
        </w:rPr>
        <w:t>Notwithstanding the foregoing, if the Change in Control described in this Section 1.2 does not constitute a “change in the ownership of the Company,” a “change in the effective control of the Company,” or a “change in the ownership of a substantial portion of the assets of the Company” as such terms are defined in Section 1.409A-3(i)(5) of the Treasury Regulations, the portion of the severance payments described in Section 3.1 of this Agreement that constitute deferred compensation subject to Section 409A of the Internal Revenue Code of 1986, as amended (the “Code”) shall be paid to the Executive in installments over the same period as described in the applicable provision of Section IV.A. of the Cracker Barrel Old Country Store, Inc. Severance Benefits Policy, dated February 19, 2009, as such policy may be amended from time to time.</w:t>
      </w:r>
    </w:p>
    <w:p>
      <w:pPr>
        <w:spacing w:after="0" w:line="193" w:lineRule="exact"/>
        <w:rPr>
          <w:sz w:val="20"/>
          <w:szCs w:val="20"/>
          <w:color w:val="auto"/>
        </w:rPr>
      </w:pPr>
    </w:p>
    <w:p>
      <w:pPr>
        <w:ind w:left="1320" w:hanging="697"/>
        <w:spacing w:after="0"/>
        <w:tabs>
          <w:tab w:leader="none" w:pos="1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Section 1.3 of the Retention Agreement shall be stricken in its entirety and the following inserted in its stead:</w:t>
      </w:r>
    </w:p>
    <w:p>
      <w:pPr>
        <w:spacing w:after="0" w:line="237"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Change in Control Period</w:t>
      </w:r>
      <w:r>
        <w:rPr>
          <w:rFonts w:ascii="Arial" w:cs="Arial" w:eastAsia="Arial" w:hAnsi="Arial"/>
          <w:sz w:val="15"/>
          <w:szCs w:val="15"/>
          <w:b w:val="1"/>
          <w:bCs w:val="1"/>
          <w:color w:val="auto"/>
        </w:rPr>
        <w:t xml:space="preserve">” </w:t>
      </w:r>
      <w:r>
        <w:rPr>
          <w:rFonts w:ascii="Arial" w:cs="Arial" w:eastAsia="Arial" w:hAnsi="Arial"/>
          <w:sz w:val="15"/>
          <w:szCs w:val="15"/>
          <w:color w:val="auto"/>
        </w:rPr>
        <w:t>means a 2-year year period beginning the day a Change in Control occurs.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31" w:name="page32"/>
    <w:bookmarkEnd w:id="31"/>
    <w:p>
      <w:pPr>
        <w:ind w:left="700" w:hanging="697"/>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Section 2.4 of the Retention Agreement shall be stricken in its entirety and the following inserted in its stead:</w:t>
      </w:r>
    </w:p>
    <w:p>
      <w:pPr>
        <w:spacing w:after="0" w:line="23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Termination By You For Change in Duties or Compensation During a Change in Control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If during a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there occurs a Change in Duties or Compensation you may terminate your employment with the Company at any time within 120 days after the occurrence of the Change in Duties or Compensation, by giving to the Company not less than 30 and no more than 90 days notice of termination. Provided that you continue to work during the notice period, any reduction in your Compensation will be restored. At the option of the Company, following receipt of this notice, it may change or cure, within 30 days, the condition that you claim has caused the Change in Duties or Compensation, in which case, your rights to terminate your employment with the Company pursuant to this Section 2.4 shall cease (unless there occurs thereafter another Change in Duties or Compensation) and you shall continue in the employment of the Company notwithstanding the notice that you have given. If you terminate your employment with the Company pursuant to this Section 2.4, you shall be entitled to receive Benefits pursuant to Section 3. Your failure to provide the notice required by this Section 2.4 shall result in you having no right to receive any further compensation from the Company except for any base salary or vacation earned but not paid, plus any bonus earned and accrued by the Company through the Effective Date.</w:t>
      </w:r>
    </w:p>
    <w:p>
      <w:pPr>
        <w:spacing w:after="0" w:line="195" w:lineRule="exact"/>
        <w:rPr>
          <w:sz w:val="20"/>
          <w:szCs w:val="20"/>
          <w:color w:val="auto"/>
        </w:rPr>
      </w:pPr>
    </w:p>
    <w:p>
      <w:pPr>
        <w:ind w:left="700" w:hanging="697"/>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6.4 of the Retention Agreement shall be stricken in its entirety and the following inserted in its stead:</w:t>
      </w:r>
    </w:p>
    <w:p>
      <w:pPr>
        <w:spacing w:after="0" w:line="23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color w:val="auto"/>
        </w:rPr>
        <w:t xml:space="preserve">6.4 Entire Agreement. </w:t>
      </w:r>
      <w:r>
        <w:rPr>
          <w:rFonts w:ascii="Arial" w:cs="Arial" w:eastAsia="Arial" w:hAnsi="Arial"/>
          <w:sz w:val="16"/>
          <w:szCs w:val="16"/>
          <w:color w:val="auto"/>
        </w:rPr>
        <w:t>This Agreement supersedes all previous oral or written agreements, understandings or arrangements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you regarding a termination of your employment with the Company or a change in your status, scope or authority and the salary, benefits or other compensation that you receive from the Company as a result of the termination of your employment with the Company in connection with a Change in Control (the “Subject Matter”), all of which are wholly terminated and canceled. This Agreement contains all of the covenants and agreements between the parties with respect to the Subject Matter. Each party to this Agreement acknowledges that no representations, inducements, promises, or agreements, orally or otherwise, have been made with respect to the Subject Matter by any party, or anyone acting on behalf of any party, which are not embodied in this Agreement. Any subsequent agreement relating to the Subject Matter or any modification of this Agreement will be effective only if it is in writing signed by the party against whom enforcement of the modification is sought and as is consistent with Section 409A of the Code.</w:t>
      </w:r>
    </w:p>
    <w:p>
      <w:pPr>
        <w:spacing w:after="0" w:line="334"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2" w:name="page33"/>
    <w:bookmarkEnd w:id="32"/>
    <w:p>
      <w:pPr>
        <w:ind w:left="600" w:hanging="5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Section 6.9 of the Retention Agreement shall be stricken in its entirety and the following inserted in its stead:</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5"/>
          <w:szCs w:val="15"/>
          <w:b w:val="1"/>
          <w:bCs w:val="1"/>
          <w:u w:val="single" w:color="auto"/>
          <w:color w:val="auto"/>
        </w:rPr>
        <w:t>Certain Additional Payments by the Company</w:t>
      </w:r>
      <w:r>
        <w:rPr>
          <w:rFonts w:ascii="Arial" w:cs="Arial" w:eastAsia="Arial" w:hAnsi="Arial"/>
          <w:sz w:val="15"/>
          <w:szCs w:val="15"/>
          <w:b w:val="1"/>
          <w:bCs w:val="1"/>
          <w:color w:val="auto"/>
        </w:rPr>
        <w:t>.</w:t>
      </w:r>
    </w:p>
    <w:p>
      <w:pPr>
        <w:spacing w:after="0" w:line="249" w:lineRule="exact"/>
        <w:rPr>
          <w:sz w:val="20"/>
          <w:szCs w:val="20"/>
          <w:color w:val="auto"/>
        </w:rPr>
      </w:pPr>
    </w:p>
    <w:p>
      <w:pPr>
        <w:jc w:val="both"/>
        <w:ind w:firstLine="622"/>
        <w:spacing w:after="0" w:line="291" w:lineRule="auto"/>
        <w:tabs>
          <w:tab w:leader="none" w:pos="1361" w:val="left"/>
        </w:tabs>
        <w:numPr>
          <w:ilvl w:val="1"/>
          <w:numId w:val="25"/>
        </w:numPr>
        <w:rPr>
          <w:rFonts w:ascii="Arial" w:cs="Arial" w:eastAsia="Arial" w:hAnsi="Arial"/>
          <w:sz w:val="15"/>
          <w:szCs w:val="15"/>
          <w:color w:val="auto"/>
        </w:rPr>
      </w:pPr>
      <w:r>
        <w:rPr>
          <w:rFonts w:ascii="Arial" w:cs="Arial" w:eastAsia="Arial" w:hAnsi="Arial"/>
          <w:sz w:val="15"/>
          <w:szCs w:val="15"/>
          <w:color w:val="auto"/>
        </w:rPr>
        <w:t>Notwithstanding any other provision to the contrary, if any payments or benefits that you would receive from the Company pursuant to this Agreement or otherwise (collectively, the “Payments”) would, either separately or in the aggregate, (i) constitute “parachute payments” within the meaning of Section 280G of the Code, and (ii) but for this sentence, be subject to the excise tax imposed by Section 4999 of the Code (the “Excise Tax”), then the Payments will be equal to the Reduced Amount (defined below). The “Reduced Amount” will be either (1) the entire amount of the Payments, or</w:t>
      </w:r>
    </w:p>
    <w:p>
      <w:pPr>
        <w:jc w:val="both"/>
        <w:ind w:firstLine="3"/>
        <w:spacing w:after="0" w:line="255" w:lineRule="auto"/>
        <w:tabs>
          <w:tab w:leader="none" w:pos="26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amount equal to the largest portion of the Payments that would result in no portion of any of the Payments (after reduction) being subject to the Excise Tax,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your receipt, on an after-tax basis, of the greatest amount of the Payments. If a reduction in the Payments is to be made so that the amount of the Payments equals the Reduced Amount, the Payments will be paid only to the extent permitted under the Reduced Amount alternative; provided, that in the event the Reduced Amount is paid, the cash payments set forth in Section 3.1 shall be reduced as required by the operation of this Section 6.9.</w:t>
      </w:r>
    </w:p>
    <w:p>
      <w:pPr>
        <w:spacing w:after="0" w:line="213" w:lineRule="exact"/>
        <w:rPr>
          <w:rFonts w:ascii="Arial" w:cs="Arial" w:eastAsia="Arial" w:hAnsi="Arial"/>
          <w:sz w:val="17"/>
          <w:szCs w:val="17"/>
          <w:color w:val="auto"/>
        </w:rPr>
      </w:pPr>
    </w:p>
    <w:p>
      <w:pPr>
        <w:jc w:val="both"/>
        <w:ind w:firstLine="622"/>
        <w:spacing w:after="0" w:line="278" w:lineRule="auto"/>
        <w:tabs>
          <w:tab w:leader="none" w:pos="1316"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shall engage the accounting firm engaged by the Company for general audit purposes at least 20 business days prior to the effective date of the Change in Control to perform any calculation necessary to determine the amount, if any, payable to you pursuant to Section 3.1, as limited by this Section 6.9. If the accounting firm so engaged by the Company is also serving as accountant or auditor for the individual, entity or group that will control the Company following the Change in Control, the Company may appoint a nationally recognized accounting firm other than the accounting firm engaged by the Company for general audit purposes to make the determinations required hereunder. The Company shall bear all expenses with respect to the determinations by such accounting firm required to be made hereunder.</w:t>
      </w:r>
    </w:p>
    <w:p>
      <w:pPr>
        <w:spacing w:after="0" w:line="192" w:lineRule="exact"/>
        <w:rPr>
          <w:rFonts w:ascii="Arial" w:cs="Arial" w:eastAsia="Arial" w:hAnsi="Arial"/>
          <w:sz w:val="16"/>
          <w:szCs w:val="16"/>
          <w:color w:val="auto"/>
        </w:rPr>
      </w:pPr>
    </w:p>
    <w:p>
      <w:pPr>
        <w:jc w:val="both"/>
        <w:ind w:firstLine="622"/>
        <w:spacing w:after="0" w:line="262" w:lineRule="auto"/>
        <w:tabs>
          <w:tab w:leader="none" w:pos="1475"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accounting firm engaged to make the determinations hereunder shall provide its calculations, together with detailed supporting documentation, to the Company and you within 20 days after the date on which such accounting firm has been engaged to make such determinations or within such other time period as agreed to by the Company and you. Any good faith determinations of the accounting firm made hereunder shall be final, binding and conclusive upon the Company and you.</w:t>
      </w:r>
    </w:p>
    <w:p>
      <w:pPr>
        <w:spacing w:after="0" w:line="204" w:lineRule="exact"/>
        <w:rPr>
          <w:rFonts w:ascii="Arial" w:cs="Arial" w:eastAsia="Arial" w:hAnsi="Arial"/>
          <w:sz w:val="17"/>
          <w:szCs w:val="17"/>
          <w:color w:val="auto"/>
        </w:rPr>
      </w:pPr>
    </w:p>
    <w:p>
      <w:pPr>
        <w:jc w:val="both"/>
        <w:ind w:firstLine="622"/>
        <w:spacing w:after="0" w:line="283" w:lineRule="auto"/>
        <w:tabs>
          <w:tab w:leader="none" w:pos="1302"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Notwithstanding the foregoing, in determining the reduction, if any, that shall occur as a result of this Section 6.9, the amounts payable or benefits to be provided to you shall be reduced such that the economic loss to you as a result of the Excise Tax elimination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326"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476" w:right="239" w:bottom="1440" w:gutter="0" w:footer="0" w:header="0"/>
        </w:sectPr>
      </w:pPr>
    </w:p>
    <w:bookmarkStart w:id="33" w:name="page34"/>
    <w:bookmarkEnd w:id="33"/>
    <w:p>
      <w:pPr>
        <w:ind w:left="697" w:hanging="697"/>
        <w:spacing w:after="0"/>
        <w:tabs>
          <w:tab w:leader="none" w:pos="69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new Section 6.10 is added to the Retention Agreement which shall provide as follows:</w:t>
      </w:r>
    </w:p>
    <w:p>
      <w:pPr>
        <w:spacing w:after="0" w:line="237" w:lineRule="exact"/>
        <w:rPr>
          <w:sz w:val="20"/>
          <w:szCs w:val="20"/>
          <w:color w:val="auto"/>
        </w:rPr>
      </w:pPr>
    </w:p>
    <w:p>
      <w:pPr>
        <w:ind w:left="617"/>
        <w:spacing w:after="0"/>
        <w:tabs>
          <w:tab w:leader="none" w:pos="1217" w:val="left"/>
        </w:tabs>
        <w:rPr>
          <w:sz w:val="20"/>
          <w:szCs w:val="20"/>
          <w:color w:val="auto"/>
        </w:rPr>
      </w:pPr>
      <w:r>
        <w:rPr>
          <w:rFonts w:ascii="Arial" w:cs="Arial" w:eastAsia="Arial" w:hAnsi="Arial"/>
          <w:sz w:val="17"/>
          <w:szCs w:val="17"/>
          <w:b w:val="1"/>
          <w:bCs w:val="1"/>
          <w:color w:val="auto"/>
        </w:rPr>
        <w:t>6.10</w:t>
      </w:r>
      <w:r>
        <w:rPr>
          <w:sz w:val="20"/>
          <w:szCs w:val="20"/>
          <w:color w:val="auto"/>
        </w:rPr>
        <w:tab/>
      </w: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w:t>
      </w:r>
    </w:p>
    <w:p>
      <w:pPr>
        <w:spacing w:after="0" w:line="249" w:lineRule="exact"/>
        <w:rPr>
          <w:sz w:val="20"/>
          <w:szCs w:val="20"/>
          <w:color w:val="auto"/>
        </w:rPr>
      </w:pPr>
    </w:p>
    <w:p>
      <w:pPr>
        <w:ind w:left="-3" w:firstLine="622"/>
        <w:spacing w:after="0" w:line="280" w:lineRule="auto"/>
        <w:tabs>
          <w:tab w:leader="none" w:pos="1451" w:val="left"/>
        </w:tabs>
        <w:numPr>
          <w:ilvl w:val="1"/>
          <w:numId w:val="28"/>
        </w:numPr>
        <w:rPr>
          <w:rFonts w:ascii="Arial" w:cs="Arial" w:eastAsia="Arial" w:hAnsi="Arial"/>
          <w:sz w:val="17"/>
          <w:szCs w:val="17"/>
          <w:color w:val="auto"/>
        </w:rPr>
      </w:pPr>
      <w:r>
        <w:rPr>
          <w:rFonts w:ascii="Arial" w:cs="Arial" w:eastAsia="Arial" w:hAnsi="Arial"/>
          <w:sz w:val="17"/>
          <w:szCs w:val="17"/>
          <w:color w:val="auto"/>
        </w:rPr>
        <w:t>Subject to the last paragraph of Section 1.2 above, the amounts provided for in Section 3.1 shall be paid in a single lump sum cash payment within 30 days after the Effective Date.</w:t>
      </w:r>
    </w:p>
    <w:p>
      <w:pPr>
        <w:spacing w:after="0" w:line="189" w:lineRule="exact"/>
        <w:rPr>
          <w:rFonts w:ascii="Arial" w:cs="Arial" w:eastAsia="Arial" w:hAnsi="Arial"/>
          <w:sz w:val="17"/>
          <w:szCs w:val="17"/>
          <w:color w:val="auto"/>
        </w:rPr>
      </w:pPr>
    </w:p>
    <w:p>
      <w:pPr>
        <w:jc w:val="both"/>
        <w:ind w:left="-3" w:firstLine="622"/>
        <w:spacing w:after="0" w:line="296" w:lineRule="auto"/>
        <w:tabs>
          <w:tab w:leader="none" w:pos="1295" w:val="left"/>
        </w:tabs>
        <w:numPr>
          <w:ilvl w:val="1"/>
          <w:numId w:val="28"/>
        </w:numPr>
        <w:rPr>
          <w:rFonts w:ascii="Arial" w:cs="Arial" w:eastAsia="Arial" w:hAnsi="Arial"/>
          <w:sz w:val="15"/>
          <w:szCs w:val="15"/>
          <w:color w:val="auto"/>
        </w:rPr>
      </w:pPr>
      <w:r>
        <w:rPr>
          <w:rFonts w:ascii="Arial" w:cs="Arial" w:eastAsia="Arial" w:hAnsi="Arial"/>
          <w:sz w:val="15"/>
          <w:szCs w:val="15"/>
          <w:color w:val="auto"/>
        </w:rPr>
        <w:t>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Except to the extent permitted under Section 409A of the Code, in no event may you, directly or indirectly, designate the calendar year of any payment under this Agreement. Each payment made under this Agreement shall be treated as a separate payment and the right to a series of installment payments under this Agreement is to be treated as a right to a series of separate payments.</w:t>
      </w:r>
    </w:p>
    <w:p>
      <w:pPr>
        <w:spacing w:after="0" w:line="182" w:lineRule="exact"/>
        <w:rPr>
          <w:rFonts w:ascii="Arial" w:cs="Arial" w:eastAsia="Arial" w:hAnsi="Arial"/>
          <w:sz w:val="15"/>
          <w:szCs w:val="15"/>
          <w:color w:val="auto"/>
        </w:rPr>
      </w:pPr>
    </w:p>
    <w:p>
      <w:pPr>
        <w:jc w:val="both"/>
        <w:ind w:left="-3" w:firstLine="622"/>
        <w:spacing w:after="0" w:line="289" w:lineRule="auto"/>
        <w:tabs>
          <w:tab w:leader="none" w:pos="1329" w:val="left"/>
        </w:tabs>
        <w:numPr>
          <w:ilvl w:val="1"/>
          <w:numId w:val="28"/>
        </w:numPr>
        <w:rPr>
          <w:rFonts w:ascii="Arial" w:cs="Arial" w:eastAsia="Arial" w:hAnsi="Arial"/>
          <w:sz w:val="15"/>
          <w:szCs w:val="15"/>
          <w:color w:val="auto"/>
        </w:rPr>
      </w:pPr>
      <w:r>
        <w:rPr>
          <w:rFonts w:ascii="Arial" w:cs="Arial" w:eastAsia="Arial" w:hAnsi="Arial"/>
          <w:sz w:val="15"/>
          <w:szCs w:val="15"/>
          <w:color w:val="auto"/>
        </w:rPr>
        <w:t>Notwithstanding any provision to the contrary in this Agreement, if on the date of your termination of employment, you are a “specified employee” (as such term is defined in Section 409A(a)(2)(B)(i) of the Code and its corresponding regulations) as determined by the Board (or its delegate) in accordance with its “specified employee” determination policy, then all severance benefits payable to you under this Agreement that constitute deferred compensation subject to the requirements of Section 409A of the Code that are payable to you within the six (6) month period following your separation from service shall be postponed for a period of six (6) months following your “separation from service” with the Company (or any successor thereto). Any payments delayed pursuant to this Section 6.10(c) will be made in a lump sum on the Company’s first regularly scheduled payroll date that follows such six</w:t>
      </w:r>
    </w:p>
    <w:p>
      <w:pPr>
        <w:spacing w:after="0" w:line="3" w:lineRule="exact"/>
        <w:rPr>
          <w:rFonts w:ascii="Arial" w:cs="Arial" w:eastAsia="Arial" w:hAnsi="Arial"/>
          <w:sz w:val="15"/>
          <w:szCs w:val="15"/>
          <w:color w:val="auto"/>
        </w:rPr>
      </w:pPr>
    </w:p>
    <w:p>
      <w:pPr>
        <w:ind w:left="-3" w:firstLine="3"/>
        <w:spacing w:after="0" w:line="267" w:lineRule="auto"/>
        <w:tabs>
          <w:tab w:leader="none" w:pos="242"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month period or, if earlier, the date of your death, and any remaining payments required to be made under this Agreement will be paid upon the schedule otherwise applicable to such payments under this Agreement.</w:t>
      </w:r>
    </w:p>
    <w:p>
      <w:pPr>
        <w:spacing w:after="0" w:line="336" w:lineRule="exact"/>
        <w:rPr>
          <w:sz w:val="20"/>
          <w:szCs w:val="20"/>
          <w:color w:val="auto"/>
        </w:rPr>
      </w:pPr>
    </w:p>
    <w:p>
      <w:pPr>
        <w:ind w:left="5057"/>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62865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7"/>
          </w:cols>
          <w:pgMar w:left="863" w:top="501" w:right="239" w:bottom="1440" w:gutter="0" w:footer="0" w:header="0"/>
        </w:sectPr>
      </w:pPr>
    </w:p>
    <w:bookmarkStart w:id="34" w:name="page35"/>
    <w:bookmarkEnd w:id="34"/>
    <w:p>
      <w:pPr>
        <w:jc w:val="both"/>
        <w:ind w:firstLine="622"/>
        <w:spacing w:after="0" w:line="302" w:lineRule="auto"/>
        <w:tabs>
          <w:tab w:leader="none" w:pos="1353"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Notwithstanding any other provision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179" w:lineRule="exact"/>
        <w:rPr>
          <w:rFonts w:ascii="Arial" w:cs="Arial" w:eastAsia="Arial" w:hAnsi="Arial"/>
          <w:sz w:val="15"/>
          <w:szCs w:val="15"/>
          <w:color w:val="auto"/>
        </w:rPr>
      </w:pPr>
    </w:p>
    <w:p>
      <w:pPr>
        <w:jc w:val="both"/>
        <w:ind w:firstLine="622"/>
        <w:spacing w:after="0" w:line="266" w:lineRule="auto"/>
        <w:tabs>
          <w:tab w:leader="none" w:pos="1474"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01" w:lineRule="exact"/>
        <w:rPr>
          <w:rFonts w:ascii="Arial" w:cs="Arial" w:eastAsia="Arial" w:hAnsi="Arial"/>
          <w:sz w:val="17"/>
          <w:szCs w:val="17"/>
          <w:color w:val="auto"/>
        </w:rPr>
      </w:pPr>
    </w:p>
    <w:p>
      <w:pPr>
        <w:jc w:val="both"/>
        <w:ind w:firstLine="622"/>
        <w:spacing w:after="0" w:line="257" w:lineRule="auto"/>
        <w:tabs>
          <w:tab w:leader="none" w:pos="128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you participate during the term of your employment under this Agreement or thereafter provides for a “deferral of compensation” within the meaning of Section 409A of the Code, (1)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(2)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(3) any such reimbursement or payment may not be subject to liquidation or exchange for another benefit, all in accordance with Section 1.409A-3(i)(1)(iv) of the Treasury Regulations.</w:t>
      </w:r>
    </w:p>
    <w:p>
      <w:pPr>
        <w:spacing w:after="0" w:line="209" w:lineRule="exact"/>
        <w:rPr>
          <w:rFonts w:ascii="Arial" w:cs="Arial" w:eastAsia="Arial" w:hAnsi="Arial"/>
          <w:sz w:val="17"/>
          <w:szCs w:val="17"/>
          <w:color w:val="auto"/>
        </w:rPr>
      </w:pPr>
    </w:p>
    <w:p>
      <w:pPr>
        <w:ind w:firstLine="622"/>
        <w:spacing w:after="0" w:line="280" w:lineRule="auto"/>
        <w:tabs>
          <w:tab w:leader="none" w:pos="1362"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avoidance of doubt, any payment due under this Agreement within a period following your termination of employment or other event, shall be made on a date during such period as determined by the Company in it’s sole discretion.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Signatures appear on the next page</w:t>
      </w:r>
      <w:r>
        <w:rPr>
          <w:rFonts w:ascii="Arial" w:cs="Arial" w:eastAsia="Arial" w:hAnsi="Arial"/>
          <w:sz w:val="17"/>
          <w:szCs w:val="17"/>
          <w:color w:val="auto"/>
        </w:rPr>
        <w:t>)</w:t>
      </w:r>
    </w:p>
    <w:p>
      <w:pPr>
        <w:spacing w:after="0" w:line="379"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executed this Amendment effective as of the date first stated above.</w:t>
      </w:r>
    </w:p>
    <w:p>
      <w:pPr>
        <w:spacing w:after="0" w:line="249" w:lineRule="exact"/>
        <w:rPr>
          <w:sz w:val="20"/>
          <w:szCs w:val="20"/>
          <w:color w:val="auto"/>
        </w:rPr>
      </w:pPr>
    </w:p>
    <w:p>
      <w:pPr>
        <w:jc w:val="right"/>
        <w:ind w:right="1900"/>
        <w:spacing w:after="0"/>
        <w:rPr>
          <w:sz w:val="20"/>
          <w:szCs w:val="20"/>
          <w:color w:val="auto"/>
        </w:rPr>
      </w:pPr>
      <w:r>
        <w:rPr>
          <w:rFonts w:ascii="Arial" w:cs="Arial" w:eastAsia="Arial" w:hAnsi="Arial"/>
          <w:sz w:val="17"/>
          <w:szCs w:val="17"/>
          <w:color w:val="auto"/>
        </w:rPr>
        <w:t>CRACKER BARREL OLD COUNTRY STORE, INC.</w:t>
      </w:r>
    </w:p>
    <w:p>
      <w:pPr>
        <w:spacing w:after="0" w:line="218" w:lineRule="exact"/>
        <w:rPr>
          <w:sz w:val="20"/>
          <w:szCs w:val="20"/>
          <w:color w:val="auto"/>
        </w:rPr>
      </w:pPr>
    </w:p>
    <w:tbl>
      <w:tblPr>
        <w:tblLayout w:type="fixed"/>
        <w:tblInd w:w="5100" w:type="dxa"/>
        <w:tblCellMar>
          <w:top w:w="0" w:type="dxa"/>
          <w:left w:w="0" w:type="dxa"/>
          <w:bottom w:w="0" w:type="dxa"/>
          <w:right w:w="0" w:type="dxa"/>
        </w:tblCellMar>
      </w:tblPr>
      <w:tr>
        <w:trPr>
          <w:trHeight w:val="225"/>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/s/N.B. Forrest Shoaf</w:t>
            </w:r>
          </w:p>
        </w:tc>
      </w:tr>
      <w:tr>
        <w:trPr>
          <w:trHeight w:val="194"/>
        </w:trPr>
        <w:tc>
          <w:tcPr>
            <w:tcW w:w="8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900" w:type="dxa"/>
            <w:vAlign w:val="bottom"/>
          </w:tcPr>
          <w:p>
            <w:pPr>
              <w:spacing w:after="0" w:line="194" w:lineRule="exact"/>
              <w:rPr>
                <w:sz w:val="20"/>
                <w:szCs w:val="20"/>
                <w:color w:val="auto"/>
              </w:rPr>
            </w:pPr>
            <w:r>
              <w:rPr>
                <w:rFonts w:ascii="Arial" w:cs="Arial" w:eastAsia="Arial" w:hAnsi="Arial"/>
                <w:sz w:val="17"/>
                <w:szCs w:val="17"/>
                <w:color w:val="auto"/>
              </w:rPr>
              <w:t>N.B. Forrest Shoaf</w:t>
            </w:r>
          </w:p>
        </w:tc>
      </w:tr>
      <w:tr>
        <w:trPr>
          <w:trHeight w:val="217"/>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Senior Vice President</w:t>
            </w:r>
          </w:p>
        </w:tc>
      </w:tr>
    </w:tbl>
    <w:p>
      <w:pPr>
        <w:spacing w:after="0" w:line="19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EXECUTIVE</w:t>
      </w:r>
    </w:p>
    <w:p>
      <w:pPr>
        <w:spacing w:after="0" w:line="218"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/s/Doug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36220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2040" cy="16510"/>
                    </a:xfrm>
                    <a:prstGeom prst="rect">
                      <a:avLst/>
                    </a:prstGeom>
                    <a:noFill/>
                  </pic:spPr>
                </pic:pic>
              </a:graphicData>
            </a:graphic>
          </wp:anchor>
        </w:drawing>
      </w:r>
    </w:p>
    <w:p>
      <w:pPr>
        <w:spacing w:after="0" w:line="17"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Doug Barber</w:t>
      </w:r>
    </w:p>
    <w:p>
      <w:pPr>
        <w:spacing w:after="0" w:line="200" w:lineRule="exact"/>
        <w:rPr>
          <w:sz w:val="20"/>
          <w:szCs w:val="20"/>
          <w:color w:val="auto"/>
        </w:rPr>
      </w:pP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732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0800"/>
          </w:cols>
          <w:pgMar w:left="860" w:top="495" w:right="239" w:bottom="1440" w:gutter="0" w:footer="0" w:header="0"/>
        </w:sectPr>
      </w:pPr>
    </w:p>
    <w:bookmarkStart w:id="36" w:name="page37"/>
    <w:bookmarkEnd w:id="36"/>
    <w:p>
      <w:pPr>
        <w:spacing w:after="0"/>
        <w:tabs>
          <w:tab w:leader="none" w:pos="5060" w:val="left"/>
        </w:tabs>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r>
        <w:rPr>
          <w:sz w:val="20"/>
          <w:szCs w:val="20"/>
          <w:color w:val="auto"/>
        </w:rPr>
        <w:tab/>
      </w:r>
      <w:r>
        <w:rPr>
          <w:rFonts w:ascii="Arial" w:cs="Arial" w:eastAsia="Arial" w:hAnsi="Arial"/>
          <w:sz w:val="16"/>
          <w:szCs w:val="16"/>
          <w:u w:val="single" w:color="auto"/>
          <w:color w:val="auto"/>
        </w:rPr>
        <w:t>CERTIFICATION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1400" w:hanging="313"/>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00" w:hanging="313"/>
        <w:spacing w:after="0" w:line="266"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00" w:hanging="313"/>
        <w:spacing w:after="0" w:line="312"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00" w:hanging="313"/>
        <w:spacing w:after="0" w:line="266"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700" w:hanging="303"/>
        <w:spacing w:after="0" w:line="266"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700" w:hanging="303"/>
        <w:spacing w:after="0" w:line="266"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700" w:hanging="303"/>
        <w:spacing w:after="0" w:line="312" w:lineRule="auto"/>
        <w:tabs>
          <w:tab w:leader="none" w:pos="17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700" w:hanging="303"/>
        <w:spacing w:after="0" w:line="266"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00" w:hanging="313"/>
        <w:spacing w:after="0" w:line="312"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700" w:hanging="303"/>
        <w:spacing w:after="0" w:line="280"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700" w:hanging="303"/>
        <w:spacing w:after="0" w:line="280"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22, 2011</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32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7" w:name="page38"/>
    <w:bookmarkEnd w:id="37"/>
    <w:p>
      <w:pPr>
        <w:spacing w:after="0"/>
        <w:tabs>
          <w:tab w:leader="none" w:pos="5060" w:val="left"/>
        </w:tabs>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r>
        <w:rPr>
          <w:sz w:val="20"/>
          <w:szCs w:val="20"/>
          <w:color w:val="auto"/>
        </w:rPr>
        <w:tab/>
      </w:r>
      <w:r>
        <w:rPr>
          <w:rFonts w:ascii="Arial" w:cs="Arial" w:eastAsia="Arial" w:hAnsi="Arial"/>
          <w:sz w:val="16"/>
          <w:szCs w:val="16"/>
          <w:u w:val="single" w:color="auto"/>
          <w:color w:val="auto"/>
        </w:rPr>
        <w:t>CERTIFICATION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1400" w:hanging="313"/>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00" w:hanging="313"/>
        <w:spacing w:after="0" w:line="266"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00" w:hanging="313"/>
        <w:spacing w:after="0" w:line="312"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00" w:hanging="313"/>
        <w:spacing w:after="0" w:line="266"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700" w:hanging="303"/>
        <w:spacing w:after="0" w:line="266"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700" w:hanging="303"/>
        <w:spacing w:after="0" w:line="266"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700" w:hanging="303"/>
        <w:spacing w:after="0" w:line="312" w:lineRule="auto"/>
        <w:tabs>
          <w:tab w:leader="none" w:pos="17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700" w:hanging="303"/>
        <w:spacing w:after="0" w:line="266"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00" w:hanging="313"/>
        <w:spacing w:after="0" w:line="312"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700" w:hanging="303"/>
        <w:spacing w:after="0" w:line="280"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700" w:hanging="303"/>
        <w:spacing w:after="0" w:line="280"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22, 2011</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32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EXECUTIVE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28, 2011,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auto"/>
              </w:rPr>
              <w:t>Date: November 22, 2011</w:t>
            </w:r>
          </w:p>
        </w:tc>
        <w:tc>
          <w:tcPr>
            <w:tcW w:w="2520" w:type="dxa"/>
            <w:vAlign w:val="bottom"/>
          </w:tcPr>
          <w:p>
            <w:pPr>
              <w:ind w:left="1960"/>
              <w:spacing w:after="0"/>
              <w:rPr>
                <w:sz w:val="20"/>
                <w:szCs w:val="20"/>
                <w:color w:val="auto"/>
              </w:rPr>
            </w:pPr>
            <w:r>
              <w:rPr>
                <w:rFonts w:ascii="Arial" w:cs="Arial" w:eastAsia="Arial" w:hAnsi="Arial"/>
                <w:sz w:val="17"/>
                <w:szCs w:val="17"/>
                <w:color w:val="auto"/>
              </w:rPr>
              <w:t>By:</w:t>
            </w:r>
          </w:p>
        </w:tc>
        <w:tc>
          <w:tcPr>
            <w:tcW w:w="5180" w:type="dxa"/>
            <w:vAlign w:val="bottom"/>
            <w:gridSpan w:val="2"/>
          </w:tcPr>
          <w:p>
            <w:pPr>
              <w:spacing w:after="0"/>
              <w:rPr>
                <w:sz w:val="20"/>
                <w:szCs w:val="20"/>
                <w:color w:val="auto"/>
              </w:rPr>
            </w:pPr>
            <w:r>
              <w:rPr>
                <w:rFonts w:ascii="Arial" w:cs="Arial" w:eastAsia="Arial" w:hAnsi="Arial"/>
                <w:sz w:val="17"/>
                <w:szCs w:val="17"/>
                <w:color w:val="auto"/>
              </w:rPr>
              <w:t>/s/Sandra B. Cochran</w:t>
            </w:r>
          </w:p>
        </w:tc>
      </w:tr>
      <w:tr>
        <w:trPr>
          <w:trHeight w:val="213"/>
        </w:trPr>
        <w:tc>
          <w:tcPr>
            <w:tcW w:w="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Sandra B. Cochran</w:t>
            </w:r>
          </w:p>
        </w:tc>
        <w:tc>
          <w:tcPr>
            <w:tcW w:w="37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r>
      <w:tr>
        <w:trPr>
          <w:trHeight w:val="553"/>
        </w:trPr>
        <w:tc>
          <w:tcPr>
            <w:tcW w:w="4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282" w:right="19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28, 2011,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auto"/>
              </w:rPr>
              <w:t>Date: November 22, 2011</w:t>
            </w:r>
          </w:p>
        </w:tc>
        <w:tc>
          <w:tcPr>
            <w:tcW w:w="2520" w:type="dxa"/>
            <w:vAlign w:val="bottom"/>
          </w:tcPr>
          <w:p>
            <w:pPr>
              <w:ind w:left="1960"/>
              <w:spacing w:after="0"/>
              <w:rPr>
                <w:sz w:val="20"/>
                <w:szCs w:val="20"/>
                <w:color w:val="auto"/>
              </w:rPr>
            </w:pPr>
            <w:r>
              <w:rPr>
                <w:rFonts w:ascii="Arial" w:cs="Arial" w:eastAsia="Arial" w:hAnsi="Arial"/>
                <w:sz w:val="17"/>
                <w:szCs w:val="17"/>
                <w:color w:val="auto"/>
              </w:rPr>
              <w:t>By:</w:t>
            </w:r>
          </w:p>
        </w:tc>
        <w:tc>
          <w:tcPr>
            <w:tcW w:w="5180" w:type="dxa"/>
            <w:vAlign w:val="bottom"/>
            <w:gridSpan w:val="2"/>
          </w:tcPr>
          <w:p>
            <w:pPr>
              <w:spacing w:after="0"/>
              <w:rPr>
                <w:sz w:val="20"/>
                <w:szCs w:val="20"/>
                <w:color w:val="auto"/>
              </w:rPr>
            </w:pPr>
            <w:r>
              <w:rPr>
                <w:rFonts w:ascii="Arial" w:cs="Arial" w:eastAsia="Arial" w:hAnsi="Arial"/>
                <w:sz w:val="17"/>
                <w:szCs w:val="17"/>
                <w:color w:val="auto"/>
              </w:rPr>
              <w:t>/s/Lawrence E. Hyatt</w:t>
            </w:r>
          </w:p>
        </w:tc>
      </w:tr>
      <w:tr>
        <w:trPr>
          <w:trHeight w:val="213"/>
        </w:trPr>
        <w:tc>
          <w:tcPr>
            <w:tcW w:w="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Lawrence E. Hyatt,</w:t>
            </w:r>
          </w:p>
        </w:tc>
        <w:tc>
          <w:tcPr>
            <w:tcW w:w="372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553"/>
        </w:trPr>
        <w:tc>
          <w:tcPr>
            <w:tcW w:w="4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8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4"/>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1"/>
    </w:lvl>
    <w:lvl w:ilvl="1">
      <w:lvlJc w:val="left"/>
      <w:lvlText w:val="(%2)"/>
      <w:numFmt w:val="lowerLetter"/>
      <w:start w:val="1"/>
    </w:lvl>
  </w:abstractNum>
  <w:abstractNum w:abstractNumId="25">
    <w:nsid w:val="8138641"/>
    <w:multiLevelType w:val="hybridMultilevel"/>
    <w:lvl w:ilvl="0">
      <w:lvlJc w:val="left"/>
      <w:lvlText w:val="(%1)"/>
      <w:numFmt w:val="decimal"/>
      <w:start w:val="2"/>
    </w:lvl>
    <w:lvl w:ilvl="1">
      <w:lvlJc w:val="left"/>
      <w:lvlText w:val="(%2)"/>
      <w:numFmt w:val="lowerLetter"/>
      <w:start w:val="2"/>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1"/>
    </w:lvl>
    <w:lvl w:ilvl="1">
      <w:lvlJc w:val="left"/>
      <w:lvlText w:val="(%2)"/>
      <w:numFmt w:val="lowerLetter"/>
      <w:start w:val="1"/>
    </w:lvl>
  </w:abstractNum>
  <w:abstractNum w:abstractNumId="28">
    <w:nsid w:val="737B8DDC"/>
    <w:multiLevelType w:val="hybridMultilevel"/>
    <w:lvl w:ilvl="0">
      <w:lvlJc w:val="left"/>
      <w:lvlText w:val="(%1)"/>
      <w:numFmt w:val="decimal"/>
      <w:start w:val="6"/>
    </w:lvl>
    <w:lvl w:ilvl="1">
      <w:lvlJc w:val="left"/>
      <w:lvlText w:val="%2"/>
      <w:numFmt w:val="lowerLetter"/>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2019-12-10T18:39:12Z</dcterms:created>
  <dcterms:modified xsi:type="dcterms:W3CDTF">2019-12-10T18:39:12Z</dcterms:modified>
</cp:coreProperties>
</file>