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28" w:lineRule="exact"/>
        <w:rPr>
          <w:sz w:val="24"/>
          <w:szCs w:val="24"/>
          <w:color w:val="auto"/>
        </w:rPr>
      </w:pPr>
    </w:p>
    <w:p>
      <w:pPr>
        <w:jc w:val="center"/>
        <w:ind w:right="80"/>
        <w:spacing w:after="0"/>
        <w:rPr>
          <w:sz w:val="20"/>
          <w:szCs w:val="20"/>
          <w:color w:val="auto"/>
        </w:rPr>
      </w:pPr>
      <w:r>
        <w:rPr>
          <w:rFonts w:ascii="Arial" w:cs="Arial" w:eastAsia="Arial" w:hAnsi="Arial"/>
          <w:sz w:val="24"/>
          <w:szCs w:val="24"/>
          <w:color w:val="auto"/>
        </w:rPr>
        <w:t>SECURITIES AND EXCHANGE COMMISSION</w:t>
      </w:r>
    </w:p>
    <w:p>
      <w:pPr>
        <w:jc w:val="center"/>
        <w:ind w:right="80"/>
        <w:spacing w:after="0"/>
        <w:rPr>
          <w:sz w:val="20"/>
          <w:szCs w:val="20"/>
          <w:color w:val="auto"/>
        </w:rPr>
      </w:pPr>
      <w:r>
        <w:rPr>
          <w:rFonts w:ascii="Arial" w:cs="Arial" w:eastAsia="Arial" w:hAnsi="Arial"/>
          <w:sz w:val="21"/>
          <w:szCs w:val="21"/>
          <w:color w:val="auto"/>
        </w:rPr>
        <w:t>WASHINGTON, D.C. 20549</w:t>
      </w:r>
    </w:p>
    <w:p>
      <w:pPr>
        <w:spacing w:after="0" w:line="195" w:lineRule="exact"/>
        <w:rPr>
          <w:sz w:val="24"/>
          <w:szCs w:val="24"/>
          <w:color w:val="auto"/>
        </w:rPr>
      </w:pPr>
    </w:p>
    <w:p>
      <w:pPr>
        <w:jc w:val="center"/>
        <w:ind w:right="80"/>
        <w:spacing w:after="0"/>
        <w:rPr>
          <w:sz w:val="20"/>
          <w:szCs w:val="20"/>
          <w:color w:val="auto"/>
        </w:rPr>
      </w:pPr>
      <w:r>
        <w:rPr>
          <w:rFonts w:ascii="Arial" w:cs="Arial" w:eastAsia="Arial" w:hAnsi="Arial"/>
          <w:sz w:val="31"/>
          <w:szCs w:val="31"/>
          <w:color w:val="auto"/>
        </w:rPr>
        <w:t>FORM 10-Q</w:t>
      </w:r>
    </w:p>
    <w:p>
      <w:pPr>
        <w:spacing w:after="0" w:line="243" w:lineRule="exact"/>
        <w:rPr>
          <w:sz w:val="24"/>
          <w:szCs w:val="24"/>
          <w:color w:val="auto"/>
        </w:rPr>
      </w:pPr>
    </w:p>
    <w:p>
      <w:pPr>
        <w:ind w:left="620"/>
        <w:spacing w:after="0"/>
        <w:rPr>
          <w:sz w:val="20"/>
          <w:szCs w:val="20"/>
          <w:color w:val="auto"/>
        </w:rPr>
      </w:pPr>
      <w:r>
        <w:rPr>
          <w:rFonts w:ascii="Arial" w:cs="Arial" w:eastAsia="Arial" w:hAnsi="Arial"/>
          <w:sz w:val="17"/>
          <w:szCs w:val="17"/>
          <w:color w:val="auto"/>
        </w:rPr>
        <w:t>(Mark One)</w:t>
      </w:r>
    </w:p>
    <w:p>
      <w:pPr>
        <w:spacing w:after="0" w:line="22" w:lineRule="exact"/>
        <w:rPr>
          <w:sz w:val="24"/>
          <w:szCs w:val="24"/>
          <w:color w:val="auto"/>
        </w:rPr>
      </w:pPr>
    </w:p>
    <w:p>
      <w:pPr>
        <w:ind w:left="860" w:right="4540" w:hanging="315"/>
        <w:spacing w:after="0" w:line="267" w:lineRule="auto"/>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 For the Quarterly Period Ended February 1, 2013</w:t>
      </w:r>
    </w:p>
    <w:p>
      <w:pPr>
        <w:spacing w:after="0" w:line="200"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OR</w:t>
      </w:r>
    </w:p>
    <w:p>
      <w:pPr>
        <w:spacing w:after="0" w:line="243" w:lineRule="exact"/>
        <w:rPr>
          <w:sz w:val="24"/>
          <w:szCs w:val="24"/>
          <w:color w:val="auto"/>
        </w:rPr>
      </w:pPr>
    </w:p>
    <w:p>
      <w:pPr>
        <w:ind w:left="860" w:right="4560" w:hanging="315"/>
        <w:spacing w:after="0" w:line="312"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 For the transition period from_________________ to____________________</w:t>
      </w:r>
    </w:p>
    <w:p>
      <w:pPr>
        <w:spacing w:after="0" w:line="141"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Commission file number: 001-25225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2534285</wp:posOffset>
            </wp:positionH>
            <wp:positionV relativeFrom="paragraph">
              <wp:posOffset>211455</wp:posOffset>
            </wp:positionV>
            <wp:extent cx="2188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82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80"/>
        <w:spacing w:after="0"/>
        <w:rPr>
          <w:sz w:val="20"/>
          <w:szCs w:val="20"/>
          <w:color w:val="auto"/>
        </w:rPr>
      </w:pPr>
      <w:r>
        <w:rPr>
          <w:rFonts w:ascii="Arial" w:cs="Arial" w:eastAsia="Arial" w:hAnsi="Arial"/>
          <w:sz w:val="41"/>
          <w:szCs w:val="41"/>
          <w:color w:val="auto"/>
        </w:rPr>
        <w:t>Cracker Barrel Old Country Store, Inc.</w:t>
      </w:r>
    </w:p>
    <w:p>
      <w:pPr>
        <w:spacing w:after="0" w:line="37"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(Exact name of registrant as specified in its charter)</w:t>
      </w:r>
    </w:p>
    <w:p>
      <w:pPr>
        <w:spacing w:after="0" w:line="229" w:lineRule="exact"/>
        <w:rPr>
          <w:sz w:val="24"/>
          <w:szCs w:val="24"/>
          <w:color w:val="auto"/>
        </w:rPr>
      </w:pPr>
    </w:p>
    <w:tbl>
      <w:tblPr>
        <w:tblLayout w:type="fixed"/>
        <w:tblInd w:w="740" w:type="dxa"/>
        <w:tblCellMar>
          <w:top w:w="0" w:type="dxa"/>
          <w:left w:w="0" w:type="dxa"/>
          <w:bottom w:w="0" w:type="dxa"/>
          <w:right w:w="0" w:type="dxa"/>
        </w:tblCellMar>
      </w:tblPr>
      <w:tr>
        <w:trPr>
          <w:trHeight w:val="206"/>
        </w:trPr>
        <w:tc>
          <w:tcPr>
            <w:tcW w:w="5300" w:type="dxa"/>
            <w:vAlign w:val="bottom"/>
          </w:tcPr>
          <w:p>
            <w:pPr>
              <w:jc w:val="center"/>
              <w:ind w:right="1074"/>
              <w:spacing w:after="0"/>
              <w:rPr>
                <w:sz w:val="20"/>
                <w:szCs w:val="20"/>
                <w:color w:val="auto"/>
              </w:rPr>
            </w:pPr>
            <w:r>
              <w:rPr>
                <w:rFonts w:ascii="Arial" w:cs="Arial" w:eastAsia="Arial" w:hAnsi="Arial"/>
                <w:sz w:val="17"/>
                <w:szCs w:val="17"/>
                <w:color w:val="auto"/>
                <w:w w:val="83"/>
              </w:rPr>
              <w:t>Tennessee</w:t>
            </w:r>
          </w:p>
        </w:tc>
        <w:tc>
          <w:tcPr>
            <w:tcW w:w="4000" w:type="dxa"/>
            <w:vAlign w:val="bottom"/>
          </w:tcPr>
          <w:p>
            <w:pPr>
              <w:jc w:val="center"/>
              <w:ind w:left="1094"/>
              <w:spacing w:after="0"/>
              <w:rPr>
                <w:sz w:val="20"/>
                <w:szCs w:val="20"/>
                <w:color w:val="auto"/>
              </w:rPr>
            </w:pPr>
            <w:r>
              <w:rPr>
                <w:rFonts w:ascii="Arial" w:cs="Arial" w:eastAsia="Arial" w:hAnsi="Arial"/>
                <w:sz w:val="17"/>
                <w:szCs w:val="17"/>
                <w:color w:val="auto"/>
                <w:w w:val="90"/>
              </w:rPr>
              <w:t>62-0812904</w:t>
            </w:r>
          </w:p>
        </w:tc>
      </w:tr>
      <w:tr>
        <w:trPr>
          <w:trHeight w:val="217"/>
        </w:trPr>
        <w:tc>
          <w:tcPr>
            <w:tcW w:w="5300" w:type="dxa"/>
            <w:vAlign w:val="bottom"/>
          </w:tcPr>
          <w:p>
            <w:pPr>
              <w:jc w:val="center"/>
              <w:ind w:right="1094"/>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4000" w:type="dxa"/>
            <w:vAlign w:val="bottom"/>
          </w:tcPr>
          <w:p>
            <w:pPr>
              <w:jc w:val="center"/>
              <w:ind w:left="1094"/>
              <w:spacing w:after="0"/>
              <w:rPr>
                <w:sz w:val="20"/>
                <w:szCs w:val="20"/>
                <w:color w:val="auto"/>
              </w:rPr>
            </w:pPr>
            <w:r>
              <w:rPr>
                <w:rFonts w:ascii="Arial" w:cs="Arial" w:eastAsia="Arial" w:hAnsi="Arial"/>
                <w:sz w:val="17"/>
                <w:szCs w:val="17"/>
                <w:color w:val="auto"/>
                <w:w w:val="95"/>
              </w:rPr>
              <w:t>(I.R.S. Employer Identification Number)</w:t>
            </w:r>
          </w:p>
        </w:tc>
      </w:tr>
      <w:tr>
        <w:trPr>
          <w:trHeight w:val="402"/>
        </w:trPr>
        <w:tc>
          <w:tcPr>
            <w:tcW w:w="5300" w:type="dxa"/>
            <w:vAlign w:val="bottom"/>
          </w:tcPr>
          <w:p>
            <w:pPr>
              <w:jc w:val="center"/>
              <w:ind w:right="1074"/>
              <w:spacing w:after="0"/>
              <w:rPr>
                <w:sz w:val="20"/>
                <w:szCs w:val="20"/>
                <w:color w:val="auto"/>
              </w:rPr>
            </w:pPr>
            <w:r>
              <w:rPr>
                <w:rFonts w:ascii="Arial" w:cs="Arial" w:eastAsia="Arial" w:hAnsi="Arial"/>
                <w:sz w:val="17"/>
                <w:szCs w:val="17"/>
                <w:color w:val="auto"/>
                <w:w w:val="92"/>
              </w:rPr>
              <w:t>305 Hartmann Drive, P.O. Box 787</w:t>
            </w:r>
          </w:p>
        </w:tc>
        <w:tc>
          <w:tcPr>
            <w:tcW w:w="4000" w:type="dxa"/>
            <w:vAlign w:val="bottom"/>
          </w:tcPr>
          <w:p>
            <w:pPr>
              <w:jc w:val="center"/>
              <w:ind w:left="1094"/>
              <w:spacing w:after="0"/>
              <w:rPr>
                <w:sz w:val="20"/>
                <w:szCs w:val="20"/>
                <w:color w:val="auto"/>
              </w:rPr>
            </w:pPr>
            <w:r>
              <w:rPr>
                <w:rFonts w:ascii="Arial" w:cs="Arial" w:eastAsia="Arial" w:hAnsi="Arial"/>
                <w:sz w:val="17"/>
                <w:szCs w:val="17"/>
                <w:color w:val="auto"/>
                <w:w w:val="90"/>
              </w:rPr>
              <w:t>37088-0787</w:t>
            </w:r>
          </w:p>
        </w:tc>
      </w:tr>
      <w:tr>
        <w:trPr>
          <w:trHeight w:val="206"/>
        </w:trPr>
        <w:tc>
          <w:tcPr>
            <w:tcW w:w="5300" w:type="dxa"/>
            <w:vAlign w:val="bottom"/>
          </w:tcPr>
          <w:p>
            <w:pPr>
              <w:jc w:val="center"/>
              <w:ind w:right="1094"/>
              <w:spacing w:after="0"/>
              <w:rPr>
                <w:sz w:val="20"/>
                <w:szCs w:val="20"/>
                <w:color w:val="auto"/>
              </w:rPr>
            </w:pPr>
            <w:r>
              <w:rPr>
                <w:rFonts w:ascii="Arial" w:cs="Arial" w:eastAsia="Arial" w:hAnsi="Arial"/>
                <w:sz w:val="17"/>
                <w:szCs w:val="17"/>
                <w:color w:val="auto"/>
                <w:w w:val="87"/>
              </w:rPr>
              <w:t>Lebanon, Tennessee</w:t>
            </w:r>
          </w:p>
        </w:tc>
        <w:tc>
          <w:tcPr>
            <w:tcW w:w="4000" w:type="dxa"/>
            <w:vAlign w:val="bottom"/>
          </w:tcPr>
          <w:p>
            <w:pPr>
              <w:jc w:val="center"/>
              <w:ind w:left="1114"/>
              <w:spacing w:after="0"/>
              <w:rPr>
                <w:sz w:val="20"/>
                <w:szCs w:val="20"/>
                <w:color w:val="auto"/>
              </w:rPr>
            </w:pPr>
            <w:r>
              <w:rPr>
                <w:rFonts w:ascii="Arial" w:cs="Arial" w:eastAsia="Arial" w:hAnsi="Arial"/>
                <w:sz w:val="17"/>
                <w:szCs w:val="17"/>
                <w:color w:val="auto"/>
                <w:w w:val="94"/>
              </w:rPr>
              <w:t>(Zip code)</w:t>
            </w:r>
          </w:p>
        </w:tc>
      </w:tr>
      <w:tr>
        <w:trPr>
          <w:trHeight w:val="217"/>
        </w:trPr>
        <w:tc>
          <w:tcPr>
            <w:tcW w:w="5300" w:type="dxa"/>
            <w:vAlign w:val="bottom"/>
          </w:tcPr>
          <w:p>
            <w:pPr>
              <w:jc w:val="center"/>
              <w:ind w:right="1094"/>
              <w:spacing w:after="0"/>
              <w:rPr>
                <w:sz w:val="20"/>
                <w:szCs w:val="20"/>
                <w:color w:val="auto"/>
              </w:rPr>
            </w:pPr>
            <w:r>
              <w:rPr>
                <w:rFonts w:ascii="Arial" w:cs="Arial" w:eastAsia="Arial" w:hAnsi="Arial"/>
                <w:sz w:val="17"/>
                <w:szCs w:val="17"/>
                <w:color w:val="auto"/>
                <w:w w:val="93"/>
              </w:rPr>
              <w:t>(Address of principal executive offices)</w:t>
            </w:r>
          </w:p>
        </w:tc>
        <w:tc>
          <w:tcPr>
            <w:tcW w:w="4000" w:type="dxa"/>
            <w:vAlign w:val="bottom"/>
          </w:tcPr>
          <w:p>
            <w:pPr>
              <w:spacing w:after="0"/>
              <w:rPr>
                <w:sz w:val="18"/>
                <w:szCs w:val="18"/>
                <w:color w:val="auto"/>
              </w:rPr>
            </w:pPr>
          </w:p>
        </w:tc>
      </w:tr>
    </w:tbl>
    <w:p>
      <w:pPr>
        <w:spacing w:after="0" w:line="222"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Registrant's telephone number, including area code: (615) 444-5533</w:t>
      </w:r>
    </w:p>
    <w:p>
      <w:pPr>
        <w:spacing w:after="0" w:line="243" w:lineRule="exact"/>
        <w:rPr>
          <w:sz w:val="24"/>
          <w:szCs w:val="24"/>
          <w:color w:val="auto"/>
        </w:rPr>
      </w:pPr>
    </w:p>
    <w:p>
      <w:pPr>
        <w:jc w:val="both"/>
        <w:ind w:right="80"/>
        <w:spacing w:after="0" w:line="21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2" w:lineRule="exact"/>
        <w:rPr>
          <w:sz w:val="24"/>
          <w:szCs w:val="24"/>
          <w:color w:val="auto"/>
        </w:rPr>
      </w:pPr>
    </w:p>
    <w:p>
      <w:pPr>
        <w:jc w:val="both"/>
        <w:spacing w:after="0" w:line="217"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2" w:lineRule="exact"/>
        <w:rPr>
          <w:sz w:val="24"/>
          <w:szCs w:val="24"/>
          <w:color w:val="auto"/>
        </w:rPr>
      </w:pPr>
    </w:p>
    <w:p>
      <w:pPr>
        <w:ind w:right="80"/>
        <w:spacing w:after="0" w:line="28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500"/>
          </w:cols>
          <w:pgMar w:left="240" w:top="305" w:right="159" w:bottom="1440" w:gutter="0" w:footer="0" w:header="0"/>
        </w:sectPr>
      </w:pPr>
    </w:p>
    <w:p>
      <w:pPr>
        <w:spacing w:after="0" w:line="157" w:lineRule="exact"/>
        <w:rPr>
          <w:sz w:val="24"/>
          <w:szCs w:val="24"/>
          <w:color w:val="auto"/>
        </w:rPr>
      </w:pPr>
    </w:p>
    <w:p>
      <w:pPr>
        <w:ind w:left="104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3">
            <w:col w:w="5920" w:space="720"/>
            <w:col w:w="1140" w:space="100"/>
            <w:col w:w="3620"/>
          </w:cols>
          <w:pgMar w:left="240" w:top="305" w:right="159" w:bottom="1440" w:gutter="0" w:footer="0" w:header="0"/>
          <w:type w:val="continuous"/>
        </w:sectPr>
      </w:pPr>
    </w:p>
    <w:p>
      <w:pPr>
        <w:spacing w:after="0" w:line="40" w:lineRule="exact"/>
        <w:rPr>
          <w:sz w:val="24"/>
          <w:szCs w:val="24"/>
          <w:color w:val="auto"/>
        </w:rPr>
      </w:pPr>
    </w:p>
    <w:p>
      <w:pPr>
        <w:ind w:left="104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4">
            <w:col w:w="2500" w:space="160"/>
            <w:col w:w="3260" w:space="720"/>
            <w:col w:w="1880" w:space="80"/>
            <w:col w:w="2900"/>
          </w:cols>
          <w:pgMar w:left="240" w:top="305" w:right="159" w:bottom="1440" w:gutter="0" w:footer="0" w:header="0"/>
          <w:type w:val="continuous"/>
        </w:sectPr>
      </w:pPr>
    </w:p>
    <w:p>
      <w:pPr>
        <w:spacing w:after="0" w:line="6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w:t>
      </w:r>
    </w:p>
    <w:p>
      <w:pPr>
        <w:spacing w:after="0" w:line="22" w:lineRule="exact"/>
        <w:rPr>
          <w:sz w:val="24"/>
          <w:szCs w:val="24"/>
          <w:color w:val="auto"/>
        </w:rPr>
      </w:pPr>
    </w:p>
    <w:p>
      <w:pPr>
        <w:ind w:left="320"/>
        <w:spacing w:after="0" w:line="196" w:lineRule="exact"/>
        <w:tabs>
          <w:tab w:leader="none" w:pos="92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33" w:lineRule="exact"/>
        <w:rPr>
          <w:sz w:val="24"/>
          <w:szCs w:val="24"/>
          <w:color w:val="auto"/>
        </w:rPr>
      </w:pPr>
    </w:p>
    <w:p>
      <w:pPr>
        <w:spacing w:after="0"/>
        <w:rPr>
          <w:sz w:val="20"/>
          <w:szCs w:val="20"/>
          <w:color w:val="auto"/>
        </w:rPr>
      </w:pPr>
      <w:r>
        <w:rPr>
          <w:rFonts w:ascii="Arial" w:cs="Arial" w:eastAsia="Arial" w:hAnsi="Arial"/>
          <w:sz w:val="15"/>
          <w:szCs w:val="15"/>
          <w:color w:val="auto"/>
        </w:rPr>
        <w:t>Indicate the number of shares outstanding of each of the registrant’s classes of common stock, as of the latest practicable date.</w:t>
      </w:r>
    </w:p>
    <w:p>
      <w:pPr>
        <w:spacing w:after="0" w:line="266" w:lineRule="exact"/>
        <w:rPr>
          <w:sz w:val="24"/>
          <w:szCs w:val="24"/>
          <w:color w:val="auto"/>
        </w:rPr>
      </w:pPr>
    </w:p>
    <w:p>
      <w:pPr>
        <w:ind w:left="4420"/>
        <w:spacing w:after="0"/>
        <w:rPr>
          <w:sz w:val="20"/>
          <w:szCs w:val="20"/>
          <w:color w:val="auto"/>
        </w:rPr>
      </w:pPr>
      <w:r>
        <w:rPr>
          <w:rFonts w:ascii="Arial" w:cs="Arial" w:eastAsia="Arial" w:hAnsi="Arial"/>
          <w:sz w:val="17"/>
          <w:szCs w:val="17"/>
          <w:color w:val="auto"/>
        </w:rPr>
        <w:t>23,757,885 Shares of Common Stock</w:t>
      </w:r>
    </w:p>
    <w:p>
      <w:pPr>
        <w:spacing w:after="0" w:line="22" w:lineRule="exact"/>
        <w:rPr>
          <w:sz w:val="24"/>
          <w:szCs w:val="24"/>
          <w:color w:val="auto"/>
        </w:rPr>
      </w:pPr>
    </w:p>
    <w:p>
      <w:pPr>
        <w:ind w:left="4460"/>
        <w:spacing w:after="0"/>
        <w:rPr>
          <w:sz w:val="20"/>
          <w:szCs w:val="20"/>
          <w:color w:val="auto"/>
        </w:rPr>
      </w:pPr>
      <w:r>
        <w:rPr>
          <w:rFonts w:ascii="Arial" w:cs="Arial" w:eastAsia="Arial" w:hAnsi="Arial"/>
          <w:sz w:val="17"/>
          <w:szCs w:val="17"/>
          <w:color w:val="auto"/>
        </w:rPr>
        <w:t>Outstanding as of February 20,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7415"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423545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500"/>
          </w:cols>
          <w:pgMar w:left="240" w:top="305" w:right="1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CRACKER BARREL OLD COUNTRY STORE,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Quarter Ended February 1, 2013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243" w:lineRule="exact"/>
        <w:rPr>
          <w:sz w:val="20"/>
          <w:szCs w:val="20"/>
          <w:color w:val="auto"/>
        </w:rPr>
      </w:pPr>
    </w:p>
    <w:p>
      <w:pPr>
        <w:spacing w:after="0"/>
        <w:tabs>
          <w:tab w:leader="none" w:pos="760" w:val="left"/>
          <w:tab w:leader="none" w:pos="10780" w:val="left"/>
        </w:tabs>
        <w:rPr>
          <w:sz w:val="20"/>
          <w:szCs w:val="20"/>
          <w:color w:val="auto"/>
        </w:rPr>
      </w:pPr>
      <w:r>
        <w:rPr>
          <w:rFonts w:ascii="Arial" w:cs="Arial" w:eastAsia="Arial" w:hAnsi="Arial"/>
          <w:sz w:val="17"/>
          <w:szCs w:val="17"/>
          <w:b w:val="1"/>
          <w:bCs w:val="1"/>
          <w:color w:val="auto"/>
        </w:rPr>
        <w:t>PART I.</w:t>
        <w:tab/>
        <w:t>FINANCIAL INFORMATION</w:t>
      </w:r>
      <w:r>
        <w:rPr>
          <w:sz w:val="20"/>
          <w:szCs w:val="20"/>
          <w:color w:val="auto"/>
        </w:rPr>
        <w:tab/>
      </w:r>
      <w:r>
        <w:rPr>
          <w:rFonts w:ascii="Arial" w:cs="Arial" w:eastAsia="Arial" w:hAnsi="Arial"/>
          <w:sz w:val="14"/>
          <w:szCs w:val="14"/>
          <w:b w:val="1"/>
          <w:bCs w:val="1"/>
          <w:u w:val="single" w:color="auto"/>
          <w:color w:val="auto"/>
        </w:rPr>
        <w:t>Page</w:t>
      </w:r>
    </w:p>
    <w:p>
      <w:pPr>
        <w:spacing w:after="0" w:line="22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Item 1</w:t>
      </w:r>
    </w:p>
    <w:p>
      <w:pPr>
        <w:spacing w:after="0" w:line="22" w:lineRule="exact"/>
        <w:rPr>
          <w:sz w:val="20"/>
          <w:szCs w:val="20"/>
          <w:color w:val="auto"/>
        </w:rPr>
      </w:pPr>
    </w:p>
    <w:p>
      <w:pPr>
        <w:ind w:left="1120" w:hanging="317"/>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Condensed Consolidated Financial Statements (Unaudited)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w:t>
            </w:r>
          </w:p>
        </w:tc>
        <w:tc>
          <w:tcPr>
            <w:tcW w:w="9480" w:type="dxa"/>
            <w:vAlign w:val="bottom"/>
            <w:gridSpan w:val="14"/>
            <w:shd w:val="clear" w:color="auto" w:fill="CCEEFF"/>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Condensed Consolidated Balance Sheets as of February 1, 2013 and August 3, 2012</w:t>
              </w:r>
            </w:hyperlink>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b)</w:t>
            </w:r>
          </w:p>
        </w:tc>
        <w:tc>
          <w:tcPr>
            <w:tcW w:w="9480" w:type="dxa"/>
            <w:vAlign w:val="bottom"/>
            <w:gridSpan w:val="14"/>
            <w:shd w:val="clear" w:color="auto" w:fill="CCEEFF"/>
          </w:tcPr>
          <w:p>
            <w:pPr>
              <w:spacing w:after="0" w:line="167" w:lineRule="exact"/>
              <w:rPr>
                <w:rFonts w:ascii="Arial" w:cs="Arial" w:eastAsia="Arial" w:hAnsi="Arial"/>
                <w:sz w:val="17"/>
                <w:szCs w:val="17"/>
                <w:color w:val="0000EE"/>
                <w:w w:val="98"/>
              </w:rPr>
            </w:pPr>
            <w:hyperlink w:anchor="page4">
              <w:r>
                <w:rPr>
                  <w:rFonts w:ascii="Arial" w:cs="Arial" w:eastAsia="Arial" w:hAnsi="Arial"/>
                  <w:sz w:val="17"/>
                  <w:szCs w:val="17"/>
                  <w:color w:val="0000EE"/>
                  <w:w w:val="98"/>
                </w:rPr>
                <w:t>Condensed Consolidated Statements of Income for the Quarters and Six Months Ended February 1, 2013 and January 27, 2012</w:t>
              </w:r>
            </w:hyperlink>
          </w:p>
        </w:tc>
        <w:tc>
          <w:tcPr>
            <w:tcW w:w="6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c)</w:t>
            </w:r>
          </w:p>
        </w:tc>
        <w:tc>
          <w:tcPr>
            <w:tcW w:w="8640" w:type="dxa"/>
            <w:vAlign w:val="bottom"/>
            <w:tcBorders>
              <w:bottom w:val="single" w:sz="8" w:color="0000EE"/>
            </w:tcBorders>
            <w:gridSpan w:val="11"/>
            <w:shd w:val="clear" w:color="auto" w:fill="CCEEFF"/>
          </w:tcPr>
          <w:p>
            <w:pPr>
              <w:spacing w:after="0" w:line="167" w:lineRule="exact"/>
              <w:rPr>
                <w:rFonts w:ascii="Arial" w:cs="Arial" w:eastAsia="Arial" w:hAnsi="Arial"/>
                <w:sz w:val="17"/>
                <w:szCs w:val="17"/>
                <w:color w:val="0000EE"/>
                <w:w w:val="90"/>
              </w:rPr>
            </w:pPr>
            <w:hyperlink w:anchor="page5">
              <w:r>
                <w:rPr>
                  <w:rFonts w:ascii="Arial" w:cs="Arial" w:eastAsia="Arial" w:hAnsi="Arial"/>
                  <w:sz w:val="17"/>
                  <w:szCs w:val="17"/>
                  <w:color w:val="0000EE"/>
                  <w:w w:val="90"/>
                </w:rPr>
                <w:t>Condensed Consolidated Statements of Comprehensive Income for the Quarters and Six Months Ended February 1, 2013 and</w:t>
              </w:r>
            </w:hyperlink>
          </w:p>
        </w:tc>
        <w:tc>
          <w:tcPr>
            <w:tcW w:w="840" w:type="dxa"/>
            <w:vAlign w:val="bottom"/>
            <w:tcBorders>
              <w:bottom w:val="single" w:sz="8" w:color="CCEEFF"/>
            </w:tcBorders>
            <w:gridSpan w:val="3"/>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80" w:type="dxa"/>
            <w:vAlign w:val="bottom"/>
            <w:gridSpan w:val="14"/>
            <w:shd w:val="clear" w:color="auto" w:fill="CCEEFF"/>
          </w:tcPr>
          <w:p>
            <w:pPr>
              <w:ind w:left="80"/>
              <w:spacing w:after="0" w:line="186" w:lineRule="exact"/>
              <w:rPr>
                <w:rFonts w:ascii="Arial" w:cs="Arial" w:eastAsia="Arial" w:hAnsi="Arial"/>
                <w:sz w:val="17"/>
                <w:szCs w:val="17"/>
                <w:color w:val="0000EE"/>
              </w:rPr>
            </w:pPr>
            <w:hyperlink w:anchor="page5">
              <w:r>
                <w:rPr>
                  <w:rFonts w:ascii="Arial" w:cs="Arial" w:eastAsia="Arial" w:hAnsi="Arial"/>
                  <w:sz w:val="17"/>
                  <w:szCs w:val="17"/>
                  <w:color w:val="0000EE"/>
                </w:rPr>
                <w:t>January 27, 2012</w:t>
              </w:r>
            </w:hyperlink>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3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d)</w:t>
            </w:r>
          </w:p>
        </w:tc>
        <w:tc>
          <w:tcPr>
            <w:tcW w:w="9480" w:type="dxa"/>
            <w:vAlign w:val="bottom"/>
            <w:gridSpan w:val="14"/>
            <w:shd w:val="clear" w:color="auto" w:fill="CCEEFF"/>
          </w:tcPr>
          <w:p>
            <w:pPr>
              <w:spacing w:after="0" w:line="167" w:lineRule="exact"/>
              <w:rPr>
                <w:rFonts w:ascii="Arial" w:cs="Arial" w:eastAsia="Arial" w:hAnsi="Arial"/>
                <w:sz w:val="17"/>
                <w:szCs w:val="17"/>
                <w:color w:val="0000EE"/>
                <w:w w:val="94"/>
              </w:rPr>
            </w:pPr>
            <w:hyperlink w:anchor="page6">
              <w:r>
                <w:rPr>
                  <w:rFonts w:ascii="Arial" w:cs="Arial" w:eastAsia="Arial" w:hAnsi="Arial"/>
                  <w:sz w:val="17"/>
                  <w:szCs w:val="17"/>
                  <w:color w:val="0000EE"/>
                  <w:w w:val="94"/>
                </w:rPr>
                <w:t>Condensed Consolidated Statements of Cash Flows for the Quarters and Six Months Ended February 1, 2013 and January 27, 2012</w:t>
              </w:r>
            </w:hyperlink>
          </w:p>
        </w:tc>
        <w:tc>
          <w:tcPr>
            <w:tcW w:w="6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6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e)</w:t>
            </w:r>
          </w:p>
        </w:tc>
        <w:tc>
          <w:tcPr>
            <w:tcW w:w="9480" w:type="dxa"/>
            <w:vAlign w:val="bottom"/>
            <w:gridSpan w:val="14"/>
            <w:shd w:val="clear" w:color="auto" w:fill="CCEEFF"/>
          </w:tcPr>
          <w:p>
            <w:pPr>
              <w:spacing w:after="0" w:line="167" w:lineRule="exact"/>
              <w:rPr>
                <w:rFonts w:ascii="Arial" w:cs="Arial" w:eastAsia="Arial" w:hAnsi="Arial"/>
                <w:sz w:val="17"/>
                <w:szCs w:val="17"/>
                <w:color w:val="0000EE"/>
              </w:rPr>
            </w:pPr>
            <w:hyperlink w:anchor="page7">
              <w:r>
                <w:rPr>
                  <w:rFonts w:ascii="Arial" w:cs="Arial" w:eastAsia="Arial" w:hAnsi="Arial"/>
                  <w:sz w:val="17"/>
                  <w:szCs w:val="17"/>
                  <w:color w:val="0000EE"/>
                </w:rPr>
                <w:t>Notes to Condensed Consolidated Financial Statements</w:t>
              </w:r>
            </w:hyperlink>
          </w:p>
        </w:tc>
        <w:tc>
          <w:tcPr>
            <w:tcW w:w="6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60" w:type="dxa"/>
            <w:vAlign w:val="bottom"/>
            <w:tcBorders>
              <w:top w:val="single" w:sz="8" w:color="CCEEFF"/>
            </w:tcBorders>
            <w:gridSpan w:val="2"/>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gridSpan w:val="5"/>
            <w:shd w:val="clear" w:color="auto" w:fill="CCEEFF"/>
          </w:tcPr>
          <w:p>
            <w:pPr>
              <w:ind w:left="780"/>
              <w:spacing w:after="0"/>
              <w:rPr>
                <w:sz w:val="20"/>
                <w:szCs w:val="20"/>
                <w:color w:val="auto"/>
              </w:rPr>
            </w:pPr>
            <w:r>
              <w:rPr>
                <w:rFonts w:ascii="Arial" w:cs="Arial" w:eastAsia="Arial" w:hAnsi="Arial"/>
                <w:sz w:val="17"/>
                <w:szCs w:val="17"/>
                <w:color w:val="auto"/>
              </w:rPr>
              <w:t>Item 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800" w:type="dxa"/>
            <w:vAlign w:val="bottom"/>
            <w:gridSpan w:val="19"/>
          </w:tcPr>
          <w:p>
            <w:pPr>
              <w:ind w:left="780"/>
              <w:spacing w:after="0" w:line="167" w:lineRule="exact"/>
              <w:rPr>
                <w:rFonts w:ascii="Arial" w:cs="Arial" w:eastAsia="Arial" w:hAnsi="Arial"/>
                <w:sz w:val="17"/>
                <w:szCs w:val="17"/>
                <w:color w:val="auto"/>
              </w:rPr>
            </w:pPr>
            <w:r>
              <w:rPr>
                <w:rFonts w:ascii="Arial" w:cs="Arial" w:eastAsia="Arial" w:hAnsi="Arial"/>
                <w:sz w:val="17"/>
                <w:szCs w:val="17"/>
                <w:color w:val="auto"/>
              </w:rPr>
              <w:t xml:space="preserve">●   </w:t>
            </w:r>
            <w:hyperlink w:anchor="page14">
              <w:r>
                <w:rPr>
                  <w:rFonts w:ascii="Arial" w:cs="Arial" w:eastAsia="Arial" w:hAnsi="Arial"/>
                  <w:sz w:val="17"/>
                  <w:szCs w:val="17"/>
                  <w:color w:val="0000EE"/>
                </w:rPr>
                <w:t>Management’s Discussion and Analysis of Financial Condition and Results of Operations</w:t>
              </w:r>
            </w:hyperlink>
          </w:p>
        </w:tc>
        <w:tc>
          <w:tcPr>
            <w:tcW w:w="600" w:type="dxa"/>
            <w:vAlign w:val="bottom"/>
          </w:tcPr>
          <w:p>
            <w:pPr>
              <w:jc w:val="right"/>
              <w:spacing w:after="0" w:line="167" w:lineRule="exact"/>
              <w:rPr>
                <w:sz w:val="20"/>
                <w:szCs w:val="20"/>
                <w:color w:val="auto"/>
              </w:rPr>
            </w:pPr>
            <w:r>
              <w:rPr>
                <w:rFonts w:ascii="Arial" w:cs="Arial" w:eastAsia="Arial" w:hAnsi="Arial"/>
                <w:sz w:val="17"/>
                <w:szCs w:val="17"/>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236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88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gridSpan w:val="5"/>
          </w:tcPr>
          <w:p>
            <w:pPr>
              <w:ind w:left="780"/>
              <w:spacing w:after="0"/>
              <w:rPr>
                <w:sz w:val="20"/>
                <w:szCs w:val="20"/>
                <w:color w:val="auto"/>
              </w:rPr>
            </w:pPr>
            <w:r>
              <w:rPr>
                <w:rFonts w:ascii="Arial" w:cs="Arial" w:eastAsia="Arial" w:hAnsi="Arial"/>
                <w:sz w:val="17"/>
                <w:szCs w:val="17"/>
                <w:color w:val="auto"/>
              </w:rPr>
              <w:t>Item 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0" w:type="dxa"/>
            <w:vAlign w:val="bottom"/>
            <w:gridSpan w:val="19"/>
            <w:shd w:val="clear" w:color="auto" w:fill="CCEEFF"/>
          </w:tcPr>
          <w:p>
            <w:pPr>
              <w:ind w:left="780"/>
              <w:spacing w:after="0" w:line="167" w:lineRule="exact"/>
              <w:rPr>
                <w:rFonts w:ascii="Arial" w:cs="Arial" w:eastAsia="Arial" w:hAnsi="Arial"/>
                <w:sz w:val="17"/>
                <w:szCs w:val="17"/>
                <w:color w:val="auto"/>
              </w:rPr>
            </w:pPr>
            <w:r>
              <w:rPr>
                <w:rFonts w:ascii="Arial" w:cs="Arial" w:eastAsia="Arial" w:hAnsi="Arial"/>
                <w:sz w:val="17"/>
                <w:szCs w:val="17"/>
                <w:color w:val="auto"/>
              </w:rPr>
              <w:t xml:space="preserve">●  </w:t>
            </w:r>
            <w:hyperlink w:anchor="page27">
              <w:r>
                <w:rPr>
                  <w:rFonts w:ascii="Arial" w:cs="Arial" w:eastAsia="Arial" w:hAnsi="Arial"/>
                  <w:sz w:val="17"/>
                  <w:szCs w:val="17"/>
                  <w:color w:val="0000EE"/>
                </w:rPr>
                <w:t>Quantitative and Qualitative Disclosures About Market Risk</w:t>
              </w:r>
            </w:hyperlink>
          </w:p>
        </w:tc>
        <w:tc>
          <w:tcPr>
            <w:tcW w:w="6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60" w:type="dxa"/>
            <w:vAlign w:val="bottom"/>
            <w:tcBorders>
              <w:top w:val="single" w:sz="8" w:color="CCEEFF"/>
            </w:tcBorders>
            <w:gridSpan w:val="2"/>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gridSpan w:val="5"/>
            <w:shd w:val="clear" w:color="auto" w:fill="CCEEFF"/>
          </w:tcPr>
          <w:p>
            <w:pPr>
              <w:ind w:left="780"/>
              <w:spacing w:after="0"/>
              <w:rPr>
                <w:sz w:val="20"/>
                <w:szCs w:val="20"/>
                <w:color w:val="auto"/>
              </w:rPr>
            </w:pPr>
            <w:r>
              <w:rPr>
                <w:rFonts w:ascii="Arial" w:cs="Arial" w:eastAsia="Arial" w:hAnsi="Arial"/>
                <w:sz w:val="17"/>
                <w:szCs w:val="17"/>
                <w:color w:val="auto"/>
              </w:rPr>
              <w:t>Item 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980" w:type="dxa"/>
            <w:vAlign w:val="bottom"/>
          </w:tcPr>
          <w:p>
            <w:pPr>
              <w:ind w:left="780"/>
              <w:spacing w:after="0" w:line="167" w:lineRule="exact"/>
              <w:rPr>
                <w:sz w:val="20"/>
                <w:szCs w:val="20"/>
                <w:color w:val="auto"/>
              </w:rPr>
            </w:pPr>
            <w:r>
              <w:rPr>
                <w:rFonts w:ascii="Arial" w:cs="Arial" w:eastAsia="Arial" w:hAnsi="Arial"/>
                <w:sz w:val="17"/>
                <w:szCs w:val="17"/>
                <w:color w:val="auto"/>
              </w:rPr>
              <w:t>●</w:t>
            </w:r>
          </w:p>
        </w:tc>
        <w:tc>
          <w:tcPr>
            <w:tcW w:w="9820" w:type="dxa"/>
            <w:vAlign w:val="bottom"/>
            <w:gridSpan w:val="18"/>
          </w:tcPr>
          <w:p>
            <w:pPr>
              <w:ind w:left="80"/>
              <w:spacing w:after="0" w:line="167" w:lineRule="exact"/>
              <w:rPr>
                <w:rFonts w:ascii="Arial" w:cs="Arial" w:eastAsia="Arial" w:hAnsi="Arial"/>
                <w:sz w:val="17"/>
                <w:szCs w:val="17"/>
                <w:color w:val="0000EE"/>
              </w:rPr>
            </w:pPr>
            <w:hyperlink w:anchor="page27">
              <w:r>
                <w:rPr>
                  <w:rFonts w:ascii="Arial" w:cs="Arial" w:eastAsia="Arial" w:hAnsi="Arial"/>
                  <w:sz w:val="17"/>
                  <w:szCs w:val="17"/>
                  <w:color w:val="0000EE"/>
                </w:rPr>
                <w:t>Controls and Procedures</w:t>
              </w:r>
            </w:hyperlink>
          </w:p>
        </w:tc>
        <w:tc>
          <w:tcPr>
            <w:tcW w:w="600" w:type="dxa"/>
            <w:vAlign w:val="bottom"/>
          </w:tcPr>
          <w:p>
            <w:pPr>
              <w:jc w:val="right"/>
              <w:spacing w:after="0" w:line="167" w:lineRule="exact"/>
              <w:rPr>
                <w:sz w:val="20"/>
                <w:szCs w:val="20"/>
                <w:color w:val="auto"/>
              </w:rPr>
            </w:pPr>
            <w:r>
              <w:rPr>
                <w:rFonts w:ascii="Arial" w:cs="Arial" w:eastAsia="Arial" w:hAnsi="Arial"/>
                <w:sz w:val="17"/>
                <w:szCs w:val="17"/>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800" w:type="dxa"/>
            <w:vAlign w:val="bottom"/>
            <w:gridSpan w:val="19"/>
          </w:tcPr>
          <w:p>
            <w:pPr>
              <w:spacing w:after="0"/>
              <w:rPr>
                <w:sz w:val="20"/>
                <w:szCs w:val="20"/>
                <w:color w:val="auto"/>
              </w:rPr>
            </w:pPr>
            <w:r>
              <w:rPr>
                <w:rFonts w:ascii="Arial" w:cs="Arial" w:eastAsia="Arial" w:hAnsi="Arial"/>
                <w:sz w:val="17"/>
                <w:szCs w:val="17"/>
                <w:b w:val="1"/>
                <w:bCs w:val="1"/>
                <w:color w:val="auto"/>
              </w:rPr>
              <w:t>PART II.  OTHER INFORMATION</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gridSpan w:val="5"/>
          </w:tcPr>
          <w:p>
            <w:pPr>
              <w:ind w:left="780"/>
              <w:spacing w:after="0"/>
              <w:rPr>
                <w:sz w:val="20"/>
                <w:szCs w:val="20"/>
                <w:color w:val="auto"/>
              </w:rPr>
            </w:pPr>
            <w:r>
              <w:rPr>
                <w:rFonts w:ascii="Arial" w:cs="Arial" w:eastAsia="Arial" w:hAnsi="Arial"/>
                <w:sz w:val="17"/>
                <w:szCs w:val="17"/>
                <w:color w:val="auto"/>
              </w:rPr>
              <w:t>Item 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80" w:type="dxa"/>
            <w:vAlign w:val="bottom"/>
            <w:shd w:val="clear" w:color="auto" w:fill="CCEEFF"/>
          </w:tcPr>
          <w:p>
            <w:pPr>
              <w:ind w:left="780"/>
              <w:spacing w:after="0" w:line="167" w:lineRule="exact"/>
              <w:rPr>
                <w:sz w:val="20"/>
                <w:szCs w:val="20"/>
                <w:color w:val="auto"/>
              </w:rPr>
            </w:pPr>
            <w:r>
              <w:rPr>
                <w:rFonts w:ascii="Arial" w:cs="Arial" w:eastAsia="Arial" w:hAnsi="Arial"/>
                <w:sz w:val="17"/>
                <w:szCs w:val="17"/>
                <w:color w:val="auto"/>
              </w:rPr>
              <w:t>●</w:t>
            </w:r>
          </w:p>
        </w:tc>
        <w:tc>
          <w:tcPr>
            <w:tcW w:w="9820" w:type="dxa"/>
            <w:vAlign w:val="bottom"/>
            <w:gridSpan w:val="18"/>
            <w:shd w:val="clear" w:color="auto" w:fill="CCEEFF"/>
          </w:tcPr>
          <w:p>
            <w:pPr>
              <w:ind w:left="80"/>
              <w:spacing w:after="0" w:line="167" w:lineRule="exact"/>
              <w:rPr>
                <w:rFonts w:ascii="Arial" w:cs="Arial" w:eastAsia="Arial" w:hAnsi="Arial"/>
                <w:sz w:val="17"/>
                <w:szCs w:val="17"/>
                <w:color w:val="0000EE"/>
              </w:rPr>
            </w:pPr>
            <w:hyperlink w:anchor="page28">
              <w:r>
                <w:rPr>
                  <w:rFonts w:ascii="Arial" w:cs="Arial" w:eastAsia="Arial" w:hAnsi="Arial"/>
                  <w:sz w:val="17"/>
                  <w:szCs w:val="17"/>
                  <w:color w:val="0000EE"/>
                </w:rPr>
                <w:t>Legal Proceedings</w:t>
              </w:r>
            </w:hyperlink>
          </w:p>
        </w:tc>
        <w:tc>
          <w:tcPr>
            <w:tcW w:w="6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60" w:type="dxa"/>
            <w:vAlign w:val="bottom"/>
            <w:tcBorders>
              <w:top w:val="single" w:sz="8" w:color="CCEEFF"/>
            </w:tcBorders>
            <w:gridSpan w:val="2"/>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3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0" w:type="dxa"/>
            <w:vAlign w:val="bottom"/>
            <w:gridSpan w:val="19"/>
            <w:shd w:val="clear" w:color="auto" w:fill="CCEEFF"/>
          </w:tcPr>
          <w:p>
            <w:pPr>
              <w:ind w:left="780"/>
              <w:spacing w:after="0"/>
              <w:rPr>
                <w:sz w:val="20"/>
                <w:szCs w:val="20"/>
                <w:color w:val="auto"/>
              </w:rPr>
            </w:pPr>
            <w:r>
              <w:rPr>
                <w:rFonts w:ascii="Arial" w:cs="Arial" w:eastAsia="Arial" w:hAnsi="Arial"/>
                <w:sz w:val="17"/>
                <w:szCs w:val="17"/>
                <w:color w:val="auto"/>
              </w:rPr>
              <w:t>Item 1A</w:t>
            </w:r>
          </w:p>
        </w:tc>
        <w:tc>
          <w:tcPr>
            <w:tcW w:w="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980" w:type="dxa"/>
            <w:vAlign w:val="bottom"/>
          </w:tcPr>
          <w:p>
            <w:pPr>
              <w:ind w:left="780"/>
              <w:spacing w:after="0" w:line="167" w:lineRule="exact"/>
              <w:rPr>
                <w:sz w:val="20"/>
                <w:szCs w:val="20"/>
                <w:color w:val="auto"/>
              </w:rPr>
            </w:pPr>
            <w:r>
              <w:rPr>
                <w:rFonts w:ascii="Arial" w:cs="Arial" w:eastAsia="Arial" w:hAnsi="Arial"/>
                <w:sz w:val="17"/>
                <w:szCs w:val="17"/>
                <w:color w:val="auto"/>
              </w:rPr>
              <w:t>●</w:t>
            </w:r>
          </w:p>
        </w:tc>
        <w:tc>
          <w:tcPr>
            <w:tcW w:w="9820" w:type="dxa"/>
            <w:vAlign w:val="bottom"/>
            <w:gridSpan w:val="18"/>
          </w:tcPr>
          <w:p>
            <w:pPr>
              <w:ind w:left="80"/>
              <w:spacing w:after="0" w:line="167" w:lineRule="exact"/>
              <w:rPr>
                <w:rFonts w:ascii="Arial" w:cs="Arial" w:eastAsia="Arial" w:hAnsi="Arial"/>
                <w:sz w:val="17"/>
                <w:szCs w:val="17"/>
                <w:color w:val="0000EE"/>
              </w:rPr>
            </w:pPr>
            <w:hyperlink w:anchor="page28">
              <w:r>
                <w:rPr>
                  <w:rFonts w:ascii="Arial" w:cs="Arial" w:eastAsia="Arial" w:hAnsi="Arial"/>
                  <w:sz w:val="17"/>
                  <w:szCs w:val="17"/>
                  <w:color w:val="0000EE"/>
                </w:rPr>
                <w:t>Risk Factors</w:t>
              </w:r>
            </w:hyperlink>
          </w:p>
        </w:tc>
        <w:tc>
          <w:tcPr>
            <w:tcW w:w="600" w:type="dxa"/>
            <w:vAlign w:val="bottom"/>
          </w:tcPr>
          <w:p>
            <w:pPr>
              <w:jc w:val="right"/>
              <w:spacing w:after="0" w:line="167" w:lineRule="exact"/>
              <w:rPr>
                <w:sz w:val="20"/>
                <w:szCs w:val="20"/>
                <w:color w:val="auto"/>
              </w:rPr>
            </w:pPr>
            <w:r>
              <w:rPr>
                <w:rFonts w:ascii="Arial" w:cs="Arial" w:eastAsia="Arial" w:hAnsi="Arial"/>
                <w:sz w:val="17"/>
                <w:szCs w:val="17"/>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gridSpan w:val="5"/>
          </w:tcPr>
          <w:p>
            <w:pPr>
              <w:ind w:left="780"/>
              <w:spacing w:after="0"/>
              <w:rPr>
                <w:sz w:val="20"/>
                <w:szCs w:val="20"/>
                <w:color w:val="auto"/>
              </w:rPr>
            </w:pPr>
            <w:r>
              <w:rPr>
                <w:rFonts w:ascii="Arial" w:cs="Arial" w:eastAsia="Arial" w:hAnsi="Arial"/>
                <w:sz w:val="17"/>
                <w:szCs w:val="17"/>
                <w:color w:val="auto"/>
              </w:rPr>
              <w:t>Item 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980" w:type="dxa"/>
            <w:vAlign w:val="bottom"/>
            <w:shd w:val="clear" w:color="auto" w:fill="CCEEFF"/>
          </w:tcPr>
          <w:p>
            <w:pPr>
              <w:ind w:left="780"/>
              <w:spacing w:after="0" w:line="167" w:lineRule="exact"/>
              <w:rPr>
                <w:sz w:val="20"/>
                <w:szCs w:val="20"/>
                <w:color w:val="auto"/>
              </w:rPr>
            </w:pPr>
            <w:r>
              <w:rPr>
                <w:rFonts w:ascii="Arial" w:cs="Arial" w:eastAsia="Arial" w:hAnsi="Arial"/>
                <w:sz w:val="17"/>
                <w:szCs w:val="17"/>
                <w:color w:val="auto"/>
              </w:rPr>
              <w:t>●</w:t>
            </w:r>
          </w:p>
        </w:tc>
        <w:tc>
          <w:tcPr>
            <w:tcW w:w="9820" w:type="dxa"/>
            <w:vAlign w:val="bottom"/>
            <w:gridSpan w:val="18"/>
            <w:shd w:val="clear" w:color="auto" w:fill="CCEEFF"/>
          </w:tcPr>
          <w:p>
            <w:pPr>
              <w:ind w:left="80"/>
              <w:spacing w:after="0" w:line="167" w:lineRule="exact"/>
              <w:rPr>
                <w:rFonts w:ascii="Arial" w:cs="Arial" w:eastAsia="Arial" w:hAnsi="Arial"/>
                <w:sz w:val="17"/>
                <w:szCs w:val="17"/>
                <w:color w:val="0000EE"/>
              </w:rPr>
            </w:pPr>
            <w:hyperlink w:anchor="page28">
              <w:r>
                <w:rPr>
                  <w:rFonts w:ascii="Arial" w:cs="Arial" w:eastAsia="Arial" w:hAnsi="Arial"/>
                  <w:sz w:val="17"/>
                  <w:szCs w:val="17"/>
                  <w:color w:val="0000EE"/>
                </w:rPr>
                <w:t>Exhibits</w:t>
              </w:r>
            </w:hyperlink>
          </w:p>
        </w:tc>
        <w:tc>
          <w:tcPr>
            <w:tcW w:w="6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1060" w:type="dxa"/>
            <w:vAlign w:val="bottom"/>
            <w:tcBorders>
              <w:top w:val="single" w:sz="8" w:color="CCEEFF"/>
            </w:tcBorders>
            <w:gridSpan w:val="2"/>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3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320" w:type="dxa"/>
            <w:vAlign w:val="bottom"/>
            <w:gridSpan w:val="5"/>
            <w:shd w:val="clear" w:color="auto" w:fill="CCEEFF"/>
          </w:tcPr>
          <w:p>
            <w:pPr>
              <w:spacing w:after="0" w:line="167" w:lineRule="exact"/>
              <w:rPr>
                <w:rFonts w:ascii="Arial" w:cs="Arial" w:eastAsia="Arial" w:hAnsi="Arial"/>
                <w:sz w:val="17"/>
                <w:szCs w:val="17"/>
                <w:b w:val="1"/>
                <w:bCs w:val="1"/>
                <w:color w:val="0000EE"/>
              </w:rPr>
            </w:pPr>
            <w:hyperlink w:anchor="page29">
              <w:r>
                <w:rPr>
                  <w:rFonts w:ascii="Arial" w:cs="Arial" w:eastAsia="Arial" w:hAnsi="Arial"/>
                  <w:sz w:val="17"/>
                  <w:szCs w:val="17"/>
                  <w:b w:val="1"/>
                  <w:bCs w:val="1"/>
                  <w:color w:val="0000EE"/>
                </w:rPr>
                <w:t>SIGNATURES</w:t>
              </w:r>
            </w:hyperlink>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29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780" w:type="dxa"/>
            <w:vAlign w:val="bottom"/>
            <w:tcBorders>
              <w:top w:val="single" w:sz="8" w:color="CCEEFF"/>
            </w:tcBorders>
            <w:gridSpan w:val="9"/>
          </w:tcPr>
          <w:p>
            <w:pPr>
              <w:ind w:left="4340"/>
              <w:spacing w:after="0"/>
              <w:rPr>
                <w:sz w:val="20"/>
                <w:szCs w:val="20"/>
                <w:color w:val="auto"/>
              </w:rPr>
            </w:pPr>
            <w:r>
              <w:rPr>
                <w:rFonts w:ascii="Arial" w:cs="Arial" w:eastAsia="Arial" w:hAnsi="Arial"/>
                <w:sz w:val="14"/>
                <w:szCs w:val="14"/>
                <w:color w:val="auto"/>
              </w:rPr>
              <w:t>2</w:t>
            </w:r>
          </w:p>
        </w:tc>
        <w:tc>
          <w:tcPr>
            <w:tcW w:w="180" w:type="dxa"/>
            <w:vAlign w:val="bottom"/>
            <w:tcBorders>
              <w:top w:val="single" w:sz="8" w:color="CCEEFF"/>
            </w:tcBorders>
          </w:tcPr>
          <w:p>
            <w:pPr>
              <w:spacing w:after="0"/>
              <w:rPr>
                <w:sz w:val="24"/>
                <w:szCs w:val="24"/>
                <w:color w:val="auto"/>
              </w:rPr>
            </w:pPr>
          </w:p>
        </w:tc>
        <w:tc>
          <w:tcPr>
            <w:tcW w:w="26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3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PART I – FINANCIAL INFORMATION</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8800" w:type="dxa"/>
            <w:vAlign w:val="bottom"/>
            <w:gridSpan w:val="3"/>
          </w:tcPr>
          <w:p>
            <w:pPr>
              <w:spacing w:after="0"/>
              <w:rPr>
                <w:sz w:val="20"/>
                <w:szCs w:val="20"/>
                <w:color w:val="auto"/>
              </w:rPr>
            </w:pPr>
            <w:r>
              <w:rPr>
                <w:rFonts w:ascii="Arial" w:cs="Arial" w:eastAsia="Arial" w:hAnsi="Arial"/>
                <w:sz w:val="17"/>
                <w:szCs w:val="17"/>
                <w:b w:val="1"/>
                <w:bCs w:val="1"/>
                <w:color w:val="auto"/>
              </w:rPr>
              <w:t>ITEM  Financial Statements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0" w:type="dxa"/>
            <w:vAlign w:val="bottom"/>
            <w:gridSpan w:val="2"/>
          </w:tcPr>
          <w:p>
            <w:pPr>
              <w:spacing w:after="0"/>
              <w:rPr>
                <w:sz w:val="20"/>
                <w:szCs w:val="20"/>
                <w:color w:val="auto"/>
              </w:rPr>
            </w:pPr>
            <w:r>
              <w:rPr>
                <w:rFonts w:ascii="Arial" w:cs="Arial" w:eastAsia="Arial" w:hAnsi="Arial"/>
                <w:sz w:val="17"/>
                <w:szCs w:val="17"/>
                <w:b w:val="1"/>
                <w:bCs w:val="1"/>
                <w:color w:val="auto"/>
              </w:rPr>
              <w:t>1.</w:t>
            </w:r>
          </w:p>
        </w:tc>
        <w:tc>
          <w:tcPr>
            <w:tcW w:w="8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CRACKER BARREL OLD COUNTRY STORE, INC.</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CONDENSED CONSOLIDATED BALANCE SHEETS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89"/>
              </w:rPr>
              <w:t>(In thousands, except share data)</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92"/>
              </w:rPr>
              <w:t>(Unaudited)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88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7"/>
                <w:szCs w:val="17"/>
                <w:color w:val="auto"/>
                <w:w w:val="94"/>
              </w:rPr>
              <w:t>February 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color w:val="auto"/>
                <w:w w:val="91"/>
              </w:rPr>
              <w:t>August 3,</w:t>
            </w:r>
          </w:p>
        </w:tc>
        <w:tc>
          <w:tcPr>
            <w:tcW w:w="0" w:type="dxa"/>
            <w:vAlign w:val="bottom"/>
          </w:tcPr>
          <w:p>
            <w:pPr>
              <w:spacing w:after="0"/>
              <w:rPr>
                <w:sz w:val="1"/>
                <w:szCs w:val="1"/>
                <w:color w:val="auto"/>
              </w:rPr>
            </w:pPr>
          </w:p>
        </w:tc>
      </w:tr>
      <w:tr>
        <w:trPr>
          <w:trHeight w:val="225"/>
        </w:trPr>
        <w:tc>
          <w:tcPr>
            <w:tcW w:w="8800" w:type="dxa"/>
            <w:vAlign w:val="bottom"/>
            <w:gridSpan w:val="3"/>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800" w:type="dxa"/>
            <w:vAlign w:val="bottom"/>
            <w:gridSpan w:val="3"/>
          </w:tcPr>
          <w:p>
            <w:pPr>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186,148</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151,962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Property held for sale</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884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14,609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Inventories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139,567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143,267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19,229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11,405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9,206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15,181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Total current assets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368,370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337,308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Property and equipment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1,762,948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1,741,571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Less: Accumulated depreciation and amortization of capital leases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745,018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719,201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Property and equipment – net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1,017,930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1,022,370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59,301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59,314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Total assets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1,445,601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1,418,992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Accounts payable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85,109</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101,271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maturities of long-term debt and other long-term obligations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Taxes withheld and accrued</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26,887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39,704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taxes payable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5,825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Deferred revenues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63,046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37,696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interest expense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Current interest rate swap liability</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6,959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20,215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current liabilities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101,263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114,115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Total current liabilities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305,694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319,059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512,500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525,036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Long-term interest rate swap liability</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14,911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14,166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long-term obligations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116,660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114,897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61,543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63,159</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Commitments and Contingencies (Note 11)</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gridSpan w:val="2"/>
          </w:tcPr>
          <w:p>
            <w:pPr>
              <w:spacing w:after="0" w:line="194" w:lineRule="exact"/>
              <w:rPr>
                <w:sz w:val="20"/>
                <w:szCs w:val="20"/>
                <w:color w:val="auto"/>
              </w:rPr>
            </w:pPr>
            <w:r>
              <w:rPr>
                <w:rFonts w:ascii="Arial" w:cs="Arial" w:eastAsia="Arial" w:hAnsi="Arial"/>
                <w:sz w:val="17"/>
                <w:szCs w:val="17"/>
                <w:color w:val="auto"/>
                <w:w w:val="91"/>
              </w:rPr>
              <w:t>Preferred stock – 100,000,000 shares of $.01 par value authorized; 300,000 shares designated as Series A Junior Participating</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Preferred Stock; no shares issued</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3"/>
              </w:rPr>
              <w:t>Common stock – 400,000,000 shares of $.01 par value authorized; 23,728,808 shares issued and outstanding at February 1,</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2013, and 23,473,024 shares issued and outstanding at August 3, 2012</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37,993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28,676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(13,437)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(21,158)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Retained earnings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409,500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374,923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shareholders’ equity</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434,293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382,675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Total liabilities and shareholders’ equity</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1,445,601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1,418,992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See Notes to unaudited Condensed Consolidated Financial Statements.</w:t>
      </w:r>
    </w:p>
    <w:p>
      <w:pPr>
        <w:spacing w:after="0" w:line="243" w:lineRule="exact"/>
        <w:rPr>
          <w:sz w:val="20"/>
          <w:szCs w:val="20"/>
          <w:color w:val="auto"/>
        </w:rPr>
      </w:pPr>
    </w:p>
    <w:p>
      <w:pPr>
        <w:ind w:firstLine="3"/>
        <w:spacing w:after="0" w:line="280" w:lineRule="auto"/>
        <w:tabs>
          <w:tab w:leader="none" w:pos="129"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This Condensed Consolidated Balance Sheet has been derived from the audited Consolidated Balance Sheet as of August 3, 2012, as filed in the Company’s Annual Report on Form 10-K for the fiscal year ended August 3, 2012.</w:t>
      </w:r>
    </w:p>
    <w:p>
      <w:pPr>
        <w:sectPr>
          <w:pgSz w:w="11900" w:h="16838" w:orient="portrait"/>
          <w:cols w:equalWidth="0" w:num="1">
            <w:col w:w="11440"/>
          </w:cols>
          <w:pgMar w:left="240" w:top="108" w:right="219" w:bottom="1440" w:gutter="0" w:footer="0" w:header="0"/>
        </w:sect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2574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type w:val="continuous"/>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CRACKER BARREL OLD COUNTRY STORE,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data)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gridSpan w:val="6"/>
          </w:tcPr>
          <w:p>
            <w:pPr>
              <w:ind w:left="620"/>
              <w:spacing w:after="0"/>
              <w:rPr>
                <w:sz w:val="20"/>
                <w:szCs w:val="20"/>
                <w:color w:val="auto"/>
              </w:rPr>
            </w:pPr>
            <w:r>
              <w:rPr>
                <w:rFonts w:ascii="Arial" w:cs="Arial" w:eastAsia="Arial" w:hAnsi="Arial"/>
                <w:sz w:val="17"/>
                <w:szCs w:val="17"/>
                <w:color w:val="auto"/>
              </w:rPr>
              <w:t>Quarter Ended</w:t>
            </w:r>
          </w:p>
        </w:tc>
        <w:tc>
          <w:tcPr>
            <w:tcW w:w="120" w:type="dxa"/>
            <w:vAlign w:val="bottom"/>
          </w:tcPr>
          <w:p>
            <w:pPr>
              <w:spacing w:after="0"/>
              <w:rPr>
                <w:sz w:val="19"/>
                <w:szCs w:val="19"/>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40"/>
              <w:spacing w:after="0" w:line="194" w:lineRule="exact"/>
              <w:rPr>
                <w:sz w:val="20"/>
                <w:szCs w:val="20"/>
                <w:color w:val="auto"/>
              </w:rPr>
            </w:pPr>
            <w:r>
              <w:rPr>
                <w:rFonts w:ascii="Arial" w:cs="Arial" w:eastAsia="Arial" w:hAnsi="Arial"/>
                <w:sz w:val="17"/>
                <w:szCs w:val="17"/>
                <w:color w:val="auto"/>
              </w:rPr>
              <w:t>February 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4"/>
              <w:spacing w:after="0" w:line="194" w:lineRule="exact"/>
              <w:rPr>
                <w:sz w:val="20"/>
                <w:szCs w:val="20"/>
                <w:color w:val="auto"/>
              </w:rPr>
            </w:pPr>
            <w:r>
              <w:rPr>
                <w:rFonts w:ascii="Arial" w:cs="Arial" w:eastAsia="Arial" w:hAnsi="Arial"/>
                <w:sz w:val="17"/>
                <w:szCs w:val="17"/>
                <w:color w:val="auto"/>
                <w:w w:val="92"/>
              </w:rPr>
              <w:t>January 27,</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line="194" w:lineRule="exact"/>
              <w:rPr>
                <w:sz w:val="20"/>
                <w:szCs w:val="20"/>
                <w:color w:val="auto"/>
              </w:rPr>
            </w:pPr>
            <w:r>
              <w:rPr>
                <w:rFonts w:ascii="Arial" w:cs="Arial" w:eastAsia="Arial" w:hAnsi="Arial"/>
                <w:sz w:val="17"/>
                <w:szCs w:val="17"/>
                <w:color w:val="auto"/>
              </w:rPr>
              <w:t>February 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4"/>
              <w:spacing w:after="0" w:line="194" w:lineRule="exact"/>
              <w:rPr>
                <w:sz w:val="20"/>
                <w:szCs w:val="20"/>
                <w:color w:val="auto"/>
              </w:rPr>
            </w:pPr>
            <w:r>
              <w:rPr>
                <w:rFonts w:ascii="Arial" w:cs="Arial" w:eastAsia="Arial" w:hAnsi="Arial"/>
                <w:sz w:val="17"/>
                <w:szCs w:val="17"/>
                <w:color w:val="auto"/>
                <w:w w:val="92"/>
              </w:rPr>
              <w:t>January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702,671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673,234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1,330,122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1,271,671</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244,187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235,391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442,045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421,698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Gross profit</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458,484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437,843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888,077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849,973</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Labor and other related expenses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244,871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234,933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477,610</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455,901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Other store operating expenses</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122,586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119,136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238,451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228,180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Store operating income</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91,027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83,774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172,016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165,892</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33,830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36,437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69,511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73,931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57,197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47,337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102,505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91,961</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10,293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11,025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21,005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22,160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Income before income taxes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46,904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36,312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81,500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69,801</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11,736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10,703</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23,140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20,390</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Net income</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35,168</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25,609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58,360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49,411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Net income per share:</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tcPr>
          <w:p>
            <w:pPr>
              <w:ind w:left="140"/>
              <w:spacing w:after="0"/>
              <w:rPr>
                <w:sz w:val="20"/>
                <w:szCs w:val="20"/>
                <w:color w:val="auto"/>
              </w:rPr>
            </w:pPr>
            <w:r>
              <w:rPr>
                <w:rFonts w:ascii="Arial" w:cs="Arial" w:eastAsia="Arial" w:hAnsi="Arial"/>
                <w:sz w:val="17"/>
                <w:szCs w:val="17"/>
                <w:color w:val="auto"/>
              </w:rPr>
              <w:t>Diluted</w:t>
            </w:r>
          </w:p>
        </w:tc>
        <w:tc>
          <w:tcPr>
            <w:tcW w:w="7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1.10</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2.45</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Weighted average shares:</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23,711,235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22,968,002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23,644,405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22,919,451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tcPr>
          <w:p>
            <w:pPr>
              <w:ind w:left="140"/>
              <w:spacing w:after="0"/>
              <w:rPr>
                <w:sz w:val="20"/>
                <w:szCs w:val="20"/>
                <w:color w:val="auto"/>
              </w:rPr>
            </w:pPr>
            <w:r>
              <w:rPr>
                <w:rFonts w:ascii="Arial" w:cs="Arial" w:eastAsia="Arial" w:hAnsi="Arial"/>
                <w:sz w:val="17"/>
                <w:szCs w:val="17"/>
                <w:color w:val="auto"/>
              </w:rPr>
              <w:t>Diluted</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23,945,236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23,306,177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23,866,431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23,225,963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Dividends declared per share</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0.50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0.25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0.50</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7"/>
                <w:szCs w:val="17"/>
                <w:color w:val="auto"/>
                <w:w w:val="97"/>
              </w:rPr>
              <w:t>See Notes to unaudited Condensed Consolidated Financial Statements.</w:t>
            </w: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28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780" w:type="dxa"/>
            <w:vAlign w:val="bottom"/>
          </w:tcPr>
          <w:p>
            <w:pPr>
              <w:jc w:val="right"/>
              <w:ind w:right="23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jc w:val="center"/>
        <w:spacing w:after="0" w:line="270" w:lineRule="auto"/>
        <w:rPr>
          <w:sz w:val="20"/>
          <w:szCs w:val="20"/>
          <w:color w:val="auto"/>
        </w:rPr>
      </w:pPr>
      <w:r>
        <w:rPr>
          <w:rFonts w:ascii="Arial" w:cs="Arial" w:eastAsia="Arial" w:hAnsi="Arial"/>
          <w:sz w:val="17"/>
          <w:szCs w:val="17"/>
          <w:b w:val="1"/>
          <w:bCs w:val="1"/>
          <w:color w:val="auto"/>
        </w:rPr>
        <w:t xml:space="preserve">CRACKER BARREL OLD COUNTRY STORE, INC. CONDENSED CONSOLIDATED STATEMENTS OF COMPREHENSIVE INCOME </w:t>
      </w:r>
      <w:r>
        <w:rPr>
          <w:rFonts w:ascii="Arial" w:cs="Arial" w:eastAsia="Arial" w:hAnsi="Arial"/>
          <w:sz w:val="17"/>
          <w:szCs w:val="17"/>
          <w:color w:val="auto"/>
        </w:rPr>
        <w:t>(Unaudited and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gridSpan w:val="6"/>
          </w:tcPr>
          <w:p>
            <w:pPr>
              <w:jc w:val="right"/>
              <w:ind w:right="1000"/>
              <w:spacing w:after="0"/>
              <w:rPr>
                <w:sz w:val="20"/>
                <w:szCs w:val="20"/>
                <w:color w:val="auto"/>
              </w:rPr>
            </w:pPr>
            <w:r>
              <w:rPr>
                <w:rFonts w:ascii="Arial" w:cs="Arial" w:eastAsia="Arial" w:hAnsi="Arial"/>
                <w:sz w:val="17"/>
                <w:szCs w:val="17"/>
                <w:color w:val="auto"/>
              </w:rPr>
              <w:t>Quarter Ended</w:t>
            </w:r>
          </w:p>
        </w:tc>
        <w:tc>
          <w:tcPr>
            <w:tcW w:w="120" w:type="dxa"/>
            <w:vAlign w:val="bottom"/>
          </w:tcPr>
          <w:p>
            <w:pPr>
              <w:spacing w:after="0"/>
              <w:rPr>
                <w:sz w:val="19"/>
                <w:szCs w:val="19"/>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40"/>
              <w:spacing w:after="0" w:line="194" w:lineRule="exact"/>
              <w:rPr>
                <w:sz w:val="20"/>
                <w:szCs w:val="20"/>
                <w:color w:val="auto"/>
              </w:rPr>
            </w:pPr>
            <w:r>
              <w:rPr>
                <w:rFonts w:ascii="Arial" w:cs="Arial" w:eastAsia="Arial" w:hAnsi="Arial"/>
                <w:sz w:val="17"/>
                <w:szCs w:val="17"/>
                <w:color w:val="auto"/>
              </w:rPr>
              <w:t>February 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4"/>
              <w:spacing w:after="0" w:line="194" w:lineRule="exact"/>
              <w:rPr>
                <w:sz w:val="20"/>
                <w:szCs w:val="20"/>
                <w:color w:val="auto"/>
              </w:rPr>
            </w:pPr>
            <w:r>
              <w:rPr>
                <w:rFonts w:ascii="Arial" w:cs="Arial" w:eastAsia="Arial" w:hAnsi="Arial"/>
                <w:sz w:val="17"/>
                <w:szCs w:val="17"/>
                <w:color w:val="auto"/>
                <w:w w:val="92"/>
              </w:rPr>
              <w:t>January 27,</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60"/>
              <w:spacing w:after="0" w:line="194" w:lineRule="exact"/>
              <w:rPr>
                <w:sz w:val="20"/>
                <w:szCs w:val="20"/>
                <w:color w:val="auto"/>
              </w:rPr>
            </w:pPr>
            <w:r>
              <w:rPr>
                <w:rFonts w:ascii="Arial" w:cs="Arial" w:eastAsia="Arial" w:hAnsi="Arial"/>
                <w:sz w:val="17"/>
                <w:szCs w:val="17"/>
                <w:color w:val="auto"/>
              </w:rPr>
              <w:t>February 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4"/>
              <w:spacing w:after="0" w:line="194" w:lineRule="exact"/>
              <w:rPr>
                <w:sz w:val="20"/>
                <w:szCs w:val="20"/>
                <w:color w:val="auto"/>
              </w:rPr>
            </w:pPr>
            <w:r>
              <w:rPr>
                <w:rFonts w:ascii="Arial" w:cs="Arial" w:eastAsia="Arial" w:hAnsi="Arial"/>
                <w:sz w:val="17"/>
                <w:szCs w:val="17"/>
                <w:color w:val="auto"/>
                <w:w w:val="92"/>
              </w:rPr>
              <w:t>January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35,168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25,609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58,360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49,411</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before income tax expense (benefit):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Change in fair value of interest rate swaps</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7,010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2,292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12,511</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6,554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(120)</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4,790</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Other comprehensive income, net of tax</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2,412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7,721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6,362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vMerge w:val="continue"/>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28,021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66,081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55,773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See Notes to unaudited Condensed Consolidated Financial Statements.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CRACKER BARREL OLD COUNTRY STORE, INC.</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54"/>
              <w:spacing w:after="0"/>
              <w:rPr>
                <w:sz w:val="20"/>
                <w:szCs w:val="20"/>
                <w:color w:val="auto"/>
              </w:rPr>
            </w:pPr>
            <w:r>
              <w:rPr>
                <w:rFonts w:ascii="Arial" w:cs="Arial" w:eastAsia="Arial" w:hAnsi="Arial"/>
                <w:sz w:val="17"/>
                <w:szCs w:val="17"/>
                <w:b w:val="1"/>
                <w:bCs w:val="1"/>
                <w:color w:val="auto"/>
                <w:w w:val="99"/>
              </w:rPr>
              <w:t>CONDENSED CONSOLIDATED STATEMENTS OF CASH FLOWS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90"/>
              </w:rPr>
              <w:t>(Unaudited and in thousands)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6"/>
          </w:tcPr>
          <w:p>
            <w:pPr>
              <w:jc w:val="right"/>
              <w:ind w:right="72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20"/>
              <w:spacing w:after="0" w:line="194" w:lineRule="exact"/>
              <w:rPr>
                <w:sz w:val="20"/>
                <w:szCs w:val="20"/>
                <w:color w:val="auto"/>
              </w:rPr>
            </w:pPr>
            <w:r>
              <w:rPr>
                <w:rFonts w:ascii="Arial" w:cs="Arial" w:eastAsia="Arial" w:hAnsi="Arial"/>
                <w:sz w:val="17"/>
                <w:szCs w:val="17"/>
                <w:color w:val="auto"/>
                <w:w w:val="94"/>
              </w:rPr>
              <w:t>February 1,</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4"/>
              <w:spacing w:after="0" w:line="194" w:lineRule="exact"/>
              <w:rPr>
                <w:sz w:val="20"/>
                <w:szCs w:val="20"/>
                <w:color w:val="auto"/>
              </w:rPr>
            </w:pPr>
            <w:r>
              <w:rPr>
                <w:rFonts w:ascii="Arial" w:cs="Arial" w:eastAsia="Arial" w:hAnsi="Arial"/>
                <w:sz w:val="17"/>
                <w:szCs w:val="17"/>
                <w:color w:val="auto"/>
                <w:w w:val="92"/>
              </w:rPr>
              <w:t>January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800" w:type="dxa"/>
            <w:vAlign w:val="bottom"/>
            <w:gridSpan w:val="3"/>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58,360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49,411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32,357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31,339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Loss on disposition of property and equipment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1,465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1,258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Share-based compensation</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5,409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5,946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Excess tax benefit from share-based compensation</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(1,289)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Changes in assets and liabilities: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Inventories</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3,700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14,371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current assets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(6,553)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(2,521)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Accounts payable</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(16,162)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(6,087)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Accrued employee compensation</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(13,774)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3,060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Deferred revenues</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25,350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22,265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current liabilities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(8,845)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(697)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Other long-term assets and liabilities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(4,231)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113,959</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Purchase of property and equipment</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(29,749)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(38,835)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Proceeds from sale of property and equipment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Proceeds from insurance recoveries of property and equipment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(28,996)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(38,242)</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Proceeds from issuance of long-term debt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92,600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Principal payments under long-term debt and other long-term obligations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(92,676)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Proceeds from exercise of share-based compensation awards</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2,622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2,137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Excess tax benefit from share-based compensation</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Dividends on common stock</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(21,651)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(10,822)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(17,798)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(8,606)</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increase in cash and cash equivalents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34,186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67,111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Cash and cash equivalents, beginning of period</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151,962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52,274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vMerge w:val="continue"/>
          </w:tcPr>
          <w:p>
            <w:pPr>
              <w:spacing w:after="0"/>
              <w:rPr>
                <w:sz w:val="21"/>
                <w:szCs w:val="21"/>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186,148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119,385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Cash paid during the period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Interest, net of amounts capitalized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18,916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Income taxes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25,268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b w:val="1"/>
                <w:bCs w:val="1"/>
                <w:color w:val="auto"/>
              </w:rPr>
              <w:t>Supplemental schedule of non-cash financing activity:</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Change in fair value of interest rate swaps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12,511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Change in deferred tax asset for interest rate swaps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(4,790)</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See Notes to unaudited Condensed Consolidated Financial Statements.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ind w:left="4020"/>
        <w:spacing w:after="0"/>
        <w:rPr>
          <w:sz w:val="20"/>
          <w:szCs w:val="20"/>
          <w:color w:val="auto"/>
        </w:rPr>
      </w:pPr>
      <w:r>
        <w:rPr>
          <w:rFonts w:ascii="Arial" w:cs="Arial" w:eastAsia="Arial" w:hAnsi="Arial"/>
          <w:sz w:val="17"/>
          <w:szCs w:val="17"/>
          <w:b w:val="1"/>
          <w:bCs w:val="1"/>
          <w:u w:val="single" w:color="auto"/>
          <w:color w:val="auto"/>
        </w:rPr>
        <w:t>CRACKER BARREL OLD COUNTRY STORE,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CONDENSED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percentages, share and per share data)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7" w:lineRule="exact"/>
        <w:rPr>
          <w:sz w:val="20"/>
          <w:szCs w:val="20"/>
          <w:color w:val="auto"/>
        </w:rPr>
      </w:pPr>
    </w:p>
    <w:p>
      <w:pPr>
        <w:ind w:left="620" w:hanging="617"/>
        <w:spacing w:after="0"/>
        <w:tabs>
          <w:tab w:leader="none" w:pos="6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Condensed Consolidated Financial Statements</w:t>
      </w:r>
    </w:p>
    <w:p>
      <w:pPr>
        <w:spacing w:after="0" w:line="249"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167"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The condensed consolidated balance sheets at February 1, 2013 and August 3, 2012 and the related condensed consolidated statements of income, comprehensive income and cash flows for the quarters and/or six-month periods ended February 1, 2013 and January 27, 2012, have been prepared by the Company in accordance with accounting principles generally accepted in the United States of America (“GAAP”) and pursuant to the rules and regulations of the Securities and Exchange Commission (the “SEC”)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210"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notes thereto contained in the Company's Annual Report on Form 10-K for the year ended August 3, 2012 (the “2012 Form 10-K”). The accounting policies used in preparing these condensed consolidated financial statements are the same as described in the 2012 Form 10-K. References to a year in these Notes to Condensed Consolidated Financial Statements are to the Company’s fiscal year unless otherwise noted.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 Adopted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Presentation of Comprehensive Income</w:t>
      </w:r>
    </w:p>
    <w:p>
      <w:pPr>
        <w:spacing w:after="0" w:line="249" w:lineRule="exact"/>
        <w:rPr>
          <w:sz w:val="20"/>
          <w:szCs w:val="20"/>
          <w:color w:val="auto"/>
        </w:rPr>
      </w:pPr>
    </w:p>
    <w:p>
      <w:pPr>
        <w:jc w:val="both"/>
        <w:ind w:firstLine="620"/>
        <w:spacing w:after="0" w:line="299" w:lineRule="auto"/>
        <w:rPr>
          <w:sz w:val="20"/>
          <w:szCs w:val="20"/>
          <w:color w:val="auto"/>
        </w:rPr>
      </w:pPr>
      <w:r>
        <w:rPr>
          <w:rFonts w:ascii="Arial" w:cs="Arial" w:eastAsia="Arial" w:hAnsi="Arial"/>
          <w:sz w:val="15"/>
          <w:szCs w:val="15"/>
          <w:color w:val="auto"/>
        </w:rPr>
        <w:t>In June 2011, the Financial Accounting Standards Board (“FASB”) issued amended accounting guidance which requires companies to present total comprehensive income and its components and the components of net income in either a single continuous statement of comprehensive income or in two consecutive statements reporting net income and comprehensive income. This requirement eliminates the option to present components of comprehensive income as part of the statement of changes in shareholders’ equity. This guidance affects only the presentation of comprehensive income and does not change the components of comprehensive income. The Company adopted this accounting guidance on a retrospective basis in the first quarter of 2013 by presenting separate but consecutive statements. The adoption of this accounting guidance did not have an impact on the Company’s consolidated financial position or results of operations.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 Not Yet Adopted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Disclosures about Offsetting Assets and Liabilities</w:t>
      </w:r>
    </w:p>
    <w:p>
      <w:pPr>
        <w:spacing w:after="0" w:line="249"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In December 2011, the FASB issued accounting guidance which requires companies to disclose information about the nature of their rights of setoff and related arrangements associated with their financial instruments and derivative instruments to enable users of financial statements to understand the effect of those arrangements on their financial position. Each company will be required to provide both net and gross information in the notes to its financial statements for relevant assets and liabilities that are eligible for offset. In January 2013, the FASB issued additional accounting guidance which limits these disclosures to derivatives, repurchase agreements and securities lending transactions to the extent that they are offset in the financial statements or subject to an enforceable master netting arrangement or similar agreement. These disclosure requirements are effective for fiscal years beginning on or after January 1, 2013 on a retrospective basis. The Company does not expect that the adoption of these disclosure requirements in the first quarter of 2014 will have a significant impact on its Consolidated Financial Statements.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Reporting of Amounts Reclassified Out of Accumulated Other Comprehensive Income</w:t>
      </w:r>
    </w:p>
    <w:p>
      <w:pPr>
        <w:spacing w:after="0" w:line="249" w:lineRule="exact"/>
        <w:rPr>
          <w:sz w:val="20"/>
          <w:szCs w:val="20"/>
          <w:color w:val="auto"/>
        </w:rPr>
      </w:pPr>
    </w:p>
    <w:p>
      <w:pPr>
        <w:jc w:val="both"/>
        <w:ind w:firstLine="620"/>
        <w:spacing w:after="0" w:line="274" w:lineRule="auto"/>
        <w:rPr>
          <w:sz w:val="20"/>
          <w:szCs w:val="20"/>
          <w:color w:val="auto"/>
        </w:rPr>
      </w:pPr>
      <w:r>
        <w:rPr>
          <w:rFonts w:ascii="Arial" w:cs="Arial" w:eastAsia="Arial" w:hAnsi="Arial"/>
          <w:sz w:val="16"/>
          <w:szCs w:val="16"/>
          <w:color w:val="auto"/>
        </w:rPr>
        <w:t>In February 2013, the FASB issued accounting guidance which requires companies to provide information regarding the amounts reclassified out of accumulated other comprehensive income by component. A company will be required to present, either on the face of the statement where net income is presented or in the notes, significant amounts reclassified out of accumulated other comprehensive income by the respective line items of net income but only if the amount reclassified is required by GAAP to be reclassified to net income in its entirety in the same reporting period. For other amounts that are not required under GAAP to be reclassified in their entirety to net income, a company is required to cross-reference to other disclosures required under GAAP that provide additional detail regarding those amounts. This accounting guidance is effective for fiscal years beginning after December 15, 2012 on a prospective basis. The Company is currently evaluating the impact of this guidance on its Consolidated Financial Statements, but since the guidance only affects presentation and disclosure of amounts reclassified out of accumulated other comprehensive income, the adoption of this guidance in the first quarter of 2014 is not expected to have a significant impact on the Company’s consolidated position or results of operations.</w:t>
      </w:r>
    </w:p>
    <w:p>
      <w:pPr>
        <w:spacing w:after="0" w:line="194" w:lineRule="exact"/>
        <w:rPr>
          <w:sz w:val="20"/>
          <w:szCs w:val="20"/>
          <w:color w:val="auto"/>
        </w:rPr>
      </w:pPr>
    </w:p>
    <w:p>
      <w:pPr>
        <w:ind w:left="620" w:hanging="617"/>
        <w:spacing w:after="0"/>
        <w:tabs>
          <w:tab w:leader="none" w:pos="6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Fair Value Measurements</w:t>
      </w:r>
    </w:p>
    <w:p>
      <w:pPr>
        <w:spacing w:after="0" w:line="249"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The Company’s assets and liabilities measured at fair value on a recurring basis at February 1, 2013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7"/>
                <w:szCs w:val="17"/>
                <w:color w:val="auto"/>
                <w:w w:val="90"/>
              </w:rPr>
              <w:t>Quoted Prices</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94"/>
              </w:rPr>
              <w:t>Significant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7"/>
                <w:szCs w:val="17"/>
                <w:color w:val="auto"/>
                <w:w w:val="96"/>
              </w:rPr>
              <w:t>in Active</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6"/>
              </w:rPr>
              <w:t>Significant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7"/>
                <w:szCs w:val="17"/>
                <w:color w:val="auto"/>
                <w:w w:val="96"/>
              </w:rPr>
              <w:t>Markets for</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Observable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Unobservable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color w:val="auto"/>
                <w:w w:val="87"/>
              </w:rPr>
              <w:t>Fair Value as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Arial" w:cs="Arial" w:eastAsia="Arial" w:hAnsi="Arial"/>
                <w:sz w:val="17"/>
                <w:szCs w:val="17"/>
                <w:color w:val="auto"/>
              </w:rPr>
              <w:t>Identical Assets</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Inputs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4"/>
              </w:rPr>
              <w:t>Inputs</w:t>
            </w:r>
          </w:p>
        </w:tc>
        <w:tc>
          <w:tcPr>
            <w:tcW w:w="20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7"/>
                <w:szCs w:val="17"/>
                <w:color w:val="auto"/>
                <w:w w:val="90"/>
              </w:rPr>
              <w:t>of February 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w w:val="93"/>
              </w:rPr>
              <w:t>(Level 1)</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color w:val="auto"/>
                <w:w w:val="93"/>
              </w:rPr>
              <w:t>(Level 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93"/>
              </w:rPr>
              <w:t>(Level 3)</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95"/>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2020" w:type="dxa"/>
            <w:vAlign w:val="bottom"/>
            <w:gridSpan w:val="2"/>
            <w:shd w:val="clear" w:color="auto" w:fill="CCEEFF"/>
          </w:tcPr>
          <w:p>
            <w:pPr>
              <w:ind w:left="18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121,735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121,735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Deferred compensation plan assets**</w:t>
            </w: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30,063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30,063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vMerge w:val="continue"/>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Total assets at fair value</w:t>
            </w:r>
          </w:p>
        </w:tc>
        <w:tc>
          <w:tcPr>
            <w:tcW w:w="1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151,798</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151,798</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16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 liability (see Note 5)</w:t>
            </w:r>
          </w:p>
        </w:tc>
        <w:tc>
          <w:tcPr>
            <w:tcW w:w="1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21,870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21,870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Total liabilities at fair value</w:t>
            </w:r>
          </w:p>
        </w:tc>
        <w:tc>
          <w:tcPr>
            <w:tcW w:w="18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21,870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21,870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80" w:type="dxa"/>
            <w:vAlign w:val="bottom"/>
            <w:vMerge w:val="restart"/>
          </w:tcPr>
          <w:p>
            <w:pPr>
              <w:jc w:val="right"/>
              <w:ind w:right="243"/>
              <w:spacing w:after="0"/>
              <w:rPr>
                <w:sz w:val="20"/>
                <w:szCs w:val="20"/>
                <w:color w:val="auto"/>
              </w:rPr>
            </w:pPr>
            <w:r>
              <w:rPr>
                <w:rFonts w:ascii="Arial" w:cs="Arial" w:eastAsia="Arial" w:hAnsi="Arial"/>
                <w:sz w:val="14"/>
                <w:szCs w:val="14"/>
                <w:color w:val="auto"/>
              </w:rPr>
              <w:t>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16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60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460" w:type="dxa"/>
            <w:vAlign w:val="bottom"/>
            <w:gridSpan w:val="7"/>
          </w:tcPr>
          <w:p>
            <w:pPr>
              <w:ind w:left="320"/>
              <w:spacing w:after="0"/>
              <w:rPr>
                <w:sz w:val="20"/>
                <w:szCs w:val="20"/>
                <w:color w:val="auto"/>
              </w:rPr>
            </w:pPr>
            <w:r>
              <w:rPr>
                <w:rFonts w:ascii="Arial" w:cs="Arial" w:eastAsia="Arial" w:hAnsi="Arial"/>
                <w:sz w:val="17"/>
                <w:szCs w:val="17"/>
                <w:color w:val="auto"/>
                <w:w w:val="93"/>
              </w:rPr>
              <w:t>The Company’s assets and liabilities measured at fair value on a recurring basis at August 3, 2012 were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7"/>
                <w:szCs w:val="17"/>
                <w:color w:val="auto"/>
                <w:w w:val="90"/>
              </w:rPr>
              <w:t>Quoted Prices</w:t>
            </w:r>
          </w:p>
        </w:tc>
        <w:tc>
          <w:tcPr>
            <w:tcW w:w="14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94"/>
              </w:rPr>
              <w:t>Significant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7"/>
                <w:szCs w:val="17"/>
                <w:color w:val="auto"/>
                <w:w w:val="96"/>
              </w:rPr>
              <w:t>in Active</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6"/>
              </w:rPr>
              <w:t>Significant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7"/>
                <w:szCs w:val="17"/>
                <w:color w:val="auto"/>
                <w:w w:val="96"/>
              </w:rPr>
              <w:t>Markets for</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Observable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Unobservable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w w:val="93"/>
              </w:rPr>
              <w:t>Fair Value as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420" w:type="dxa"/>
            <w:vAlign w:val="bottom"/>
            <w:gridSpan w:val="3"/>
          </w:tcPr>
          <w:p>
            <w:pPr>
              <w:ind w:left="20"/>
              <w:spacing w:after="0"/>
              <w:rPr>
                <w:sz w:val="20"/>
                <w:szCs w:val="20"/>
                <w:color w:val="auto"/>
              </w:rPr>
            </w:pPr>
            <w:r>
              <w:rPr>
                <w:rFonts w:ascii="Arial" w:cs="Arial" w:eastAsia="Arial" w:hAnsi="Arial"/>
                <w:sz w:val="17"/>
                <w:szCs w:val="17"/>
                <w:color w:val="auto"/>
              </w:rPr>
              <w:t>Identical Assets</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Inputs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4"/>
              </w:rPr>
              <w:t>Inputs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of August 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w w:val="93"/>
              </w:rPr>
              <w:t>(Level 1)</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color w:val="auto"/>
                <w:w w:val="93"/>
              </w:rPr>
              <w:t>(Level 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93"/>
              </w:rPr>
              <w:t>(Level 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104,531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104,531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tcPr>
          <w:p>
            <w:pPr>
              <w:spacing w:after="0"/>
              <w:rPr>
                <w:sz w:val="20"/>
                <w:szCs w:val="20"/>
                <w:color w:val="auto"/>
              </w:rPr>
            </w:pPr>
            <w:r>
              <w:rPr>
                <w:rFonts w:ascii="Arial" w:cs="Arial" w:eastAsia="Arial" w:hAnsi="Arial"/>
                <w:sz w:val="17"/>
                <w:szCs w:val="17"/>
                <w:color w:val="auto"/>
              </w:rPr>
              <w:t>Deferred compensation plan assets**</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29,443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29,443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vMerge w:val="continue"/>
          </w:tcPr>
          <w:p>
            <w:pPr>
              <w:spacing w:after="0"/>
              <w:rPr>
                <w:sz w:val="21"/>
                <w:szCs w:val="21"/>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 at fair value</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133,974</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133,974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57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rate swap liability (see Note 5)</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34,381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gridSpan w:val="2"/>
          </w:tcPr>
          <w:p>
            <w:pPr>
              <w:spacing w:after="0"/>
              <w:rPr>
                <w:sz w:val="20"/>
                <w:szCs w:val="20"/>
                <w:color w:val="auto"/>
              </w:rPr>
            </w:pPr>
            <w:r>
              <w:rPr>
                <w:rFonts w:ascii="Arial" w:cs="Arial" w:eastAsia="Arial" w:hAnsi="Arial"/>
                <w:sz w:val="17"/>
                <w:szCs w:val="17"/>
                <w:color w:val="auto"/>
              </w:rPr>
              <w:t>Total liabilities at fair value</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34,381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34,381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*Consists of money market fund investments.</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**Represents plan assets invested in mutual funds established under a Rabbi Trust for the Company’s non-qualified savings plan and is included in the Consolidated Balance Sheets as other assets.</w:t>
      </w:r>
    </w:p>
    <w:p>
      <w:pPr>
        <w:spacing w:after="0" w:line="200"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The Company’s money market fund investments and deferred compensation plan assets are measured at fair value using quoted market prices. The fair value of the Company’s interest rate swap liabilities is determined based on the present value of expected future cash flows. Since the values of the Company’s interest rate swaps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210"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fair values of the Company’s accounts receivable and accounts payable approximate their carrying amounts because of their short duration. The fair value of the Company’s variable rate debt, based on quoted market prices, which are considered Level 1 inputs, approximates its carrying amount at February 1, 2013 and August 3, 2012.</w:t>
      </w:r>
    </w:p>
    <w:p>
      <w:pPr>
        <w:spacing w:after="0" w:line="196" w:lineRule="exact"/>
        <w:rPr>
          <w:sz w:val="20"/>
          <w:szCs w:val="20"/>
          <w:color w:val="auto"/>
        </w:rPr>
      </w:pPr>
    </w:p>
    <w:p>
      <w:pPr>
        <w:ind w:left="620" w:hanging="617"/>
        <w:spacing w:after="0"/>
        <w:tabs>
          <w:tab w:leader="none" w:pos="6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Inventories</w:t>
      </w:r>
    </w:p>
    <w:p>
      <w:pPr>
        <w:spacing w:after="0" w:line="249"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Inventories were comprised of the following at: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4"/>
              </w:rPr>
              <w:t>February 1, 2013</w:t>
            </w:r>
          </w:p>
        </w:tc>
        <w:tc>
          <w:tcPr>
            <w:tcW w:w="180" w:type="dxa"/>
            <w:vAlign w:val="bottom"/>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7"/>
              </w:rPr>
              <w:t>August 3, 2012</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w:t>
            </w:r>
          </w:p>
        </w:tc>
        <w:tc>
          <w:tcPr>
            <w:tcW w:w="200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103,500</w:t>
            </w:r>
          </w:p>
        </w:tc>
        <w:tc>
          <w:tcPr>
            <w:tcW w:w="380" w:type="dxa"/>
            <w:vAlign w:val="bottom"/>
            <w:shd w:val="clear" w:color="auto" w:fill="CCEEFF"/>
          </w:tcPr>
          <w:p>
            <w:pPr>
              <w:jc w:val="right"/>
              <w:ind w:right="221"/>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108,846</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Arial" w:cs="Arial" w:eastAsia="Arial" w:hAnsi="Arial"/>
                <w:sz w:val="17"/>
                <w:szCs w:val="17"/>
                <w:color w:val="auto"/>
              </w:rPr>
              <w:t>Restaurant</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21,149</w:t>
            </w:r>
          </w:p>
        </w:tc>
        <w:tc>
          <w:tcPr>
            <w:tcW w:w="3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19,728</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tcPr>
          <w:p>
            <w:pPr>
              <w:spacing w:after="0"/>
              <w:rPr>
                <w:sz w:val="18"/>
                <w:szCs w:val="18"/>
                <w:color w:val="auto"/>
              </w:rPr>
            </w:pPr>
          </w:p>
        </w:tc>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Supplies</w:t>
            </w:r>
          </w:p>
        </w:tc>
        <w:tc>
          <w:tcPr>
            <w:tcW w:w="15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14,918</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14,693</w:t>
            </w:r>
          </w:p>
        </w:tc>
        <w:tc>
          <w:tcPr>
            <w:tcW w:w="100" w:type="dxa"/>
            <w:vAlign w:val="bottom"/>
            <w:tcBorders>
              <w:bottom w:val="single" w:sz="8" w:color="CCEEFF"/>
            </w:tcBorders>
            <w:shd w:val="clear" w:color="auto" w:fill="CCEEFF"/>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4240" w:type="dxa"/>
            <w:vAlign w:val="bottom"/>
            <w:gridSpan w:val="2"/>
          </w:tcPr>
          <w:p>
            <w:pPr>
              <w:ind w:left="160"/>
              <w:spacing w:after="0"/>
              <w:rPr>
                <w:sz w:val="20"/>
                <w:szCs w:val="20"/>
                <w:color w:val="auto"/>
              </w:rPr>
            </w:pPr>
            <w:r>
              <w:rPr>
                <w:rFonts w:ascii="Arial" w:cs="Arial" w:eastAsia="Arial" w:hAnsi="Arial"/>
                <w:sz w:val="17"/>
                <w:szCs w:val="17"/>
                <w:color w:val="auto"/>
              </w:rPr>
              <w:t>Total</w:t>
            </w:r>
          </w:p>
        </w:tc>
        <w:tc>
          <w:tcPr>
            <w:tcW w:w="2000" w:type="dxa"/>
            <w:vAlign w:val="bottom"/>
            <w:gridSpan w:val="2"/>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139,567</w:t>
            </w:r>
          </w:p>
        </w:tc>
        <w:tc>
          <w:tcPr>
            <w:tcW w:w="380" w:type="dxa"/>
            <w:vAlign w:val="bottom"/>
          </w:tcPr>
          <w:p>
            <w:pPr>
              <w:jc w:val="right"/>
              <w:ind w:right="22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143,267</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jc w:val="right"/>
              <w:ind w:right="394"/>
              <w:spacing w:after="0"/>
              <w:rPr>
                <w:sz w:val="20"/>
                <w:szCs w:val="20"/>
                <w:color w:val="auto"/>
              </w:rPr>
            </w:pPr>
            <w:r>
              <w:rPr>
                <w:rFonts w:ascii="Arial" w:cs="Arial" w:eastAsia="Arial" w:hAnsi="Arial"/>
                <w:sz w:val="17"/>
                <w:szCs w:val="17"/>
                <w:b w:val="1"/>
                <w:bCs w:val="1"/>
                <w:color w:val="auto"/>
                <w:w w:val="84"/>
              </w:rPr>
              <w:t>4.</w:t>
            </w:r>
          </w:p>
        </w:tc>
        <w:tc>
          <w:tcPr>
            <w:tcW w:w="360" w:type="dxa"/>
            <w:vAlign w:val="bottom"/>
            <w:vMerge w:val="restart"/>
          </w:tcPr>
          <w:p>
            <w:pPr>
              <w:spacing w:after="0"/>
              <w:rPr>
                <w:sz w:val="20"/>
                <w:szCs w:val="20"/>
                <w:color w:val="auto"/>
              </w:rPr>
            </w:pPr>
            <w:r>
              <w:rPr>
                <w:rFonts w:ascii="Arial" w:cs="Arial" w:eastAsia="Arial" w:hAnsi="Arial"/>
                <w:sz w:val="17"/>
                <w:szCs w:val="17"/>
                <w:b w:val="1"/>
                <w:bCs w:val="1"/>
                <w:color w:val="auto"/>
                <w:w w:val="89"/>
              </w:rPr>
              <w:t>Debt</w:t>
            </w:r>
          </w:p>
        </w:tc>
        <w:tc>
          <w:tcPr>
            <w:tcW w:w="3880" w:type="dxa"/>
            <w:vAlign w:val="bottom"/>
            <w:vMerge w:val="restart"/>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20" w:type="dxa"/>
            <w:vAlign w:val="bottom"/>
            <w:vMerge w:val="continue"/>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38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7"/>
                <w:szCs w:val="17"/>
                <w:color w:val="auto"/>
              </w:rPr>
              <w:t>Long-term debt consisted of the following at:</w:t>
            </w: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4"/>
              </w:rPr>
              <w:t>February 1, 2013</w:t>
            </w:r>
          </w:p>
        </w:tc>
        <w:tc>
          <w:tcPr>
            <w:tcW w:w="180" w:type="dxa"/>
            <w:vAlign w:val="bottom"/>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7"/>
              </w:rPr>
              <w:t>August 3, 2012</w:t>
            </w: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Revolving credit facility expiring on July 8, 2016</w:t>
            </w:r>
          </w:p>
        </w:tc>
        <w:tc>
          <w:tcPr>
            <w:tcW w:w="2000" w:type="dxa"/>
            <w:vAlign w:val="bottom"/>
            <w:gridSpan w:val="2"/>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312,500</w:t>
            </w:r>
          </w:p>
        </w:tc>
        <w:tc>
          <w:tcPr>
            <w:tcW w:w="380" w:type="dxa"/>
            <w:vAlign w:val="bottom"/>
            <w:shd w:val="clear" w:color="auto" w:fill="CCEEFF"/>
          </w:tcPr>
          <w:p>
            <w:pPr>
              <w:jc w:val="right"/>
              <w:ind w:right="221"/>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312,500</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Arial" w:cs="Arial" w:eastAsia="Arial" w:hAnsi="Arial"/>
                <w:sz w:val="17"/>
                <w:szCs w:val="17"/>
                <w:color w:val="auto"/>
              </w:rPr>
              <w:t>Term loan payable on or before July 8, 2016</w:t>
            </w: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212,500</w:t>
            </w:r>
          </w:p>
        </w:tc>
        <w:tc>
          <w:tcPr>
            <w:tcW w:w="3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212,500</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tcPr>
          <w:p>
            <w:pPr>
              <w:spacing w:after="0"/>
              <w:rPr>
                <w:sz w:val="18"/>
                <w:szCs w:val="18"/>
                <w:color w:val="auto"/>
              </w:rPr>
            </w:pPr>
          </w:p>
        </w:tc>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Note payable</w:t>
            </w:r>
          </w:p>
        </w:tc>
        <w:tc>
          <w:tcPr>
            <w:tcW w:w="15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shd w:val="clear" w:color="auto" w:fill="CCEEFF"/>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525,090</w:t>
            </w:r>
          </w:p>
        </w:tc>
        <w:tc>
          <w:tcPr>
            <w:tcW w:w="3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525,142</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maturities</w:t>
            </w:r>
          </w:p>
        </w:tc>
        <w:tc>
          <w:tcPr>
            <w:tcW w:w="1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(12,590)</w:t>
            </w:r>
          </w:p>
        </w:tc>
        <w:tc>
          <w:tcPr>
            <w:tcW w:w="3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(106)</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2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2000" w:type="dxa"/>
            <w:vAlign w:val="bottom"/>
            <w:gridSpan w:val="2"/>
          </w:tcPr>
          <w:p>
            <w:pPr>
              <w:jc w:val="right"/>
              <w:ind w:right="254"/>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512,500</w:t>
            </w:r>
          </w:p>
        </w:tc>
        <w:tc>
          <w:tcPr>
            <w:tcW w:w="380" w:type="dxa"/>
            <w:vAlign w:val="bottom"/>
          </w:tcPr>
          <w:p>
            <w:pPr>
              <w:jc w:val="right"/>
              <w:ind w:right="22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525,036</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80" w:type="dxa"/>
            <w:vAlign w:val="bottom"/>
            <w:vMerge w:val="restart"/>
          </w:tcPr>
          <w:p>
            <w:pPr>
              <w:jc w:val="right"/>
              <w:ind w:right="617"/>
              <w:spacing w:after="0"/>
              <w:rPr>
                <w:sz w:val="20"/>
                <w:szCs w:val="20"/>
                <w:color w:val="auto"/>
              </w:rPr>
            </w:pPr>
            <w:r>
              <w:rPr>
                <w:rFonts w:ascii="Arial" w:cs="Arial" w:eastAsia="Arial" w:hAnsi="Arial"/>
                <w:sz w:val="14"/>
                <w:szCs w:val="14"/>
                <w:color w:val="auto"/>
              </w:rPr>
              <w:t>9</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3"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The Company’s $750,000 credit facility (the “Credit Facility”) consists of a term loan and a $500,000 revolving credit facility (the “Revolving Credit Facility”). At February 1, 2013, the Company had $312,500 of outstanding borrowings under the Revolving Credit Facility and $28,171 of standby letters of credit, which reduce the Company’s availability under the Revolving Credit Facility (see Note 11). At February 1, 2013, the Company had $159,329 in borrowing availability under the Revolving Credit Facility.</w:t>
      </w:r>
    </w:p>
    <w:p>
      <w:pPr>
        <w:spacing w:after="0" w:line="205"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In accordance with the Credit Facility, outstanding borrowings bear interest, at the Company’s election, either at LIBOR or prime plus a percentage point spread based on certain specified financial ratios under the Credit Facility. As of February 1, 2013, the Company’s outstanding borrowings were swapped at a weighted average interest rate of 7.32% (see Note 5 for information on the Company’s interest rate swaps).</w:t>
      </w:r>
    </w:p>
    <w:p>
      <w:pPr>
        <w:spacing w:after="0" w:line="202"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Credit Facility contains customary financial covenants, which include maintenance of a maximum consolidated total leverage ratio and a minimum consolidated interest coverage ratio. At February 1, 2013, the Company was in compliance with all debt covenants.</w:t>
      </w:r>
    </w:p>
    <w:p>
      <w:pPr>
        <w:spacing w:after="0" w:line="189"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The Credit Facility also imposes restrictions on the amount of dividends the Company is permitted to pay. If there is no default existing and the total of the Company’s availability under the Revolving Credit Facility plus the Company’s cash and cash equivalents on hand is at least $100,000 (the “liquidity requirements”), the Company may declare and pay cash dividends on shares of its common stock if the aggregate amount of dividends paid in any fiscal year is less than 20% of Consolidated EBITDA from continuing operations (as defined in the Credit Facility) (the “20% limitation”) during the immediately preceding fiscal year. In any event, as long as the liquidity requirements are met, dividends may be declared and paid in any fiscal year up to the amount of dividends permitted and paid in the preceding fiscal year without regard to the 20% limitation.</w:t>
      </w:r>
    </w:p>
    <w:p>
      <w:pPr>
        <w:spacing w:after="0" w:line="210"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note payable consists of a five-year note with a vendor with an original principal amount of $507 and represents the financing of prepaid maintenance for telecommunications equipment. The note payable is payable in monthly installments of principal and interest of $9 through October 16, 2013 and bears interest at 2.88% per year.</w:t>
      </w:r>
    </w:p>
    <w:p>
      <w:pPr>
        <w:spacing w:after="0" w:line="196" w:lineRule="exact"/>
        <w:rPr>
          <w:sz w:val="20"/>
          <w:szCs w:val="20"/>
          <w:color w:val="auto"/>
        </w:rPr>
      </w:pPr>
    </w:p>
    <w:p>
      <w:pPr>
        <w:ind w:left="620" w:hanging="617"/>
        <w:spacing w:after="0"/>
        <w:tabs>
          <w:tab w:leader="none" w:pos="6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Derivative Instruments and Hedging Activities</w:t>
      </w:r>
    </w:p>
    <w:p>
      <w:pPr>
        <w:spacing w:after="0" w:line="249"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The Company has interest rate risk relative to its outstanding borrowings (see Note 4). The Company’s policy has been to manage interest cost using a mix of fixed and variable rate debt. To manage this risk in a cost efficient manner, the Company uses derivative instruments, specifically interest rate swaps.</w:t>
      </w:r>
    </w:p>
    <w:p>
      <w:pPr>
        <w:spacing w:after="0" w:line="167"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weighted average credit spread at February 1, 2013 was 1.75%. All of the Company’s interest rate swaps are accounted for as cash flow hedges.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the Company’s interest rate swaps is as follows: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left="14"/>
              <w:spacing w:after="0"/>
              <w:rPr>
                <w:sz w:val="20"/>
                <w:szCs w:val="20"/>
                <w:color w:val="auto"/>
              </w:rPr>
            </w:pPr>
            <w:r>
              <w:rPr>
                <w:rFonts w:ascii="Arial" w:cs="Arial" w:eastAsia="Arial" w:hAnsi="Arial"/>
                <w:sz w:val="17"/>
                <w:szCs w:val="17"/>
                <w:color w:val="auto"/>
                <w:w w:val="90"/>
              </w:rPr>
              <w:t>Term</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7"/>
                <w:szCs w:val="17"/>
                <w:color w:val="auto"/>
              </w:rPr>
              <w:t>Notional</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5"/>
        </w:trPr>
        <w:tc>
          <w:tcPr>
            <w:tcW w:w="620" w:type="dxa"/>
            <w:vAlign w:val="bottom"/>
          </w:tcPr>
          <w:p>
            <w:pPr>
              <w:spacing w:after="0"/>
              <w:rPr>
                <w:sz w:val="19"/>
                <w:szCs w:val="19"/>
                <w:color w:val="auto"/>
              </w:rPr>
            </w:pPr>
          </w:p>
        </w:tc>
        <w:tc>
          <w:tcPr>
            <w:tcW w:w="3560" w:type="dxa"/>
            <w:vAlign w:val="bottom"/>
            <w:tcBorders>
              <w:bottom w:val="single" w:sz="8" w:color="auto"/>
            </w:tcBorders>
          </w:tcPr>
          <w:p>
            <w:pPr>
              <w:ind w:left="1320"/>
              <w:spacing w:after="0"/>
              <w:rPr>
                <w:sz w:val="20"/>
                <w:szCs w:val="20"/>
                <w:color w:val="auto"/>
              </w:rPr>
            </w:pPr>
            <w:r>
              <w:rPr>
                <w:rFonts w:ascii="Arial" w:cs="Arial" w:eastAsia="Arial" w:hAnsi="Arial"/>
                <w:sz w:val="17"/>
                <w:szCs w:val="17"/>
                <w:color w:val="auto"/>
              </w:rPr>
              <w:t>Trade Date</w:t>
            </w:r>
          </w:p>
        </w:tc>
        <w:tc>
          <w:tcPr>
            <w:tcW w:w="100" w:type="dxa"/>
            <w:vAlign w:val="bottom"/>
          </w:tcPr>
          <w:p>
            <w:pPr>
              <w:spacing w:after="0"/>
              <w:rPr>
                <w:sz w:val="19"/>
                <w:szCs w:val="19"/>
                <w:color w:val="auto"/>
              </w:rPr>
            </w:pPr>
          </w:p>
        </w:tc>
        <w:tc>
          <w:tcPr>
            <w:tcW w:w="216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Effective Date</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center"/>
              <w:ind w:left="14"/>
              <w:spacing w:after="0"/>
              <w:rPr>
                <w:sz w:val="20"/>
                <w:szCs w:val="20"/>
                <w:color w:val="auto"/>
              </w:rPr>
            </w:pPr>
            <w:r>
              <w:rPr>
                <w:rFonts w:ascii="Arial" w:cs="Arial" w:eastAsia="Arial" w:hAnsi="Arial"/>
                <w:sz w:val="17"/>
                <w:szCs w:val="17"/>
                <w:color w:val="auto"/>
                <w:w w:val="92"/>
              </w:rPr>
              <w:t>(in Years)</w:t>
            </w: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Amount</w:t>
            </w:r>
          </w:p>
        </w:tc>
        <w:tc>
          <w:tcPr>
            <w:tcW w:w="200" w:type="dxa"/>
            <w:vAlign w:val="bottom"/>
          </w:tcPr>
          <w:p>
            <w:pPr>
              <w:spacing w:after="0"/>
              <w:rPr>
                <w:sz w:val="19"/>
                <w:szCs w:val="19"/>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Fixed Rate</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6"/>
        </w:trPr>
        <w:tc>
          <w:tcPr>
            <w:tcW w:w="6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May 4, 2006</w:t>
            </w:r>
          </w:p>
        </w:tc>
        <w:tc>
          <w:tcPr>
            <w:tcW w:w="2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August 3, 2006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525,000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5.57%</w:t>
            </w:r>
          </w:p>
        </w:tc>
        <w:tc>
          <w:tcPr>
            <w:tcW w:w="108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7"/>
                <w:szCs w:val="17"/>
                <w:color w:val="auto"/>
              </w:rPr>
              <w:t>August 10, 2010</w:t>
            </w:r>
          </w:p>
        </w:tc>
        <w:tc>
          <w:tcPr>
            <w:tcW w:w="2260" w:type="dxa"/>
            <w:vAlign w:val="bottom"/>
            <w:gridSpan w:val="2"/>
          </w:tcPr>
          <w:p>
            <w:pPr>
              <w:ind w:left="100"/>
              <w:spacing w:after="0"/>
              <w:rPr>
                <w:sz w:val="20"/>
                <w:szCs w:val="20"/>
                <w:color w:val="auto"/>
              </w:rPr>
            </w:pPr>
            <w:r>
              <w:rPr>
                <w:rFonts w:ascii="Arial" w:cs="Arial" w:eastAsia="Arial" w:hAnsi="Arial"/>
                <w:sz w:val="17"/>
                <w:szCs w:val="17"/>
                <w:color w:val="auto"/>
              </w:rPr>
              <w:t>May 3, 2013</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200,000</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2.73%</w:t>
            </w:r>
          </w:p>
        </w:tc>
        <w:tc>
          <w:tcPr>
            <w:tcW w:w="108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July 25, 2011</w:t>
            </w:r>
          </w:p>
        </w:tc>
        <w:tc>
          <w:tcPr>
            <w:tcW w:w="2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May 3, 2013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2.00%</w:t>
            </w:r>
          </w:p>
        </w:tc>
        <w:tc>
          <w:tcPr>
            <w:tcW w:w="108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7"/>
                <w:szCs w:val="17"/>
                <w:color w:val="auto"/>
              </w:rPr>
              <w:t>July 25, 2011</w:t>
            </w:r>
          </w:p>
        </w:tc>
        <w:tc>
          <w:tcPr>
            <w:tcW w:w="2260" w:type="dxa"/>
            <w:vAlign w:val="bottom"/>
            <w:gridSpan w:val="2"/>
          </w:tcPr>
          <w:p>
            <w:pPr>
              <w:ind w:left="100"/>
              <w:spacing w:after="0"/>
              <w:rPr>
                <w:sz w:val="20"/>
                <w:szCs w:val="20"/>
                <w:color w:val="auto"/>
              </w:rPr>
            </w:pPr>
            <w:r>
              <w:rPr>
                <w:rFonts w:ascii="Arial" w:cs="Arial" w:eastAsia="Arial" w:hAnsi="Arial"/>
                <w:sz w:val="17"/>
                <w:szCs w:val="17"/>
                <w:color w:val="auto"/>
              </w:rPr>
              <w:t>May 3, 2013</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50,000</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2.45%</w:t>
            </w:r>
          </w:p>
        </w:tc>
        <w:tc>
          <w:tcPr>
            <w:tcW w:w="108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September 19, 2011</w:t>
            </w:r>
          </w:p>
        </w:tc>
        <w:tc>
          <w:tcPr>
            <w:tcW w:w="2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May 3, 2013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1.05%</w:t>
            </w:r>
          </w:p>
        </w:tc>
        <w:tc>
          <w:tcPr>
            <w:tcW w:w="108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7"/>
                <w:szCs w:val="17"/>
                <w:color w:val="auto"/>
              </w:rPr>
              <w:t>September 19, 2011</w:t>
            </w:r>
          </w:p>
        </w:tc>
        <w:tc>
          <w:tcPr>
            <w:tcW w:w="2260" w:type="dxa"/>
            <w:vAlign w:val="bottom"/>
            <w:gridSpan w:val="2"/>
          </w:tcPr>
          <w:p>
            <w:pPr>
              <w:ind w:left="100"/>
              <w:spacing w:after="0"/>
              <w:rPr>
                <w:sz w:val="20"/>
                <w:szCs w:val="20"/>
                <w:color w:val="auto"/>
              </w:rPr>
            </w:pPr>
            <w:r>
              <w:rPr>
                <w:rFonts w:ascii="Arial" w:cs="Arial" w:eastAsia="Arial" w:hAnsi="Arial"/>
                <w:sz w:val="17"/>
                <w:szCs w:val="17"/>
                <w:color w:val="auto"/>
              </w:rPr>
              <w:t>May 3, 2013</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25,000</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1.05%</w:t>
            </w:r>
          </w:p>
        </w:tc>
        <w:tc>
          <w:tcPr>
            <w:tcW w:w="108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December 7, 2011</w:t>
            </w:r>
          </w:p>
        </w:tc>
        <w:tc>
          <w:tcPr>
            <w:tcW w:w="22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May 3, 2013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50,000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1.40%</w:t>
            </w:r>
          </w:p>
        </w:tc>
        <w:tc>
          <w:tcPr>
            <w:tcW w:w="1080" w:type="dxa"/>
            <w:vAlign w:val="bottom"/>
          </w:tcPr>
          <w:p>
            <w:pPr>
              <w:spacing w:after="0"/>
              <w:rPr>
                <w:sz w:val="17"/>
                <w:szCs w:val="17"/>
                <w:color w:val="auto"/>
              </w:rPr>
            </w:pPr>
          </w:p>
        </w:tc>
      </w:tr>
      <w:tr>
        <w:trPr>
          <w:trHeight w:val="505"/>
        </w:trPr>
        <w:tc>
          <w:tcPr>
            <w:tcW w:w="6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60" w:type="dxa"/>
            <w:vAlign w:val="bottom"/>
            <w:gridSpan w:val="2"/>
          </w:tcPr>
          <w:p>
            <w:pPr>
              <w:ind w:left="146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98"/>
        </w:trPr>
        <w:tc>
          <w:tcPr>
            <w:tcW w:w="620" w:type="dxa"/>
            <w:vAlign w:val="bottom"/>
            <w:tcBorders>
              <w:bottom w:val="single" w:sz="8" w:color="808080"/>
            </w:tcBorders>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estimated fair values of the Company’s derivative instruments as of February 1, 2013 and August 3, 2012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580" w:type="dxa"/>
            <w:vAlign w:val="bottom"/>
          </w:tcPr>
          <w:p>
            <w:pPr>
              <w:jc w:val="center"/>
              <w:spacing w:after="0"/>
              <w:rPr>
                <w:sz w:val="20"/>
                <w:szCs w:val="20"/>
                <w:color w:val="auto"/>
              </w:rPr>
            </w:pPr>
            <w:r>
              <w:rPr>
                <w:rFonts w:ascii="Arial" w:cs="Arial" w:eastAsia="Arial" w:hAnsi="Arial"/>
                <w:sz w:val="17"/>
                <w:szCs w:val="17"/>
                <w:color w:val="auto"/>
                <w:w w:val="90"/>
              </w:rPr>
              <w:t>Balance Sheet Location</w:t>
            </w:r>
          </w:p>
        </w:tc>
        <w:tc>
          <w:tcPr>
            <w:tcW w:w="1520" w:type="dxa"/>
            <w:vAlign w:val="bottom"/>
            <w:gridSpan w:val="4"/>
          </w:tcPr>
          <w:p>
            <w:pPr>
              <w:ind w:left="100"/>
              <w:spacing w:after="0"/>
              <w:rPr>
                <w:sz w:val="20"/>
                <w:szCs w:val="20"/>
                <w:color w:val="auto"/>
              </w:rPr>
            </w:pPr>
            <w:r>
              <w:rPr>
                <w:rFonts w:ascii="Arial" w:cs="Arial" w:eastAsia="Arial" w:hAnsi="Arial"/>
                <w:sz w:val="17"/>
                <w:szCs w:val="17"/>
                <w:color w:val="auto"/>
              </w:rPr>
              <w:t>February 1, 2013</w:t>
            </w:r>
          </w:p>
        </w:tc>
        <w:tc>
          <w:tcPr>
            <w:tcW w:w="1220" w:type="dxa"/>
            <w:vAlign w:val="bottom"/>
            <w:gridSpan w:val="3"/>
          </w:tcPr>
          <w:p>
            <w:pPr>
              <w:ind w:left="20"/>
              <w:spacing w:after="0"/>
              <w:rPr>
                <w:sz w:val="20"/>
                <w:szCs w:val="20"/>
                <w:color w:val="auto"/>
              </w:rPr>
            </w:pPr>
            <w:r>
              <w:rPr>
                <w:rFonts w:ascii="Arial" w:cs="Arial" w:eastAsia="Arial" w:hAnsi="Arial"/>
                <w:sz w:val="17"/>
                <w:szCs w:val="17"/>
                <w:color w:val="auto"/>
              </w:rPr>
              <w:t>August 3, 2012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w:t>
            </w:r>
          </w:p>
        </w:tc>
        <w:tc>
          <w:tcPr>
            <w:tcW w:w="4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Current interest rate swap liability</w:t>
            </w: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6,959</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20,215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Interest rate swaps</w:t>
            </w:r>
          </w:p>
        </w:tc>
        <w:tc>
          <w:tcPr>
            <w:tcW w:w="4580" w:type="dxa"/>
            <w:vAlign w:val="bottom"/>
          </w:tcPr>
          <w:p>
            <w:pPr>
              <w:jc w:val="center"/>
              <w:spacing w:after="0"/>
              <w:rPr>
                <w:sz w:val="20"/>
                <w:szCs w:val="20"/>
                <w:color w:val="auto"/>
              </w:rPr>
            </w:pPr>
            <w:r>
              <w:rPr>
                <w:rFonts w:ascii="Arial" w:cs="Arial" w:eastAsia="Arial" w:hAnsi="Arial"/>
                <w:sz w:val="17"/>
                <w:szCs w:val="17"/>
                <w:color w:val="auto"/>
                <w:w w:val="94"/>
              </w:rPr>
              <w:t>Long-term interest rate swap liability</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14,911</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14,166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vMerge w:val="continue"/>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Total (See Note 2)</w:t>
            </w:r>
          </w:p>
        </w:tc>
        <w:tc>
          <w:tcPr>
            <w:tcW w:w="45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21,870</w:t>
            </w: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The estimated fair value of the Company’s interest rate swap liabilities incorporates the Company’s non-performance risk (see Note 2). The adjustment related to the Company’s non-performance risk at February 1, 2013 and August 3, 2012 resulted in reductions of $396 and $851, respectively, in the fair value of the interest rate swap liabilities. The offset to the interest rate swap liabilities is recorded in accumulated other comprehensive loss (“AOCL”), net of the deferred tax asset, and will be reclassified into earnings over the term of the underlying debt. As of February 1, 2013, the estimated pre-tax portion of AOCL that is expected to be reclassified into earnings over the next twelve months is $10,900. Cash flows related to the interest rate swap are included in interest expense and in operating activities.</w:t>
      </w:r>
    </w:p>
    <w:p>
      <w:pPr>
        <w:spacing w:after="0" w:line="21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following table summarizes the pre-tax effects of the Company’s derivative instruments on AOCL for the six-month period ended February 1, 2013 and the year ended August 3,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00" w:type="dxa"/>
            <w:vAlign w:val="bottom"/>
          </w:tcPr>
          <w:p>
            <w:pPr>
              <w:spacing w:after="0"/>
              <w:rPr>
                <w:sz w:val="17"/>
                <w:szCs w:val="17"/>
                <w:color w:val="auto"/>
              </w:rPr>
            </w:pPr>
          </w:p>
        </w:tc>
        <w:tc>
          <w:tcPr>
            <w:tcW w:w="3120" w:type="dxa"/>
            <w:vAlign w:val="bottom"/>
            <w:gridSpan w:val="7"/>
          </w:tcPr>
          <w:p>
            <w:pPr>
              <w:spacing w:after="0"/>
              <w:rPr>
                <w:sz w:val="20"/>
                <w:szCs w:val="20"/>
                <w:color w:val="auto"/>
              </w:rPr>
            </w:pPr>
            <w:r>
              <w:rPr>
                <w:rFonts w:ascii="Arial" w:cs="Arial" w:eastAsia="Arial" w:hAnsi="Arial"/>
                <w:sz w:val="17"/>
                <w:szCs w:val="17"/>
                <w:color w:val="auto"/>
                <w:w w:val="95"/>
              </w:rPr>
              <w:t>Amount of Income Recognized in AOCL on</w:t>
            </w:r>
          </w:p>
        </w:tc>
      </w:tr>
      <w:tr>
        <w:trPr>
          <w:trHeight w:val="225"/>
        </w:trPr>
        <w:tc>
          <w:tcPr>
            <w:tcW w:w="8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60" w:type="dxa"/>
            <w:vAlign w:val="bottom"/>
            <w:gridSpan w:val="6"/>
          </w:tcPr>
          <w:p>
            <w:pPr>
              <w:jc w:val="right"/>
              <w:ind w:right="540"/>
              <w:spacing w:after="0"/>
              <w:rPr>
                <w:sz w:val="20"/>
                <w:szCs w:val="20"/>
                <w:color w:val="auto"/>
              </w:rPr>
            </w:pPr>
            <w:r>
              <w:rPr>
                <w:rFonts w:ascii="Arial" w:cs="Arial" w:eastAsia="Arial" w:hAnsi="Arial"/>
                <w:sz w:val="17"/>
                <w:szCs w:val="17"/>
                <w:color w:val="auto"/>
              </w:rPr>
              <w:t>Derivatives (Effective Portion)</w:t>
            </w:r>
          </w:p>
        </w:tc>
      </w:tr>
      <w:tr>
        <w:trPr>
          <w:trHeight w:val="212"/>
        </w:trPr>
        <w:tc>
          <w:tcPr>
            <w:tcW w:w="8300" w:type="dxa"/>
            <w:vAlign w:val="bottom"/>
          </w:tcPr>
          <w:p>
            <w:pPr>
              <w:spacing w:after="0"/>
              <w:rPr>
                <w:sz w:val="18"/>
                <w:szCs w:val="18"/>
                <w:color w:val="auto"/>
              </w:rPr>
            </w:pPr>
          </w:p>
        </w:tc>
        <w:tc>
          <w:tcPr>
            <w:tcW w:w="1520" w:type="dxa"/>
            <w:vAlign w:val="bottom"/>
            <w:tcBorders>
              <w:top w:val="single" w:sz="8" w:color="auto"/>
            </w:tcBorders>
            <w:gridSpan w:val="3"/>
          </w:tcPr>
          <w:p>
            <w:pPr>
              <w:jc w:val="center"/>
              <w:ind w:right="160"/>
              <w:spacing w:after="0"/>
              <w:rPr>
                <w:sz w:val="20"/>
                <w:szCs w:val="20"/>
                <w:color w:val="auto"/>
              </w:rPr>
            </w:pPr>
            <w:r>
              <w:rPr>
                <w:rFonts w:ascii="Arial" w:cs="Arial" w:eastAsia="Arial" w:hAnsi="Arial"/>
                <w:sz w:val="17"/>
                <w:szCs w:val="17"/>
                <w:color w:val="auto"/>
                <w:w w:val="92"/>
              </w:rPr>
              <w:t>Six Months Ended</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54"/>
              <w:spacing w:after="0"/>
              <w:rPr>
                <w:sz w:val="20"/>
                <w:szCs w:val="20"/>
                <w:color w:val="auto"/>
              </w:rPr>
            </w:pPr>
            <w:r>
              <w:rPr>
                <w:rFonts w:ascii="Arial" w:cs="Arial" w:eastAsia="Arial" w:hAnsi="Arial"/>
                <w:sz w:val="17"/>
                <w:szCs w:val="17"/>
                <w:color w:val="auto"/>
                <w:w w:val="89"/>
              </w:rPr>
              <w:t>Year Ended</w:t>
            </w:r>
          </w:p>
        </w:tc>
        <w:tc>
          <w:tcPr>
            <w:tcW w:w="100" w:type="dxa"/>
            <w:vAlign w:val="bottom"/>
          </w:tcPr>
          <w:p>
            <w:pPr>
              <w:spacing w:after="0"/>
              <w:rPr>
                <w:sz w:val="18"/>
                <w:szCs w:val="18"/>
                <w:color w:val="auto"/>
              </w:rPr>
            </w:pPr>
          </w:p>
        </w:tc>
      </w:tr>
      <w:tr>
        <w:trPr>
          <w:trHeight w:val="212"/>
        </w:trPr>
        <w:tc>
          <w:tcPr>
            <w:tcW w:w="8300" w:type="dxa"/>
            <w:vAlign w:val="bottom"/>
          </w:tcPr>
          <w:p>
            <w:pPr>
              <w:spacing w:after="0"/>
              <w:rPr>
                <w:sz w:val="18"/>
                <w:szCs w:val="18"/>
                <w:color w:val="auto"/>
              </w:rPr>
            </w:pPr>
          </w:p>
        </w:tc>
        <w:tc>
          <w:tcPr>
            <w:tcW w:w="13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7"/>
                <w:szCs w:val="17"/>
                <w:color w:val="auto"/>
                <w:w w:val="91"/>
              </w:rPr>
              <w:t>February 1, 2013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74"/>
              <w:spacing w:after="0"/>
              <w:rPr>
                <w:sz w:val="20"/>
                <w:szCs w:val="20"/>
                <w:color w:val="auto"/>
              </w:rPr>
            </w:pPr>
            <w:r>
              <w:rPr>
                <w:rFonts w:ascii="Arial" w:cs="Arial" w:eastAsia="Arial" w:hAnsi="Arial"/>
                <w:sz w:val="17"/>
                <w:szCs w:val="17"/>
                <w:color w:val="auto"/>
                <w:w w:val="92"/>
              </w:rPr>
              <w:t>August 3, 2012</w:t>
            </w:r>
          </w:p>
        </w:tc>
        <w:tc>
          <w:tcPr>
            <w:tcW w:w="100" w:type="dxa"/>
            <w:vAlign w:val="bottom"/>
          </w:tcPr>
          <w:p>
            <w:pPr>
              <w:spacing w:after="0"/>
              <w:rPr>
                <w:sz w:val="18"/>
                <w:szCs w:val="18"/>
                <w:color w:val="auto"/>
              </w:rPr>
            </w:pPr>
          </w:p>
        </w:tc>
      </w:tr>
      <w:tr>
        <w:trPr>
          <w:trHeight w:val="205"/>
        </w:trPr>
        <w:tc>
          <w:tcPr>
            <w:tcW w:w="8300" w:type="dxa"/>
            <w:vAlign w:val="bottom"/>
          </w:tcPr>
          <w:p>
            <w:pPr>
              <w:spacing w:after="0"/>
              <w:rPr>
                <w:sz w:val="20"/>
                <w:szCs w:val="20"/>
                <w:color w:val="auto"/>
              </w:rPr>
            </w:pPr>
            <w:r>
              <w:rPr>
                <w:rFonts w:ascii="Arial" w:cs="Arial" w:eastAsia="Arial" w:hAnsi="Arial"/>
                <w:sz w:val="17"/>
                <w:szCs w:val="17"/>
                <w:color w:val="auto"/>
              </w:rPr>
              <w:t>Cash flow hedges: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830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swaps</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12,511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17,223</w:t>
            </w:r>
          </w:p>
        </w:tc>
      </w:tr>
      <w:tr>
        <w:trPr>
          <w:trHeight w:val="20"/>
        </w:trPr>
        <w:tc>
          <w:tcPr>
            <w:tcW w:w="8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ind w:firstLine="310"/>
        <w:spacing w:after="0" w:line="280" w:lineRule="auto"/>
        <w:rPr>
          <w:sz w:val="20"/>
          <w:szCs w:val="20"/>
          <w:color w:val="auto"/>
        </w:rPr>
      </w:pPr>
      <w:r>
        <w:rPr>
          <w:rFonts w:ascii="Arial" w:cs="Arial" w:eastAsia="Arial" w:hAnsi="Arial"/>
          <w:sz w:val="17"/>
          <w:szCs w:val="17"/>
          <w:color w:val="auto"/>
        </w:rPr>
        <w:t>The following table summarizes the pre-tax effects of the Company’s derivative instruments on income for the quarters and six-month periods ended February 1, 2013 and January 27,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8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93"/>
              </w:rPr>
              <w:t>Location of Loss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298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93"/>
              </w:rPr>
              <w:t>Reclassified from</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298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96"/>
              </w:rPr>
              <w:t>AOCL into Income</w:t>
            </w:r>
          </w:p>
        </w:tc>
        <w:tc>
          <w:tcPr>
            <w:tcW w:w="120" w:type="dxa"/>
            <w:vAlign w:val="bottom"/>
          </w:tcPr>
          <w:p>
            <w:pPr>
              <w:spacing w:after="0"/>
              <w:rPr>
                <w:sz w:val="17"/>
                <w:szCs w:val="17"/>
                <w:color w:val="auto"/>
              </w:rPr>
            </w:pPr>
          </w:p>
        </w:tc>
        <w:tc>
          <w:tcPr>
            <w:tcW w:w="5340" w:type="dxa"/>
            <w:vAlign w:val="bottom"/>
            <w:gridSpan w:val="13"/>
          </w:tcPr>
          <w:p>
            <w:pPr>
              <w:ind w:left="740"/>
              <w:spacing w:after="0"/>
              <w:rPr>
                <w:sz w:val="20"/>
                <w:szCs w:val="20"/>
                <w:color w:val="auto"/>
              </w:rPr>
            </w:pPr>
            <w:r>
              <w:rPr>
                <w:rFonts w:ascii="Arial" w:cs="Arial" w:eastAsia="Arial" w:hAnsi="Arial"/>
                <w:sz w:val="17"/>
                <w:szCs w:val="17"/>
                <w:color w:val="auto"/>
              </w:rPr>
              <w:t>Amount of Loss Reclassified from AOCL into Income</w:t>
            </w:r>
          </w:p>
        </w:tc>
      </w:tr>
      <w:tr>
        <w:trPr>
          <w:trHeight w:val="225"/>
        </w:trPr>
        <w:tc>
          <w:tcPr>
            <w:tcW w:w="2980" w:type="dxa"/>
            <w:vAlign w:val="bottom"/>
          </w:tcPr>
          <w:p>
            <w:pPr>
              <w:spacing w:after="0"/>
              <w:rPr>
                <w:sz w:val="19"/>
                <w:szCs w:val="19"/>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(Effective Portion)</w:t>
            </w: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5"/>
          </w:tcPr>
          <w:p>
            <w:pPr>
              <w:jc w:val="right"/>
              <w:ind w:right="574"/>
              <w:spacing w:after="0"/>
              <w:rPr>
                <w:sz w:val="20"/>
                <w:szCs w:val="20"/>
                <w:color w:val="auto"/>
              </w:rPr>
            </w:pPr>
            <w:r>
              <w:rPr>
                <w:rFonts w:ascii="Arial" w:cs="Arial" w:eastAsia="Arial" w:hAnsi="Arial"/>
                <w:sz w:val="17"/>
                <w:szCs w:val="17"/>
                <w:color w:val="auto"/>
              </w:rPr>
              <w:t>(Effective Portion)</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2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98"/>
              </w:rPr>
              <w:t>Quarter Ended</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ind w:left="460"/>
              <w:spacing w:after="0"/>
              <w:rPr>
                <w:sz w:val="20"/>
                <w:szCs w:val="20"/>
                <w:color w:val="auto"/>
              </w:rPr>
            </w:pPr>
            <w:r>
              <w:rPr>
                <w:rFonts w:ascii="Arial" w:cs="Arial" w:eastAsia="Arial" w:hAnsi="Arial"/>
                <w:sz w:val="17"/>
                <w:szCs w:val="17"/>
                <w:color w:val="auto"/>
              </w:rPr>
              <w:t>Six Months Ended</w:t>
            </w:r>
          </w:p>
        </w:tc>
        <w:tc>
          <w:tcPr>
            <w:tcW w:w="100" w:type="dxa"/>
            <w:vAlign w:val="bottom"/>
          </w:tcPr>
          <w:p>
            <w:pPr>
              <w:spacing w:after="0"/>
              <w:rPr>
                <w:sz w:val="18"/>
                <w:szCs w:val="18"/>
                <w:color w:val="auto"/>
              </w:rPr>
            </w:pPr>
          </w:p>
        </w:tc>
      </w:tr>
      <w:tr>
        <w:trPr>
          <w:trHeight w:val="194"/>
        </w:trPr>
        <w:tc>
          <w:tcPr>
            <w:tcW w:w="29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spacing w:after="0" w:line="194" w:lineRule="exact"/>
              <w:rPr>
                <w:sz w:val="20"/>
                <w:szCs w:val="20"/>
                <w:color w:val="auto"/>
              </w:rPr>
            </w:pPr>
            <w:r>
              <w:rPr>
                <w:rFonts w:ascii="Arial" w:cs="Arial" w:eastAsia="Arial" w:hAnsi="Arial"/>
                <w:sz w:val="17"/>
                <w:szCs w:val="17"/>
                <w:color w:val="auto"/>
                <w:w w:val="91"/>
              </w:rPr>
              <w:t>February 1,</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54"/>
              <w:spacing w:after="0" w:line="194" w:lineRule="exact"/>
              <w:rPr>
                <w:sz w:val="20"/>
                <w:szCs w:val="20"/>
                <w:color w:val="auto"/>
              </w:rPr>
            </w:pPr>
            <w:r>
              <w:rPr>
                <w:rFonts w:ascii="Arial" w:cs="Arial" w:eastAsia="Arial" w:hAnsi="Arial"/>
                <w:sz w:val="17"/>
                <w:szCs w:val="17"/>
                <w:color w:val="auto"/>
                <w:w w:val="91"/>
              </w:rPr>
              <w:t>February 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4"/>
              <w:spacing w:after="0" w:line="194" w:lineRule="exact"/>
              <w:rPr>
                <w:sz w:val="20"/>
                <w:szCs w:val="20"/>
                <w:color w:val="auto"/>
              </w:rPr>
            </w:pPr>
            <w:r>
              <w:rPr>
                <w:rFonts w:ascii="Arial" w:cs="Arial" w:eastAsia="Arial" w:hAnsi="Arial"/>
                <w:sz w:val="17"/>
                <w:szCs w:val="17"/>
                <w:color w:val="auto"/>
                <w:w w:val="90"/>
              </w:rPr>
              <w:t>January 27,</w:t>
            </w:r>
          </w:p>
        </w:tc>
        <w:tc>
          <w:tcPr>
            <w:tcW w:w="100" w:type="dxa"/>
            <w:vAlign w:val="bottom"/>
          </w:tcPr>
          <w:p>
            <w:pPr>
              <w:spacing w:after="0"/>
              <w:rPr>
                <w:sz w:val="16"/>
                <w:szCs w:val="16"/>
                <w:color w:val="auto"/>
              </w:rPr>
            </w:pPr>
          </w:p>
        </w:tc>
      </w:tr>
      <w:tr>
        <w:trPr>
          <w:trHeight w:val="225"/>
        </w:trPr>
        <w:tc>
          <w:tcPr>
            <w:tcW w:w="2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2013</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3"/>
          </w:tcPr>
          <w:p>
            <w:pPr>
              <w:spacing w:after="0"/>
              <w:rPr>
                <w:sz w:val="20"/>
                <w:szCs w:val="20"/>
                <w:color w:val="auto"/>
              </w:rPr>
            </w:pPr>
            <w:r>
              <w:rPr>
                <w:rFonts w:ascii="Arial" w:cs="Arial" w:eastAsia="Arial" w:hAnsi="Arial"/>
                <w:sz w:val="17"/>
                <w:szCs w:val="17"/>
                <w:color w:val="auto"/>
                <w:w w:val="97"/>
              </w:rPr>
              <w:t>January 27 2012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14"/>
              <w:spacing w:after="0"/>
              <w:rPr>
                <w:sz w:val="20"/>
                <w:szCs w:val="20"/>
                <w:color w:val="auto"/>
              </w:rPr>
            </w:pPr>
            <w:r>
              <w:rPr>
                <w:rFonts w:ascii="Arial" w:cs="Arial" w:eastAsia="Arial" w:hAnsi="Arial"/>
                <w:sz w:val="17"/>
                <w:szCs w:val="17"/>
                <w:color w:val="auto"/>
              </w:rPr>
              <w:t>2013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9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r>
      <w:tr>
        <w:trPr>
          <w:trHeight w:val="205"/>
        </w:trPr>
        <w:tc>
          <w:tcPr>
            <w:tcW w:w="2980" w:type="dxa"/>
            <w:vAlign w:val="bottom"/>
          </w:tcPr>
          <w:p>
            <w:pPr>
              <w:spacing w:after="0"/>
              <w:rPr>
                <w:sz w:val="20"/>
                <w:szCs w:val="20"/>
                <w:color w:val="auto"/>
              </w:rPr>
            </w:pPr>
            <w:r>
              <w:rPr>
                <w:rFonts w:ascii="Arial" w:cs="Arial" w:eastAsia="Arial" w:hAnsi="Arial"/>
                <w:sz w:val="17"/>
                <w:szCs w:val="17"/>
                <w:color w:val="auto"/>
              </w:rPr>
              <w:t>Cash flow hedges:</w:t>
            </w: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swaps</w:t>
            </w:r>
          </w:p>
        </w:tc>
        <w:tc>
          <w:tcPr>
            <w:tcW w:w="2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Interest expense</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98"/>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w w:val="89"/>
              </w:rPr>
              <w:t>7,030</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14,912</w:t>
            </w:r>
          </w:p>
        </w:tc>
      </w:tr>
      <w:tr>
        <w:trPr>
          <w:trHeight w:val="20"/>
        </w:trPr>
        <w:tc>
          <w:tcPr>
            <w:tcW w:w="29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Any portion of the fair value of the swaps determined to be ineffective will be recognized currently in earnings. No ineffectiveness has been recorded in the six-month periods ended February 1, 2013 and January 27, 2012.</w:t>
      </w:r>
    </w:p>
    <w:p>
      <w:pPr>
        <w:spacing w:after="0" w:line="183" w:lineRule="exact"/>
        <w:rPr>
          <w:sz w:val="20"/>
          <w:szCs w:val="20"/>
          <w:color w:val="auto"/>
        </w:rPr>
      </w:pPr>
    </w:p>
    <w:p>
      <w:pPr>
        <w:ind w:left="620" w:hanging="617"/>
        <w:spacing w:after="0"/>
        <w:tabs>
          <w:tab w:leader="none" w:pos="6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Shareholders’ Equity</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During the six-month period ended February 1, 2013, the Company received proceeds of $2,622 from the exercise of share-based compensation awards and the corresponding issuance of 255,784 shares of its common stock. The Company did not repurchase any shares during the six-month period ended February 1, 2013.</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ind w:firstLine="620"/>
        <w:spacing w:after="0" w:line="312" w:lineRule="auto"/>
        <w:rPr>
          <w:sz w:val="20"/>
          <w:szCs w:val="20"/>
          <w:color w:val="auto"/>
        </w:rPr>
      </w:pPr>
      <w:r>
        <w:rPr>
          <w:rFonts w:ascii="Arial" w:cs="Arial" w:eastAsia="Arial" w:hAnsi="Arial"/>
          <w:sz w:val="16"/>
          <w:szCs w:val="16"/>
          <w:color w:val="auto"/>
        </w:rPr>
        <w:t>During the six-month period ended February 1, 2013, the Company paid dividends of $0.90 per share of its common stock. In addition, the Company declared a regular dividend of $0.50 per share of its common stock that was paid on February 5, 2013 to shareholders of record on January 18, 2013.</w:t>
      </w:r>
    </w:p>
    <w:p>
      <w:pPr>
        <w:spacing w:after="0" w:line="167"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During the six-month period ended February 1, 2013, the unrealized loss, net of tax, on the Company’s interest rate swaps decreased by $7,721 to $13,437 and is recorded in AOCL (see Notes 2 and 5).</w:t>
      </w:r>
    </w:p>
    <w:p>
      <w:pPr>
        <w:spacing w:after="0" w:line="18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During the six-month period ended February 1, 2013, total share-based compensation expense was $5,409. The excess tax benefit realized upon exercise of share-based compensation awards was $1,289.</w:t>
      </w:r>
    </w:p>
    <w:p>
      <w:pPr>
        <w:spacing w:after="0" w:line="183" w:lineRule="exact"/>
        <w:rPr>
          <w:sz w:val="20"/>
          <w:szCs w:val="20"/>
          <w:color w:val="auto"/>
        </w:rPr>
      </w:pPr>
    </w:p>
    <w:p>
      <w:pPr>
        <w:ind w:left="620" w:hanging="617"/>
        <w:spacing w:after="0"/>
        <w:tabs>
          <w:tab w:leader="none" w:pos="6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Seasonality</w:t>
      </w:r>
    </w:p>
    <w:p>
      <w:pPr>
        <w:spacing w:after="0" w:line="249" w:lineRule="exact"/>
        <w:rPr>
          <w:sz w:val="20"/>
          <w:szCs w:val="20"/>
          <w:color w:val="auto"/>
        </w:rPr>
      </w:pPr>
    </w:p>
    <w:p>
      <w:pPr>
        <w:jc w:val="both"/>
        <w:ind w:firstLine="310"/>
        <w:spacing w:after="0" w:line="278" w:lineRule="auto"/>
        <w:rPr>
          <w:sz w:val="20"/>
          <w:szCs w:val="20"/>
          <w:color w:val="auto"/>
        </w:rPr>
      </w:pPr>
      <w:r>
        <w:rPr>
          <w:rFonts w:ascii="Arial" w:cs="Arial" w:eastAsia="Arial" w:hAnsi="Arial"/>
          <w:sz w:val="16"/>
          <w:szCs w:val="16"/>
          <w:color w:val="auto"/>
        </w:rPr>
        <w:t>Historically, the net income of the Company has been lower in the first and third quarters and higher in the second and fourth quarters. Management attributes these variations to the Christmas holiday shopping season and the summer vacation and travel season. The Company's retail sales, which are made substantially to the Company’s restaurant customers, historically have been highest in the Company's second quarter, which includes the Christmas holiday shopping season. Historically, interstate tourist traffic and the propensity to dine out have been much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187" w:lineRule="exact"/>
        <w:rPr>
          <w:sz w:val="20"/>
          <w:szCs w:val="20"/>
          <w:color w:val="auto"/>
        </w:rPr>
      </w:pPr>
    </w:p>
    <w:p>
      <w:pPr>
        <w:ind w:left="620" w:hanging="617"/>
        <w:spacing w:after="0"/>
        <w:tabs>
          <w:tab w:leader="none" w:pos="62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Segment Information</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currently manages its business on the basis of one reportable operating segment. All of the Company’s operations are located within the United States. Total revenue was comprised of the following at: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5"/>
          </w:tcPr>
          <w:p>
            <w:pPr>
              <w:jc w:val="right"/>
              <w:ind w:right="694"/>
              <w:spacing w:after="0"/>
              <w:rPr>
                <w:sz w:val="20"/>
                <w:szCs w:val="20"/>
                <w:color w:val="auto"/>
              </w:rPr>
            </w:pPr>
            <w:r>
              <w:rPr>
                <w:rFonts w:ascii="Arial" w:cs="Arial" w:eastAsia="Arial" w:hAnsi="Arial"/>
                <w:sz w:val="17"/>
                <w:szCs w:val="17"/>
                <w:color w:val="auto"/>
              </w:rPr>
              <w:t>Quarter Ended</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7"/>
                <w:szCs w:val="17"/>
                <w:color w:val="auto"/>
              </w:rPr>
              <w:t>Six Months Ended</w:t>
            </w:r>
          </w:p>
        </w:tc>
      </w:tr>
      <w:tr>
        <w:trPr>
          <w:trHeight w:val="194"/>
        </w:trPr>
        <w:tc>
          <w:tcPr>
            <w:tcW w:w="60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40"/>
              <w:spacing w:after="0" w:line="194" w:lineRule="exact"/>
              <w:rPr>
                <w:sz w:val="20"/>
                <w:szCs w:val="20"/>
                <w:color w:val="auto"/>
              </w:rPr>
            </w:pPr>
            <w:r>
              <w:rPr>
                <w:rFonts w:ascii="Arial" w:cs="Arial" w:eastAsia="Arial" w:hAnsi="Arial"/>
                <w:sz w:val="17"/>
                <w:szCs w:val="17"/>
                <w:color w:val="auto"/>
              </w:rPr>
              <w:t>February 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4"/>
              <w:spacing w:after="0" w:line="194" w:lineRule="exact"/>
              <w:rPr>
                <w:sz w:val="20"/>
                <w:szCs w:val="20"/>
                <w:color w:val="auto"/>
              </w:rPr>
            </w:pPr>
            <w:r>
              <w:rPr>
                <w:rFonts w:ascii="Arial" w:cs="Arial" w:eastAsia="Arial" w:hAnsi="Arial"/>
                <w:sz w:val="17"/>
                <w:szCs w:val="17"/>
                <w:color w:val="auto"/>
                <w:w w:val="92"/>
              </w:rPr>
              <w:t>January 27,</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line="194" w:lineRule="exact"/>
              <w:rPr>
                <w:sz w:val="20"/>
                <w:szCs w:val="20"/>
                <w:color w:val="auto"/>
              </w:rPr>
            </w:pPr>
            <w:r>
              <w:rPr>
                <w:rFonts w:ascii="Arial" w:cs="Arial" w:eastAsia="Arial" w:hAnsi="Arial"/>
                <w:sz w:val="17"/>
                <w:szCs w:val="17"/>
                <w:color w:val="auto"/>
              </w:rPr>
              <w:t>February 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4"/>
              <w:spacing w:after="0" w:line="194" w:lineRule="exact"/>
              <w:rPr>
                <w:sz w:val="20"/>
                <w:szCs w:val="20"/>
                <w:color w:val="auto"/>
              </w:rPr>
            </w:pPr>
            <w:r>
              <w:rPr>
                <w:rFonts w:ascii="Arial" w:cs="Arial" w:eastAsia="Arial" w:hAnsi="Arial"/>
                <w:sz w:val="17"/>
                <w:szCs w:val="17"/>
                <w:color w:val="auto"/>
                <w:w w:val="92"/>
              </w:rPr>
              <w:t>January 27,</w:t>
            </w:r>
          </w:p>
        </w:tc>
        <w:tc>
          <w:tcPr>
            <w:tcW w:w="100" w:type="dxa"/>
            <w:vAlign w:val="bottom"/>
          </w:tcPr>
          <w:p>
            <w:pPr>
              <w:spacing w:after="0"/>
              <w:rPr>
                <w:sz w:val="16"/>
                <w:szCs w:val="16"/>
                <w:color w:val="auto"/>
              </w:rPr>
            </w:pPr>
          </w:p>
        </w:tc>
      </w:tr>
      <w:tr>
        <w:trPr>
          <w:trHeight w:val="225"/>
        </w:trPr>
        <w:tc>
          <w:tcPr>
            <w:tcW w:w="60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r>
      <w:tr>
        <w:trPr>
          <w:trHeight w:val="206"/>
        </w:trPr>
        <w:tc>
          <w:tcPr>
            <w:tcW w:w="6060" w:type="dxa"/>
            <w:vAlign w:val="bottom"/>
          </w:tcPr>
          <w:p>
            <w:pPr>
              <w:spacing w:after="0"/>
              <w:rPr>
                <w:sz w:val="20"/>
                <w:szCs w:val="20"/>
                <w:color w:val="auto"/>
              </w:rPr>
            </w:pPr>
            <w:r>
              <w:rPr>
                <w:rFonts w:ascii="Arial" w:cs="Arial" w:eastAsia="Arial" w:hAnsi="Arial"/>
                <w:sz w:val="17"/>
                <w:szCs w:val="17"/>
                <w:color w:val="auto"/>
              </w:rPr>
              <w:t>Revenue:</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528,155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503,531</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1,032,469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985,040</w:t>
            </w:r>
          </w:p>
        </w:tc>
      </w:tr>
      <w:tr>
        <w:trPr>
          <w:trHeight w:val="206"/>
        </w:trPr>
        <w:tc>
          <w:tcPr>
            <w:tcW w:w="6060" w:type="dxa"/>
            <w:vAlign w:val="bottom"/>
          </w:tcPr>
          <w:p>
            <w:pPr>
              <w:ind w:left="160"/>
              <w:spacing w:after="0"/>
              <w:rPr>
                <w:sz w:val="20"/>
                <w:szCs w:val="20"/>
                <w:color w:val="auto"/>
              </w:rPr>
            </w:pPr>
            <w:r>
              <w:rPr>
                <w:rFonts w:ascii="Arial" w:cs="Arial" w:eastAsia="Arial" w:hAnsi="Arial"/>
                <w:sz w:val="17"/>
                <w:szCs w:val="17"/>
                <w:color w:val="auto"/>
              </w:rPr>
              <w:t>Retail</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174,516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169,703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297,653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286,631</w:t>
            </w:r>
          </w:p>
        </w:tc>
      </w:tr>
      <w:tr>
        <w:trPr>
          <w:trHeight w:val="26"/>
        </w:trPr>
        <w:tc>
          <w:tcPr>
            <w:tcW w:w="6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6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702,671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673,234</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1,330,122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1,271,671</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ind w:left="620" w:hanging="617"/>
        <w:spacing w:after="0"/>
        <w:tabs>
          <w:tab w:leader="none" w:pos="62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Share-Based Compensation</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Share-based compensation is recorded in general and administrative expenses in the accompanying Condensed Consolidated Statements of Income. Total share-based compensation was comprised of the following at: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gridSpan w:val="6"/>
          </w:tcPr>
          <w:p>
            <w:pPr>
              <w:ind w:left="600"/>
              <w:spacing w:after="0"/>
              <w:rPr>
                <w:sz w:val="20"/>
                <w:szCs w:val="20"/>
                <w:color w:val="auto"/>
              </w:rPr>
            </w:pPr>
            <w:r>
              <w:rPr>
                <w:rFonts w:ascii="Arial" w:cs="Arial" w:eastAsia="Arial" w:hAnsi="Arial"/>
                <w:sz w:val="17"/>
                <w:szCs w:val="17"/>
                <w:color w:val="auto"/>
              </w:rPr>
              <w:t>Quarter Ended</w:t>
            </w:r>
          </w:p>
        </w:tc>
        <w:tc>
          <w:tcPr>
            <w:tcW w:w="120" w:type="dxa"/>
            <w:vAlign w:val="bottom"/>
          </w:tcPr>
          <w:p>
            <w:pPr>
              <w:spacing w:after="0"/>
              <w:rPr>
                <w:sz w:val="19"/>
                <w:szCs w:val="19"/>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40"/>
              <w:spacing w:after="0" w:line="194" w:lineRule="exact"/>
              <w:rPr>
                <w:sz w:val="20"/>
                <w:szCs w:val="20"/>
                <w:color w:val="auto"/>
              </w:rPr>
            </w:pPr>
            <w:r>
              <w:rPr>
                <w:rFonts w:ascii="Arial" w:cs="Arial" w:eastAsia="Arial" w:hAnsi="Arial"/>
                <w:sz w:val="17"/>
                <w:szCs w:val="17"/>
                <w:color w:val="auto"/>
              </w:rPr>
              <w:t>February 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4"/>
              <w:spacing w:after="0" w:line="194" w:lineRule="exact"/>
              <w:rPr>
                <w:sz w:val="20"/>
                <w:szCs w:val="20"/>
                <w:color w:val="auto"/>
              </w:rPr>
            </w:pPr>
            <w:r>
              <w:rPr>
                <w:rFonts w:ascii="Arial" w:cs="Arial" w:eastAsia="Arial" w:hAnsi="Arial"/>
                <w:sz w:val="17"/>
                <w:szCs w:val="17"/>
                <w:color w:val="auto"/>
                <w:w w:val="92"/>
              </w:rPr>
              <w:t>January 27,</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line="194" w:lineRule="exact"/>
              <w:rPr>
                <w:sz w:val="20"/>
                <w:szCs w:val="20"/>
                <w:color w:val="auto"/>
              </w:rPr>
            </w:pPr>
            <w:r>
              <w:rPr>
                <w:rFonts w:ascii="Arial" w:cs="Arial" w:eastAsia="Arial" w:hAnsi="Arial"/>
                <w:sz w:val="17"/>
                <w:szCs w:val="17"/>
                <w:color w:val="auto"/>
              </w:rPr>
              <w:t>February 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4"/>
              <w:spacing w:after="0" w:line="194" w:lineRule="exact"/>
              <w:rPr>
                <w:sz w:val="20"/>
                <w:szCs w:val="20"/>
                <w:color w:val="auto"/>
              </w:rPr>
            </w:pPr>
            <w:r>
              <w:rPr>
                <w:rFonts w:ascii="Arial" w:cs="Arial" w:eastAsia="Arial" w:hAnsi="Arial"/>
                <w:sz w:val="17"/>
                <w:szCs w:val="17"/>
                <w:color w:val="auto"/>
                <w:w w:val="92"/>
              </w:rPr>
              <w:t>January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Nonvested stock awards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4,065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Performance-based market stock units (“MSU Grants”)</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543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436</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1,157</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1,035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Stock options</w:t>
            </w: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7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3,540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3,399</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5,409</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5,946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20" w:type="dxa"/>
            <w:vAlign w:val="bottom"/>
            <w:vMerge w:val="restart"/>
          </w:tcPr>
          <w:p>
            <w:pPr>
              <w:jc w:val="right"/>
              <w:ind w:right="203"/>
              <w:spacing w:after="0"/>
              <w:rPr>
                <w:sz w:val="20"/>
                <w:szCs w:val="20"/>
                <w:color w:val="auto"/>
              </w:rPr>
            </w:pPr>
            <w:r>
              <w:rPr>
                <w:rFonts w:ascii="Arial" w:cs="Arial" w:eastAsia="Arial" w:hAnsi="Arial"/>
                <w:sz w:val="14"/>
                <w:szCs w:val="14"/>
                <w:color w:val="auto"/>
              </w:rPr>
              <w:t>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72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ind w:left="620" w:hanging="617"/>
        <w:spacing w:after="0"/>
        <w:tabs>
          <w:tab w:leader="none" w:pos="62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Net Income Per Share and Weighted Average Shares</w:t>
      </w:r>
    </w:p>
    <w:p>
      <w:pPr>
        <w:spacing w:after="0" w:line="249" w:lineRule="exact"/>
        <w:rPr>
          <w:sz w:val="20"/>
          <w:szCs w:val="20"/>
          <w:color w:val="auto"/>
        </w:rPr>
      </w:pPr>
    </w:p>
    <w:p>
      <w:pPr>
        <w:jc w:val="both"/>
        <w:ind w:firstLine="620"/>
        <w:spacing w:after="0" w:line="299" w:lineRule="auto"/>
        <w:rPr>
          <w:sz w:val="20"/>
          <w:szCs w:val="20"/>
          <w:color w:val="auto"/>
        </w:rPr>
      </w:pPr>
      <w:r>
        <w:rPr>
          <w:rFonts w:ascii="Arial" w:cs="Arial" w:eastAsia="Arial" w:hAnsi="Arial"/>
          <w:sz w:val="15"/>
          <w:szCs w:val="15"/>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stock options, nonvested stock awards and MSU Grants issued by the Company are calculated using the treasury stock method. The Company’s outstanding stock options, nonvested stock awards and MSU Grants issued by the Company represent the only dilutive effects on diluted consolidated net income per share.</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reconciles the components of diluted earnings per share computations: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gridSpan w:val="6"/>
          </w:tcPr>
          <w:p>
            <w:pPr>
              <w:ind w:left="600"/>
              <w:spacing w:after="0"/>
              <w:rPr>
                <w:sz w:val="20"/>
                <w:szCs w:val="20"/>
                <w:color w:val="auto"/>
              </w:rPr>
            </w:pPr>
            <w:r>
              <w:rPr>
                <w:rFonts w:ascii="Arial" w:cs="Arial" w:eastAsia="Arial" w:hAnsi="Arial"/>
                <w:sz w:val="17"/>
                <w:szCs w:val="17"/>
                <w:color w:val="auto"/>
              </w:rPr>
              <w:t>Quarter Ended</w:t>
            </w:r>
          </w:p>
        </w:tc>
        <w:tc>
          <w:tcPr>
            <w:tcW w:w="120" w:type="dxa"/>
            <w:vAlign w:val="bottom"/>
          </w:tcPr>
          <w:p>
            <w:pPr>
              <w:spacing w:after="0"/>
              <w:rPr>
                <w:sz w:val="19"/>
                <w:szCs w:val="19"/>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40"/>
              <w:spacing w:after="0" w:line="194" w:lineRule="exact"/>
              <w:rPr>
                <w:sz w:val="20"/>
                <w:szCs w:val="20"/>
                <w:color w:val="auto"/>
              </w:rPr>
            </w:pPr>
            <w:r>
              <w:rPr>
                <w:rFonts w:ascii="Arial" w:cs="Arial" w:eastAsia="Arial" w:hAnsi="Arial"/>
                <w:sz w:val="17"/>
                <w:szCs w:val="17"/>
                <w:color w:val="auto"/>
              </w:rPr>
              <w:t>February 1,</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4"/>
              <w:spacing w:after="0" w:line="194" w:lineRule="exact"/>
              <w:rPr>
                <w:sz w:val="20"/>
                <w:szCs w:val="20"/>
                <w:color w:val="auto"/>
              </w:rPr>
            </w:pPr>
            <w:r>
              <w:rPr>
                <w:rFonts w:ascii="Arial" w:cs="Arial" w:eastAsia="Arial" w:hAnsi="Arial"/>
                <w:sz w:val="17"/>
                <w:szCs w:val="17"/>
                <w:color w:val="auto"/>
                <w:w w:val="92"/>
              </w:rPr>
              <w:t>January 27,</w:t>
            </w: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line="194" w:lineRule="exact"/>
              <w:rPr>
                <w:sz w:val="20"/>
                <w:szCs w:val="20"/>
                <w:color w:val="auto"/>
              </w:rPr>
            </w:pPr>
            <w:r>
              <w:rPr>
                <w:rFonts w:ascii="Arial" w:cs="Arial" w:eastAsia="Arial" w:hAnsi="Arial"/>
                <w:sz w:val="17"/>
                <w:szCs w:val="17"/>
                <w:color w:val="auto"/>
              </w:rPr>
              <w:t>February 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74"/>
              <w:spacing w:after="0" w:line="194" w:lineRule="exact"/>
              <w:rPr>
                <w:sz w:val="20"/>
                <w:szCs w:val="20"/>
                <w:color w:val="auto"/>
              </w:rPr>
            </w:pPr>
            <w:r>
              <w:rPr>
                <w:rFonts w:ascii="Arial" w:cs="Arial" w:eastAsia="Arial" w:hAnsi="Arial"/>
                <w:sz w:val="17"/>
                <w:szCs w:val="17"/>
                <w:color w:val="auto"/>
                <w:w w:val="92"/>
              </w:rPr>
              <w:t>January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income per share numerator</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35,168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25,609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58,360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49,411</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income per share denominator: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Weighted average shares</w:t>
            </w:r>
          </w:p>
        </w:tc>
        <w:tc>
          <w:tcPr>
            <w:tcW w:w="1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23,711,235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22,968,002</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23,644,405</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22,919,451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 potential dilution: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300"/>
              <w:spacing w:after="0"/>
              <w:rPr>
                <w:sz w:val="20"/>
                <w:szCs w:val="20"/>
                <w:color w:val="auto"/>
              </w:rPr>
            </w:pPr>
            <w:r>
              <w:rPr>
                <w:rFonts w:ascii="Arial" w:cs="Arial" w:eastAsia="Arial" w:hAnsi="Arial"/>
                <w:sz w:val="17"/>
                <w:szCs w:val="17"/>
                <w:color w:val="auto"/>
              </w:rPr>
              <w:t>Stock options, nonvested stock awards and MSU Grants</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234,001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338,175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222,026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306,512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6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Diluted weighted average shares</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23,945,236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23,306,177</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23,866,431</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23,225,963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620" w:hanging="617"/>
        <w:spacing w:after="0"/>
        <w:tabs>
          <w:tab w:leader="none" w:pos="62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Commitments and Contingencies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2"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Related to its workers’ compensation insurance coverage, the Company is contingently liable pursuant to standby letters of credit as credit guarantees to certain insurers. As of February 1, 2013, the Company had $28,171 of standby letters of credit related to securing reserved claims under workers’ compensation insurance. All standby letters of credit are renewable annually and reduce the Company’s borrowing availability under its Revolving Credit Facility (see Note 4).</w:t>
      </w:r>
    </w:p>
    <w:p>
      <w:pPr>
        <w:spacing w:after="0" w:line="183" w:lineRule="exact"/>
        <w:rPr>
          <w:sz w:val="20"/>
          <w:szCs w:val="20"/>
          <w:color w:val="auto"/>
        </w:rPr>
      </w:pPr>
    </w:p>
    <w:p>
      <w:pPr>
        <w:jc w:val="both"/>
        <w:ind w:firstLine="310"/>
        <w:spacing w:after="0" w:line="318" w:lineRule="auto"/>
        <w:rPr>
          <w:sz w:val="20"/>
          <w:szCs w:val="20"/>
          <w:color w:val="auto"/>
        </w:rPr>
      </w:pPr>
      <w:r>
        <w:rPr>
          <w:rFonts w:ascii="Arial" w:cs="Arial" w:eastAsia="Arial" w:hAnsi="Arial"/>
          <w:sz w:val="15"/>
          <w:szCs w:val="15"/>
          <w:color w:val="auto"/>
        </w:rPr>
        <w:t>At February 1, 2013, the Company is secondarily liable for lease payments associated with two properties. The Company is not aware of any non-performance under these lease arrangements that would result in the Company having to perform in accordance with the terms of those guarantees; and therefore, no provision has been recorded in the Condensed Consolidated Balance Sheets for amounts to be paid in case of non-performance by the third parties.</w:t>
      </w:r>
    </w:p>
    <w:p>
      <w:pPr>
        <w:spacing w:after="0" w:line="166"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Company enters into certain indemnification agreements in favor of third parties in the ordinary course of business. The Company believes that the probability of incurring an actual liability under such indemnification agreements is sufficiently remote so that no liability has been recorded in the Condensed Consolidated Balance Sheets.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49" w:lineRule="exact"/>
        <w:rPr>
          <w:sz w:val="20"/>
          <w:szCs w:val="20"/>
          <w:color w:val="auto"/>
        </w:rPr>
      </w:pPr>
    </w:p>
    <w:p>
      <w:pPr>
        <w:jc w:val="both"/>
        <w:ind w:firstLine="310"/>
        <w:spacing w:after="0" w:line="260" w:lineRule="auto"/>
        <w:rPr>
          <w:sz w:val="20"/>
          <w:szCs w:val="20"/>
          <w:color w:val="auto"/>
        </w:rPr>
      </w:pPr>
      <w:r>
        <w:rPr>
          <w:rFonts w:ascii="Arial" w:cs="Arial" w:eastAsia="Arial" w:hAnsi="Arial"/>
          <w:sz w:val="17"/>
          <w:szCs w:val="17"/>
          <w:color w:val="auto"/>
        </w:rPr>
        <w:t>Cracker Barrel Old Country Store, Inc. and its subsidiaries (collectively, the “Company,” “our” or “we”) are principally engaged in the operation and development in the United States of the Cracker Barrel Old Country StoreÒ (“Cracker Barrel”) concept. At February 1, 2013, we operated 621 Cracker Barrel stores in 42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06" w:lineRule="exact"/>
        <w:rPr>
          <w:sz w:val="20"/>
          <w:szCs w:val="20"/>
          <w:color w:val="auto"/>
        </w:rPr>
      </w:pPr>
    </w:p>
    <w:p>
      <w:pPr>
        <w:jc w:val="both"/>
        <w:ind w:firstLine="620"/>
        <w:spacing w:after="0" w:line="290" w:lineRule="auto"/>
        <w:rPr>
          <w:sz w:val="20"/>
          <w:szCs w:val="20"/>
          <w:color w:val="auto"/>
        </w:rPr>
      </w:pPr>
      <w:r>
        <w:rPr>
          <w:rFonts w:ascii="Arial" w:cs="Arial" w:eastAsia="Arial" w:hAnsi="Arial"/>
          <w:sz w:val="15"/>
          <w:szCs w:val="15"/>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financial statements and the notes thereto included in the Company’s Annual Report on Form 10-K for the fiscal year ended August 3, 2012 (the “2012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those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2012 Form 10-K, which is incorporated herein by this reference, as well as the factors described under “Critical Accounting Estimates” on pages 23-27 of this report or, from time to time, in our filings with the Securities and Exchange Commission (“SEC”), press releases and other communications.</w:t>
      </w:r>
    </w:p>
    <w:p>
      <w:pPr>
        <w:spacing w:after="0" w:line="198"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6"/>
          <w:szCs w:val="16"/>
          <w:color w:val="auto"/>
        </w:rPr>
        <w:t>Readers are cautioned not to place undue reliance on forward-looking statements made in this report because the statements speak only as of the report’s date. Except as may be required by law, we have no obligation, and do not intend, to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Management believes that the Cracker Barrel brand remains one of the strongest and most differentiated brands in the restaurant industry, and we plan to leverage that strength to grow guest traffic, sales and profits.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six priorities for 2013 are:</w:t>
      </w:r>
    </w:p>
    <w:p>
      <w:pPr>
        <w:spacing w:after="0" w:line="243" w:lineRule="exact"/>
        <w:rPr>
          <w:sz w:val="20"/>
          <w:szCs w:val="20"/>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Refresh select menu categories that will reinforce our value and provide healthier options to our guests;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Grow retail sales with unique merchandise;</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Build on the successful “Handcrafted by Cracker Barrel” advertising campaign;</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Invest in and leverage technology and equipment to support operations and reduce costs;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Continued focus on shareholder return; and</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Expand the brand through e-commerce and licensing.</w:t>
      </w:r>
    </w:p>
    <w:p>
      <w:pPr>
        <w:spacing w:after="0" w:line="243" w:lineRule="exact"/>
        <w:rPr>
          <w:sz w:val="20"/>
          <w:szCs w:val="20"/>
          <w:color w:val="auto"/>
        </w:rPr>
      </w:pPr>
    </w:p>
    <w:p>
      <w:pPr>
        <w:jc w:val="both"/>
        <w:ind w:firstLine="620"/>
        <w:spacing w:after="0" w:line="274" w:lineRule="auto"/>
        <w:rPr>
          <w:sz w:val="20"/>
          <w:szCs w:val="20"/>
          <w:color w:val="auto"/>
        </w:rPr>
      </w:pPr>
      <w:r>
        <w:rPr>
          <w:rFonts w:ascii="Arial" w:cs="Arial" w:eastAsia="Arial" w:hAnsi="Arial"/>
          <w:sz w:val="16"/>
          <w:szCs w:val="16"/>
          <w:color w:val="auto"/>
        </w:rPr>
        <w:t>During the second quarter of 2013, we continued our progress on these six priorities. We achieved positive comparable store traffic, restaurant sales and retail sales for the fifth consecutive quarter, and our comparable store traffic and restaurant sales outperformed the Knapp-Track™ Casual Dining Index for the fifth consecutive quarter. This second quarter also reflects the first quarter of positive over positive comparable store traffic growth in ten years. Additionally, strong performance in our apparel and accessories categories contributed to retail sales growth. Effective in-season management of retail inventory and marketing, menu and operational initiatives contributed to margin improvement and earnings growth. Our strong cash flow has enabled us to declare a quarterly dividend of $0.50 per share for two consecutive quarters. In addition, we have entered into a multi-year licensing agreement to make certain Cracker Barrel products available to consumers in a new retail channel. While we do not expect this initiative to have a material effect on our fiscal results for 2013, we believe this partnership will increase the visibility of our brand and contribute to our profitability in future years. See “Item 1. Legal Proceedings” of Part II of this Quarterly Report on Form 10-Q for information related to a lawsuit filed against the Company regarding this initiative.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following table highlights operating results by percentage relationships to total revenue for the quarter and six-month period ended February 1, 2013 as compared to the same periods in the prior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760" w:type="dxa"/>
            <w:vAlign w:val="bottom"/>
            <w:gridSpan w:val="4"/>
          </w:tcPr>
          <w:p>
            <w:pPr>
              <w:jc w:val="right"/>
              <w:ind w:right="960"/>
              <w:spacing w:after="0"/>
              <w:rPr>
                <w:sz w:val="20"/>
                <w:szCs w:val="20"/>
                <w:color w:val="auto"/>
              </w:rPr>
            </w:pPr>
            <w:r>
              <w:rPr>
                <w:rFonts w:ascii="Arial" w:cs="Arial" w:eastAsia="Arial" w:hAnsi="Arial"/>
                <w:sz w:val="17"/>
                <w:szCs w:val="17"/>
                <w:color w:val="auto"/>
              </w:rPr>
              <w:t>Quarter Ended</w:t>
            </w:r>
          </w:p>
        </w:tc>
        <w:tc>
          <w:tcPr>
            <w:tcW w:w="2660" w:type="dxa"/>
            <w:vAlign w:val="bottom"/>
            <w:gridSpan w:val="4"/>
          </w:tcPr>
          <w:p>
            <w:pPr>
              <w:jc w:val="right"/>
              <w:ind w:right="72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160"/>
              <w:spacing w:after="0" w:line="194" w:lineRule="exact"/>
              <w:rPr>
                <w:sz w:val="20"/>
                <w:szCs w:val="20"/>
                <w:color w:val="auto"/>
              </w:rPr>
            </w:pPr>
            <w:r>
              <w:rPr>
                <w:rFonts w:ascii="Arial" w:cs="Arial" w:eastAsia="Arial" w:hAnsi="Arial"/>
                <w:sz w:val="17"/>
                <w:szCs w:val="17"/>
                <w:color w:val="auto"/>
                <w:w w:val="89"/>
              </w:rPr>
              <w:t>February 1,</w:t>
            </w:r>
          </w:p>
        </w:tc>
        <w:tc>
          <w:tcPr>
            <w:tcW w:w="1120" w:type="dxa"/>
            <w:vAlign w:val="bottom"/>
            <w:tcBorders>
              <w:top w:val="single" w:sz="8" w:color="auto"/>
            </w:tcBorders>
          </w:tcPr>
          <w:p>
            <w:pPr>
              <w:jc w:val="right"/>
              <w:ind w:right="34"/>
              <w:spacing w:after="0" w:line="194" w:lineRule="exact"/>
              <w:rPr>
                <w:sz w:val="20"/>
                <w:szCs w:val="20"/>
                <w:color w:val="auto"/>
              </w:rPr>
            </w:pPr>
            <w:r>
              <w:rPr>
                <w:rFonts w:ascii="Arial" w:cs="Arial" w:eastAsia="Arial" w:hAnsi="Arial"/>
                <w:sz w:val="17"/>
                <w:szCs w:val="17"/>
                <w:color w:val="auto"/>
              </w:rPr>
              <w:t>January 27,</w:t>
            </w:r>
          </w:p>
        </w:tc>
        <w:tc>
          <w:tcPr>
            <w:tcW w:w="26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140"/>
              <w:spacing w:after="0" w:line="194" w:lineRule="exact"/>
              <w:rPr>
                <w:sz w:val="20"/>
                <w:szCs w:val="20"/>
                <w:color w:val="auto"/>
              </w:rPr>
            </w:pPr>
            <w:r>
              <w:rPr>
                <w:rFonts w:ascii="Arial" w:cs="Arial" w:eastAsia="Arial" w:hAnsi="Arial"/>
                <w:sz w:val="17"/>
                <w:szCs w:val="17"/>
                <w:color w:val="auto"/>
                <w:w w:val="91"/>
              </w:rPr>
              <w:t>February 1,</w:t>
            </w:r>
          </w:p>
        </w:tc>
        <w:tc>
          <w:tcPr>
            <w:tcW w:w="1120" w:type="dxa"/>
            <w:vAlign w:val="bottom"/>
            <w:tcBorders>
              <w:top w:val="single" w:sz="8" w:color="auto"/>
            </w:tcBorders>
          </w:tcPr>
          <w:p>
            <w:pPr>
              <w:jc w:val="right"/>
              <w:ind w:right="14"/>
              <w:spacing w:after="0" w:line="194" w:lineRule="exact"/>
              <w:rPr>
                <w:sz w:val="20"/>
                <w:szCs w:val="20"/>
                <w:color w:val="auto"/>
              </w:rPr>
            </w:pPr>
            <w:r>
              <w:rPr>
                <w:rFonts w:ascii="Arial" w:cs="Arial" w:eastAsia="Arial" w:hAnsi="Arial"/>
                <w:sz w:val="17"/>
                <w:szCs w:val="17"/>
                <w:color w:val="auto"/>
              </w:rPr>
              <w:t>January 27,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2013</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2012</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2013</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33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Cost of goods sold</w:t>
            </w:r>
          </w:p>
        </w:tc>
        <w:tc>
          <w:tcPr>
            <w:tcW w:w="19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34.8</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35.0</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33.2</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33.2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9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65.2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65.0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66.8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Labor and other related expenses</w:t>
            </w:r>
          </w:p>
        </w:tc>
        <w:tc>
          <w:tcPr>
            <w:tcW w:w="3300" w:type="dxa"/>
            <w:vAlign w:val="bottom"/>
            <w:gridSpan w:val="3"/>
          </w:tcPr>
          <w:p>
            <w:pPr>
              <w:jc w:val="right"/>
              <w:ind w:right="260"/>
              <w:spacing w:after="0"/>
              <w:rPr>
                <w:sz w:val="20"/>
                <w:szCs w:val="20"/>
                <w:color w:val="auto"/>
              </w:rPr>
            </w:pPr>
            <w:r>
              <w:rPr>
                <w:rFonts w:ascii="Arial" w:cs="Arial" w:eastAsia="Arial" w:hAnsi="Arial"/>
                <w:sz w:val="17"/>
                <w:szCs w:val="17"/>
                <w:color w:val="auto"/>
              </w:rPr>
              <w:t>34.8</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34.9</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35.9</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Other store operating expenses</w:t>
            </w:r>
          </w:p>
        </w:tc>
        <w:tc>
          <w:tcPr>
            <w:tcW w:w="19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17.4</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17.7</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Store operating income</w:t>
            </w:r>
          </w:p>
        </w:tc>
        <w:tc>
          <w:tcPr>
            <w:tcW w:w="19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13.0</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12.4</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12.9</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19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4.9</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5.4</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5.2</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Operating income</w:t>
            </w:r>
          </w:p>
        </w:tc>
        <w:tc>
          <w:tcPr>
            <w:tcW w:w="19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8.1</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7.0</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7.7</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9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Income before income taxes</w:t>
            </w:r>
          </w:p>
        </w:tc>
        <w:tc>
          <w:tcPr>
            <w:tcW w:w="19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6.7</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5.4</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6.1</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9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Net income</w:t>
            </w:r>
          </w:p>
        </w:tc>
        <w:tc>
          <w:tcPr>
            <w:tcW w:w="192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3.8%</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4.4%</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20" w:type="dxa"/>
            <w:vAlign w:val="bottom"/>
            <w:vMerge w:val="restart"/>
          </w:tcPr>
          <w:p>
            <w:pPr>
              <w:jc w:val="right"/>
              <w:ind w:right="140"/>
              <w:spacing w:after="0"/>
              <w:rPr>
                <w:sz w:val="20"/>
                <w:szCs w:val="20"/>
                <w:color w:val="auto"/>
              </w:rPr>
            </w:pPr>
            <w:r>
              <w:rPr>
                <w:rFonts w:ascii="Arial" w:cs="Arial" w:eastAsia="Arial" w:hAnsi="Arial"/>
                <w:sz w:val="14"/>
                <w:szCs w:val="14"/>
                <w:color w:val="auto"/>
              </w:rPr>
              <w:t>15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06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sets forth the number of stores in operation at the beginning and end of the quarters and six-month periods ended February 1, 2013 and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January 27, 2012, respectively: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780" w:type="dxa"/>
            <w:vAlign w:val="bottom"/>
            <w:gridSpan w:val="4"/>
          </w:tcPr>
          <w:p>
            <w:pPr>
              <w:ind w:left="820"/>
              <w:spacing w:after="0"/>
              <w:rPr>
                <w:sz w:val="20"/>
                <w:szCs w:val="20"/>
                <w:color w:val="auto"/>
              </w:rPr>
            </w:pPr>
            <w:r>
              <w:rPr>
                <w:rFonts w:ascii="Arial" w:cs="Arial" w:eastAsia="Arial" w:hAnsi="Arial"/>
                <w:sz w:val="17"/>
                <w:szCs w:val="17"/>
                <w:color w:val="auto"/>
              </w:rPr>
              <w:t>Quarter Ended</w:t>
            </w:r>
          </w:p>
        </w:tc>
        <w:tc>
          <w:tcPr>
            <w:tcW w:w="2580" w:type="dxa"/>
            <w:vAlign w:val="bottom"/>
            <w:gridSpan w:val="4"/>
          </w:tcPr>
          <w:p>
            <w:pPr>
              <w:jc w:val="right"/>
              <w:ind w:right="660"/>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380" w:type="dxa"/>
            <w:vAlign w:val="bottom"/>
            <w:tcBorders>
              <w:top w:val="single" w:sz="8" w:color="auto"/>
            </w:tcBorders>
            <w:gridSpan w:val="2"/>
          </w:tcPr>
          <w:p>
            <w:pPr>
              <w:ind w:left="240"/>
              <w:spacing w:after="0" w:line="194" w:lineRule="exact"/>
              <w:rPr>
                <w:sz w:val="20"/>
                <w:szCs w:val="20"/>
                <w:color w:val="auto"/>
              </w:rPr>
            </w:pPr>
            <w:r>
              <w:rPr>
                <w:rFonts w:ascii="Arial" w:cs="Arial" w:eastAsia="Arial" w:hAnsi="Arial"/>
                <w:sz w:val="17"/>
                <w:szCs w:val="17"/>
                <w:color w:val="auto"/>
              </w:rPr>
              <w:t>February 1,</w:t>
            </w:r>
          </w:p>
        </w:tc>
        <w:tc>
          <w:tcPr>
            <w:tcW w:w="1160" w:type="dxa"/>
            <w:vAlign w:val="bottom"/>
            <w:tcBorders>
              <w:top w:val="single" w:sz="8" w:color="auto"/>
            </w:tcBorders>
          </w:tcPr>
          <w:p>
            <w:pPr>
              <w:jc w:val="right"/>
              <w:ind w:right="54"/>
              <w:spacing w:after="0" w:line="194" w:lineRule="exact"/>
              <w:rPr>
                <w:sz w:val="20"/>
                <w:szCs w:val="20"/>
                <w:color w:val="auto"/>
              </w:rPr>
            </w:pPr>
            <w:r>
              <w:rPr>
                <w:rFonts w:ascii="Arial" w:cs="Arial" w:eastAsia="Arial" w:hAnsi="Arial"/>
                <w:sz w:val="17"/>
                <w:szCs w:val="17"/>
                <w:color w:val="auto"/>
              </w:rPr>
              <w:t>January 27,</w:t>
            </w:r>
          </w:p>
        </w:tc>
        <w:tc>
          <w:tcPr>
            <w:tcW w:w="240" w:type="dxa"/>
            <w:vAlign w:val="bottom"/>
          </w:tcPr>
          <w:p>
            <w:pPr>
              <w:spacing w:after="0"/>
              <w:rPr>
                <w:sz w:val="16"/>
                <w:szCs w:val="16"/>
                <w:color w:val="auto"/>
              </w:rPr>
            </w:pPr>
          </w:p>
        </w:tc>
        <w:tc>
          <w:tcPr>
            <w:tcW w:w="1360" w:type="dxa"/>
            <w:vAlign w:val="bottom"/>
            <w:tcBorders>
              <w:top w:val="single" w:sz="8" w:color="auto"/>
            </w:tcBorders>
            <w:gridSpan w:val="2"/>
          </w:tcPr>
          <w:p>
            <w:pPr>
              <w:ind w:left="220"/>
              <w:spacing w:after="0" w:line="194" w:lineRule="exact"/>
              <w:rPr>
                <w:sz w:val="20"/>
                <w:szCs w:val="20"/>
                <w:color w:val="auto"/>
              </w:rPr>
            </w:pPr>
            <w:r>
              <w:rPr>
                <w:rFonts w:ascii="Arial" w:cs="Arial" w:eastAsia="Arial" w:hAnsi="Arial"/>
                <w:sz w:val="17"/>
                <w:szCs w:val="17"/>
                <w:color w:val="auto"/>
              </w:rPr>
              <w:t>February 1,</w:t>
            </w:r>
          </w:p>
        </w:tc>
        <w:tc>
          <w:tcPr>
            <w:tcW w:w="1120" w:type="dxa"/>
            <w:vAlign w:val="bottom"/>
            <w:tcBorders>
              <w:top w:val="single" w:sz="8" w:color="auto"/>
            </w:tcBorders>
          </w:tcPr>
          <w:p>
            <w:pPr>
              <w:jc w:val="right"/>
              <w:ind w:right="34"/>
              <w:spacing w:after="0" w:line="194" w:lineRule="exact"/>
              <w:rPr>
                <w:sz w:val="20"/>
                <w:szCs w:val="20"/>
                <w:color w:val="auto"/>
              </w:rPr>
            </w:pPr>
            <w:r>
              <w:rPr>
                <w:rFonts w:ascii="Arial" w:cs="Arial" w:eastAsia="Arial" w:hAnsi="Arial"/>
                <w:sz w:val="17"/>
                <w:szCs w:val="17"/>
                <w:color w:val="auto"/>
              </w:rPr>
              <w:t>January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1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2013</w:t>
            </w:r>
          </w:p>
        </w:tc>
        <w:tc>
          <w:tcPr>
            <w:tcW w:w="220" w:type="dxa"/>
            <w:vAlign w:val="bottom"/>
          </w:tcPr>
          <w:p>
            <w:pPr>
              <w:spacing w:after="0"/>
              <w:rPr>
                <w:sz w:val="19"/>
                <w:szCs w:val="19"/>
                <w:color w:val="auto"/>
              </w:rPr>
            </w:pPr>
          </w:p>
        </w:tc>
        <w:tc>
          <w:tcPr>
            <w:tcW w:w="11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2012</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2013</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Open at beginning of period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620</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606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616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Opened during period</w:t>
            </w: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vMerge w:val="continue"/>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Open at the end of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Revenue</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Total revenue for the second quarter and first six months of 2013 increased 4.4% and 4.6%, respectively, compared to the same periods in the prior year.</w:t>
      </w:r>
    </w:p>
    <w:p>
      <w:pPr>
        <w:spacing w:after="0" w:line="266" w:lineRule="exact"/>
        <w:rPr>
          <w:sz w:val="20"/>
          <w:szCs w:val="20"/>
          <w:color w:val="auto"/>
        </w:rPr>
      </w:pPr>
    </w:p>
    <w:p>
      <w:pPr>
        <w:ind w:right="140" w:firstLine="620"/>
        <w:spacing w:after="0" w:line="280" w:lineRule="auto"/>
        <w:rPr>
          <w:sz w:val="20"/>
          <w:szCs w:val="20"/>
          <w:color w:val="auto"/>
        </w:rPr>
      </w:pPr>
      <w:r>
        <w:rPr>
          <w:rFonts w:ascii="Arial" w:cs="Arial" w:eastAsia="Arial" w:hAnsi="Arial"/>
          <w:sz w:val="17"/>
          <w:szCs w:val="17"/>
          <w:color w:val="auto"/>
        </w:rPr>
        <w:t>The following table highlights the key components of revenue for the quarter and six-month period ended February 1, 2013 as compared to the quarter and six-month period ended January 27,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gridSpan w:val="5"/>
          </w:tcPr>
          <w:p>
            <w:pPr>
              <w:jc w:val="right"/>
              <w:ind w:right="1020"/>
              <w:spacing w:after="0"/>
              <w:rPr>
                <w:sz w:val="20"/>
                <w:szCs w:val="20"/>
                <w:color w:val="auto"/>
              </w:rPr>
            </w:pPr>
            <w:r>
              <w:rPr>
                <w:rFonts w:ascii="Arial" w:cs="Arial" w:eastAsia="Arial" w:hAnsi="Arial"/>
                <w:sz w:val="17"/>
                <w:szCs w:val="17"/>
                <w:color w:val="auto"/>
              </w:rPr>
              <w:t>Quarter Ended</w:t>
            </w:r>
          </w:p>
        </w:tc>
        <w:tc>
          <w:tcPr>
            <w:tcW w:w="140" w:type="dxa"/>
            <w:vAlign w:val="bottom"/>
          </w:tcPr>
          <w:p>
            <w:pPr>
              <w:spacing w:after="0"/>
              <w:rPr>
                <w:sz w:val="19"/>
                <w:szCs w:val="19"/>
                <w:color w:val="auto"/>
              </w:rPr>
            </w:pPr>
          </w:p>
        </w:tc>
        <w:tc>
          <w:tcPr>
            <w:tcW w:w="2520" w:type="dxa"/>
            <w:vAlign w:val="bottom"/>
            <w:gridSpan w:val="5"/>
          </w:tcPr>
          <w:p>
            <w:pPr>
              <w:jc w:val="right"/>
              <w:ind w:right="760"/>
              <w:spacing w:after="0"/>
              <w:rPr>
                <w:sz w:val="20"/>
                <w:szCs w:val="20"/>
                <w:color w:val="auto"/>
              </w:rPr>
            </w:pPr>
            <w:r>
              <w:rPr>
                <w:rFonts w:ascii="Arial" w:cs="Arial" w:eastAsia="Arial" w:hAnsi="Arial"/>
                <w:sz w:val="17"/>
                <w:szCs w:val="17"/>
                <w:color w:val="auto"/>
              </w:rPr>
              <w:t>Six Months Ended</w:t>
            </w:r>
          </w:p>
        </w:tc>
      </w:tr>
      <w:tr>
        <w:trPr>
          <w:trHeight w:val="194"/>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80"/>
              <w:spacing w:after="0" w:line="194" w:lineRule="exact"/>
              <w:rPr>
                <w:sz w:val="20"/>
                <w:szCs w:val="20"/>
                <w:color w:val="auto"/>
              </w:rPr>
            </w:pPr>
            <w:r>
              <w:rPr>
                <w:rFonts w:ascii="Arial" w:cs="Arial" w:eastAsia="Arial" w:hAnsi="Arial"/>
                <w:sz w:val="17"/>
                <w:szCs w:val="17"/>
                <w:color w:val="auto"/>
                <w:w w:val="91"/>
              </w:rPr>
              <w:t>February 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4"/>
              <w:spacing w:after="0" w:line="194" w:lineRule="exact"/>
              <w:rPr>
                <w:sz w:val="20"/>
                <w:szCs w:val="20"/>
                <w:color w:val="auto"/>
              </w:rPr>
            </w:pPr>
            <w:r>
              <w:rPr>
                <w:rFonts w:ascii="Arial" w:cs="Arial" w:eastAsia="Arial" w:hAnsi="Arial"/>
                <w:sz w:val="17"/>
                <w:szCs w:val="17"/>
                <w:color w:val="auto"/>
                <w:w w:val="90"/>
              </w:rPr>
              <w:t>January 27,</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80"/>
              <w:spacing w:after="0" w:line="194" w:lineRule="exact"/>
              <w:rPr>
                <w:sz w:val="20"/>
                <w:szCs w:val="20"/>
                <w:color w:val="auto"/>
              </w:rPr>
            </w:pPr>
            <w:r>
              <w:rPr>
                <w:rFonts w:ascii="Arial" w:cs="Arial" w:eastAsia="Arial" w:hAnsi="Arial"/>
                <w:sz w:val="17"/>
                <w:szCs w:val="17"/>
                <w:color w:val="auto"/>
                <w:w w:val="89"/>
              </w:rPr>
              <w:t>February 1,</w:t>
            </w:r>
          </w:p>
        </w:tc>
        <w:tc>
          <w:tcPr>
            <w:tcW w:w="11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7"/>
                <w:szCs w:val="17"/>
                <w:color w:val="auto"/>
              </w:rPr>
              <w:t>January 27,</w:t>
            </w:r>
          </w:p>
        </w:tc>
        <w:tc>
          <w:tcPr>
            <w:tcW w:w="160" w:type="dxa"/>
            <w:vAlign w:val="bottom"/>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2013</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2012</w:t>
            </w:r>
          </w:p>
        </w:tc>
        <w:tc>
          <w:tcPr>
            <w:tcW w:w="160" w:type="dxa"/>
            <w:vAlign w:val="bottom"/>
          </w:tcPr>
          <w:p>
            <w:pPr>
              <w:spacing w:after="0"/>
              <w:rPr>
                <w:sz w:val="19"/>
                <w:szCs w:val="19"/>
                <w:color w:val="auto"/>
              </w:rPr>
            </w:pPr>
          </w:p>
        </w:tc>
      </w:tr>
      <w:tr>
        <w:trPr>
          <w:trHeight w:val="206"/>
        </w:trPr>
        <w:tc>
          <w:tcPr>
            <w:tcW w:w="6000" w:type="dxa"/>
            <w:vAlign w:val="bottom"/>
            <w:gridSpan w:val="2"/>
          </w:tcPr>
          <w:p>
            <w:pPr>
              <w:spacing w:after="0"/>
              <w:rPr>
                <w:sz w:val="20"/>
                <w:szCs w:val="20"/>
                <w:color w:val="auto"/>
              </w:rPr>
            </w:pPr>
            <w:r>
              <w:rPr>
                <w:rFonts w:ascii="Arial" w:cs="Arial" w:eastAsia="Arial" w:hAnsi="Arial"/>
                <w:sz w:val="17"/>
                <w:szCs w:val="17"/>
                <w:color w:val="auto"/>
              </w:rPr>
              <w:t>Revenue in dollars: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5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Restaurant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528,155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503,531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1,032,469</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985,040</w:t>
            </w:r>
          </w:p>
        </w:tc>
      </w:tr>
      <w:tr>
        <w:trPr>
          <w:trHeight w:val="206"/>
        </w:trPr>
        <w:tc>
          <w:tcPr>
            <w:tcW w:w="20" w:type="dxa"/>
            <w:vAlign w:val="bottom"/>
          </w:tcPr>
          <w:p>
            <w:pPr>
              <w:spacing w:after="0"/>
              <w:rPr>
                <w:sz w:val="17"/>
                <w:szCs w:val="17"/>
                <w:color w:val="auto"/>
              </w:rPr>
            </w:pPr>
          </w:p>
        </w:tc>
        <w:tc>
          <w:tcPr>
            <w:tcW w:w="5980" w:type="dxa"/>
            <w:vAlign w:val="bottom"/>
          </w:tcPr>
          <w:p>
            <w:pPr>
              <w:ind w:left="140"/>
              <w:spacing w:after="0"/>
              <w:rPr>
                <w:sz w:val="20"/>
                <w:szCs w:val="20"/>
                <w:color w:val="auto"/>
              </w:rPr>
            </w:pPr>
            <w:r>
              <w:rPr>
                <w:rFonts w:ascii="Arial" w:cs="Arial" w:eastAsia="Arial" w:hAnsi="Arial"/>
                <w:sz w:val="17"/>
                <w:szCs w:val="17"/>
                <w:color w:val="auto"/>
              </w:rPr>
              <w:t>Retail</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174,516</w:t>
            </w:r>
          </w:p>
        </w:tc>
        <w:tc>
          <w:tcPr>
            <w:tcW w:w="1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169,703</w:t>
            </w:r>
          </w:p>
        </w:tc>
        <w:tc>
          <w:tcPr>
            <w:tcW w:w="1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297,653</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286,631</w:t>
            </w:r>
          </w:p>
        </w:tc>
      </w:tr>
      <w:tr>
        <w:trPr>
          <w:trHeight w:val="26"/>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46"/>
        </w:trPr>
        <w:tc>
          <w:tcPr>
            <w:tcW w:w="20" w:type="dxa"/>
            <w:vAlign w:val="bottom"/>
          </w:tcPr>
          <w:p>
            <w:pPr>
              <w:spacing w:after="0"/>
              <w:rPr>
                <w:sz w:val="21"/>
                <w:szCs w:val="21"/>
                <w:color w:val="auto"/>
              </w:rPr>
            </w:pPr>
          </w:p>
        </w:tc>
        <w:tc>
          <w:tcPr>
            <w:tcW w:w="5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702,671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673,234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1,330,122</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1,271,671</w:t>
            </w:r>
          </w:p>
        </w:tc>
        <w:tc>
          <w:tcPr>
            <w:tcW w:w="160" w:type="dxa"/>
            <w:vAlign w:val="bottom"/>
            <w:shd w:val="clear" w:color="auto" w:fill="CCEEFF"/>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59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Total revenue by percentage relationships: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Restaurant</w:t>
            </w:r>
          </w:p>
        </w:tc>
        <w:tc>
          <w:tcPr>
            <w:tcW w:w="12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75.2%</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74.8%</w:t>
            </w:r>
          </w:p>
        </w:tc>
        <w:tc>
          <w:tcPr>
            <w:tcW w:w="14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77.6%</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77.5%</w:t>
            </w:r>
          </w:p>
        </w:tc>
      </w:tr>
      <w:tr>
        <w:trPr>
          <w:trHeight w:val="206"/>
        </w:trPr>
        <w:tc>
          <w:tcPr>
            <w:tcW w:w="20" w:type="dxa"/>
            <w:vAlign w:val="bottom"/>
          </w:tcPr>
          <w:p>
            <w:pPr>
              <w:spacing w:after="0"/>
              <w:rPr>
                <w:sz w:val="17"/>
                <w:szCs w:val="17"/>
                <w:color w:val="auto"/>
              </w:rPr>
            </w:pPr>
          </w:p>
        </w:tc>
        <w:tc>
          <w:tcPr>
            <w:tcW w:w="5980" w:type="dxa"/>
            <w:vAlign w:val="bottom"/>
          </w:tcPr>
          <w:p>
            <w:pPr>
              <w:ind w:left="140"/>
              <w:spacing w:after="0"/>
              <w:rPr>
                <w:sz w:val="20"/>
                <w:szCs w:val="20"/>
                <w:color w:val="auto"/>
              </w:rPr>
            </w:pPr>
            <w:r>
              <w:rPr>
                <w:rFonts w:ascii="Arial" w:cs="Arial" w:eastAsia="Arial" w:hAnsi="Arial"/>
                <w:sz w:val="17"/>
                <w:szCs w:val="17"/>
                <w:color w:val="auto"/>
              </w:rPr>
              <w:t>Retail</w:t>
            </w: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24.8%</w:t>
            </w:r>
          </w:p>
        </w:tc>
        <w:tc>
          <w:tcPr>
            <w:tcW w:w="14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25.2%</w:t>
            </w:r>
          </w:p>
        </w:tc>
        <w:tc>
          <w:tcPr>
            <w:tcW w:w="14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22.4%</w:t>
            </w: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22.5%</w:t>
            </w:r>
          </w:p>
        </w:tc>
      </w:tr>
      <w:tr>
        <w:trPr>
          <w:trHeight w:val="206"/>
        </w:trPr>
        <w:tc>
          <w:tcPr>
            <w:tcW w:w="20" w:type="dxa"/>
            <w:vAlign w:val="bottom"/>
          </w:tcPr>
          <w:p>
            <w:pPr>
              <w:spacing w:after="0"/>
              <w:rPr>
                <w:sz w:val="17"/>
                <w:szCs w:val="17"/>
                <w:color w:val="auto"/>
              </w:rPr>
            </w:pPr>
          </w:p>
        </w:tc>
        <w:tc>
          <w:tcPr>
            <w:tcW w:w="5980" w:type="dxa"/>
            <w:vAlign w:val="bottom"/>
            <w:shd w:val="clear" w:color="auto" w:fill="CCEEFF"/>
          </w:tcPr>
          <w:p>
            <w:pPr>
              <w:spacing w:after="0" w:line="207" w:lineRule="exact"/>
              <w:rPr>
                <w:sz w:val="20"/>
                <w:szCs w:val="20"/>
                <w:color w:val="auto"/>
              </w:rPr>
            </w:pPr>
            <w:r>
              <w:rPr>
                <w:rFonts w:ascii="Arial" w:cs="Arial" w:eastAsia="Arial" w:hAnsi="Arial"/>
                <w:sz w:val="17"/>
                <w:szCs w:val="17"/>
                <w:color w:val="auto"/>
              </w:rPr>
              <w:t>Average unit volumes</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980" w:type="dxa"/>
            <w:vAlign w:val="bottom"/>
          </w:tcPr>
          <w:p>
            <w:pPr>
              <w:ind w:left="300"/>
              <w:spacing w:after="0"/>
              <w:rPr>
                <w:sz w:val="20"/>
                <w:szCs w:val="20"/>
                <w:color w:val="auto"/>
              </w:rPr>
            </w:pPr>
            <w:r>
              <w:rPr>
                <w:rFonts w:ascii="Arial" w:cs="Arial" w:eastAsia="Arial" w:hAnsi="Arial"/>
                <w:sz w:val="17"/>
                <w:szCs w:val="17"/>
                <w:color w:val="auto"/>
              </w:rPr>
              <w:t>Restaurant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850.5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828.3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1,665.7</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1,625.5</w:t>
            </w:r>
          </w:p>
        </w:tc>
        <w:tc>
          <w:tcPr>
            <w:tcW w:w="1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Retail</w:t>
            </w:r>
          </w:p>
        </w:tc>
        <w:tc>
          <w:tcPr>
            <w:tcW w:w="12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281.0</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279.1</w:t>
            </w:r>
          </w:p>
        </w:tc>
        <w:tc>
          <w:tcPr>
            <w:tcW w:w="14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480.2</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473.0</w:t>
            </w:r>
          </w:p>
        </w:tc>
      </w:tr>
      <w:tr>
        <w:trPr>
          <w:trHeight w:val="26"/>
        </w:trPr>
        <w:tc>
          <w:tcPr>
            <w:tcW w:w="20" w:type="dxa"/>
            <w:vAlign w:val="bottom"/>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5980" w:type="dxa"/>
            <w:vAlign w:val="bottom"/>
          </w:tcPr>
          <w:p>
            <w:pPr>
              <w:ind w:left="440"/>
              <w:spacing w:after="0"/>
              <w:rPr>
                <w:sz w:val="20"/>
                <w:szCs w:val="20"/>
                <w:color w:val="auto"/>
              </w:rPr>
            </w:pPr>
            <w:r>
              <w:rPr>
                <w:rFonts w:ascii="Arial" w:cs="Arial" w:eastAsia="Arial" w:hAnsi="Arial"/>
                <w:sz w:val="17"/>
                <w:szCs w:val="17"/>
                <w:color w:val="auto"/>
              </w:rPr>
              <w:t>Total revenue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1,131.5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1,107.4</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2,145.9</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2,098.5</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Comparable store sales increase: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980" w:type="dxa"/>
            <w:vAlign w:val="bottom"/>
          </w:tcPr>
          <w:p>
            <w:pPr>
              <w:ind w:left="300"/>
              <w:spacing w:after="0"/>
              <w:rPr>
                <w:sz w:val="20"/>
                <w:szCs w:val="20"/>
                <w:color w:val="auto"/>
              </w:rPr>
            </w:pPr>
            <w:r>
              <w:rPr>
                <w:rFonts w:ascii="Arial" w:cs="Arial" w:eastAsia="Arial" w:hAnsi="Arial"/>
                <w:sz w:val="17"/>
                <w:szCs w:val="17"/>
                <w:color w:val="auto"/>
              </w:rPr>
              <w:t>Restaurant</w:t>
            </w:r>
          </w:p>
        </w:tc>
        <w:tc>
          <w:tcPr>
            <w:tcW w:w="120" w:type="dxa"/>
            <w:vAlign w:val="bottom"/>
          </w:tcPr>
          <w:p>
            <w:pPr>
              <w:spacing w:after="0"/>
              <w:rPr>
                <w:sz w:val="17"/>
                <w:szCs w:val="17"/>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c>
          <w:tcPr>
            <w:tcW w:w="14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c>
          <w:tcPr>
            <w:tcW w:w="140" w:type="dxa"/>
            <w:vAlign w:val="bottom"/>
          </w:tcPr>
          <w:p>
            <w:pPr>
              <w:spacing w:after="0"/>
              <w:rPr>
                <w:sz w:val="17"/>
                <w:szCs w:val="17"/>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1.0%</w:t>
            </w:r>
          </w:p>
        </w:tc>
      </w:tr>
      <w:tr>
        <w:trPr>
          <w:trHeight w:val="206"/>
        </w:trPr>
        <w:tc>
          <w:tcPr>
            <w:tcW w:w="20" w:type="dxa"/>
            <w:vAlign w:val="bottom"/>
          </w:tcPr>
          <w:p>
            <w:pPr>
              <w:spacing w:after="0"/>
              <w:rPr>
                <w:sz w:val="17"/>
                <w:szCs w:val="17"/>
                <w:color w:val="auto"/>
              </w:rPr>
            </w:pPr>
          </w:p>
        </w:tc>
        <w:tc>
          <w:tcPr>
            <w:tcW w:w="5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Retail</w:t>
            </w:r>
          </w:p>
        </w:tc>
        <w:tc>
          <w:tcPr>
            <w:tcW w:w="12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w:t>
            </w:r>
          </w:p>
        </w:tc>
        <w:tc>
          <w:tcPr>
            <w:tcW w:w="14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7"/>
        </w:trPr>
        <w:tc>
          <w:tcPr>
            <w:tcW w:w="20" w:type="dxa"/>
            <w:vAlign w:val="bottom"/>
          </w:tcPr>
          <w:p>
            <w:pPr>
              <w:spacing w:after="0"/>
              <w:rPr>
                <w:sz w:val="18"/>
                <w:szCs w:val="18"/>
                <w:color w:val="auto"/>
              </w:rPr>
            </w:pPr>
          </w:p>
        </w:tc>
        <w:tc>
          <w:tcPr>
            <w:tcW w:w="5980" w:type="dxa"/>
            <w:vAlign w:val="bottom"/>
          </w:tcPr>
          <w:p>
            <w:pPr>
              <w:ind w:left="440"/>
              <w:spacing w:after="0"/>
              <w:rPr>
                <w:sz w:val="20"/>
                <w:szCs w:val="20"/>
                <w:color w:val="auto"/>
              </w:rPr>
            </w:pPr>
            <w:r>
              <w:rPr>
                <w:rFonts w:ascii="Arial" w:cs="Arial" w:eastAsia="Arial" w:hAnsi="Arial"/>
                <w:sz w:val="17"/>
                <w:szCs w:val="17"/>
                <w:color w:val="auto"/>
              </w:rPr>
              <w:t>Restaurant and retail</w:t>
            </w: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3.1%</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1.1%</w:t>
            </w:r>
          </w:p>
        </w:tc>
      </w:tr>
    </w:tbl>
    <w:p>
      <w:pPr>
        <w:spacing w:after="0" w:line="182" w:lineRule="exact"/>
        <w:rPr>
          <w:sz w:val="20"/>
          <w:szCs w:val="20"/>
          <w:color w:val="auto"/>
        </w:rPr>
      </w:pPr>
    </w:p>
    <w:p>
      <w:pPr>
        <w:ind w:left="40"/>
        <w:spacing w:after="0"/>
        <w:rPr>
          <w:sz w:val="20"/>
          <w:szCs w:val="20"/>
          <w:color w:val="auto"/>
        </w:rPr>
      </w:pPr>
      <w:r>
        <w:rPr>
          <w:rFonts w:ascii="Arial" w:cs="Arial" w:eastAsia="Arial" w:hAnsi="Arial"/>
          <w:sz w:val="24"/>
          <w:szCs w:val="24"/>
          <w:color w:val="auto"/>
          <w:vertAlign w:val="superscript"/>
        </w:rPr>
        <w:t>(1)</w:t>
      </w:r>
      <w:r>
        <w:rPr>
          <w:rFonts w:ascii="Arial" w:cs="Arial" w:eastAsia="Arial" w:hAnsi="Arial"/>
          <w:sz w:val="17"/>
          <w:szCs w:val="17"/>
          <w:color w:val="auto"/>
        </w:rPr>
        <w:t>Average unit volumes include sales of all stores.</w:t>
      </w:r>
    </w:p>
    <w:p>
      <w:pPr>
        <w:spacing w:after="0" w:line="164"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For the second quarter of 2013, our comparable store restaurant sales increase consisted of a 3.1% average check increase for the quarter (including a 2.6% average menu price increase) and a 0.2% guest traffic increase. For the first six months of 2013, our comparable store restaurant sales increase consisted of a 2.8% average check increase for the six months (including a 2.3% average menu price increase) and a 0.5% guest traffic increase.</w:t>
      </w:r>
    </w:p>
    <w:p>
      <w:pPr>
        <w:spacing w:after="0" w:line="18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For the second quarter and first six months of 2013, our comparable store retail sales increases resulted from strong performance in certain retail merchandise categories and the increases in guest traffic.</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Restaurant and retail sales from newly opened stores accounted for the balance of the total revenue increases in the second quarter and first six months of 2013 as compared to the same periods in the prior year.</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Goods Sold</w:t>
      </w:r>
    </w:p>
    <w:p>
      <w:pPr>
        <w:spacing w:after="0" w:line="24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The following table highlights the components of cost of goods sold in dollar amounts and percentages for the second quarter and first six months of 2013 as compared to the same periods in the prior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gridSpan w:val="6"/>
          </w:tcPr>
          <w:p>
            <w:pPr>
              <w:jc w:val="right"/>
              <w:ind w:right="1020"/>
              <w:spacing w:after="0"/>
              <w:rPr>
                <w:sz w:val="20"/>
                <w:szCs w:val="20"/>
                <w:color w:val="auto"/>
              </w:rPr>
            </w:pPr>
            <w:r>
              <w:rPr>
                <w:rFonts w:ascii="Arial" w:cs="Arial" w:eastAsia="Arial" w:hAnsi="Arial"/>
                <w:sz w:val="17"/>
                <w:szCs w:val="17"/>
                <w:color w:val="auto"/>
              </w:rPr>
              <w:t>Quarter Ended</w:t>
            </w:r>
          </w:p>
        </w:tc>
        <w:tc>
          <w:tcPr>
            <w:tcW w:w="140" w:type="dxa"/>
            <w:vAlign w:val="bottom"/>
          </w:tcPr>
          <w:p>
            <w:pPr>
              <w:spacing w:after="0"/>
              <w:rPr>
                <w:sz w:val="19"/>
                <w:szCs w:val="19"/>
                <w:color w:val="auto"/>
              </w:rPr>
            </w:pPr>
          </w:p>
        </w:tc>
        <w:tc>
          <w:tcPr>
            <w:tcW w:w="2520" w:type="dxa"/>
            <w:vAlign w:val="bottom"/>
            <w:gridSpan w:val="6"/>
          </w:tcPr>
          <w:p>
            <w:pPr>
              <w:jc w:val="right"/>
              <w:ind w:right="760"/>
              <w:spacing w:after="0"/>
              <w:rPr>
                <w:sz w:val="20"/>
                <w:szCs w:val="20"/>
                <w:color w:val="auto"/>
              </w:rPr>
            </w:pPr>
            <w:r>
              <w:rPr>
                <w:rFonts w:ascii="Arial" w:cs="Arial" w:eastAsia="Arial" w:hAnsi="Arial"/>
                <w:sz w:val="17"/>
                <w:szCs w:val="17"/>
                <w:color w:val="auto"/>
              </w:rPr>
              <w:t>Six Months Ended</w:t>
            </w:r>
          </w:p>
        </w:tc>
      </w:tr>
      <w:tr>
        <w:trPr>
          <w:trHeight w:val="194"/>
        </w:trPr>
        <w:tc>
          <w:tcPr>
            <w:tcW w:w="60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260"/>
              <w:spacing w:after="0" w:line="194" w:lineRule="exact"/>
              <w:rPr>
                <w:sz w:val="20"/>
                <w:szCs w:val="20"/>
                <w:color w:val="auto"/>
              </w:rPr>
            </w:pPr>
            <w:r>
              <w:rPr>
                <w:rFonts w:ascii="Arial" w:cs="Arial" w:eastAsia="Arial" w:hAnsi="Arial"/>
                <w:sz w:val="17"/>
                <w:szCs w:val="17"/>
                <w:color w:val="auto"/>
                <w:w w:val="91"/>
              </w:rPr>
              <w:t>February 1,</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4"/>
              <w:spacing w:after="0" w:line="194" w:lineRule="exact"/>
              <w:rPr>
                <w:sz w:val="20"/>
                <w:szCs w:val="20"/>
                <w:color w:val="auto"/>
              </w:rPr>
            </w:pPr>
            <w:r>
              <w:rPr>
                <w:rFonts w:ascii="Arial" w:cs="Arial" w:eastAsia="Arial" w:hAnsi="Arial"/>
                <w:sz w:val="17"/>
                <w:szCs w:val="17"/>
                <w:color w:val="auto"/>
                <w:w w:val="90"/>
              </w:rPr>
              <w:t>January 27,</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60"/>
              <w:spacing w:after="0" w:line="194" w:lineRule="exact"/>
              <w:rPr>
                <w:sz w:val="20"/>
                <w:szCs w:val="20"/>
                <w:color w:val="auto"/>
              </w:rPr>
            </w:pPr>
            <w:r>
              <w:rPr>
                <w:rFonts w:ascii="Arial" w:cs="Arial" w:eastAsia="Arial" w:hAnsi="Arial"/>
                <w:sz w:val="17"/>
                <w:szCs w:val="17"/>
                <w:color w:val="auto"/>
                <w:w w:val="89"/>
              </w:rPr>
              <w:t>February 1,</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4"/>
              <w:spacing w:after="0" w:line="194" w:lineRule="exact"/>
              <w:rPr>
                <w:sz w:val="20"/>
                <w:szCs w:val="20"/>
                <w:color w:val="auto"/>
              </w:rPr>
            </w:pPr>
            <w:r>
              <w:rPr>
                <w:rFonts w:ascii="Arial" w:cs="Arial" w:eastAsia="Arial" w:hAnsi="Arial"/>
                <w:sz w:val="17"/>
                <w:szCs w:val="17"/>
                <w:color w:val="auto"/>
                <w:w w:val="90"/>
              </w:rPr>
              <w:t>January 27,</w:t>
            </w:r>
          </w:p>
        </w:tc>
        <w:tc>
          <w:tcPr>
            <w:tcW w:w="160" w:type="dxa"/>
            <w:vAlign w:val="bottom"/>
          </w:tcPr>
          <w:p>
            <w:pPr>
              <w:spacing w:after="0"/>
              <w:rPr>
                <w:sz w:val="16"/>
                <w:szCs w:val="16"/>
                <w:color w:val="auto"/>
              </w:rPr>
            </w:pPr>
          </w:p>
        </w:tc>
      </w:tr>
      <w:tr>
        <w:trPr>
          <w:trHeight w:val="225"/>
        </w:trPr>
        <w:tc>
          <w:tcPr>
            <w:tcW w:w="6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2012</w:t>
            </w:r>
          </w:p>
        </w:tc>
        <w:tc>
          <w:tcPr>
            <w:tcW w:w="160" w:type="dxa"/>
            <w:vAlign w:val="bottom"/>
          </w:tcPr>
          <w:p>
            <w:pPr>
              <w:spacing w:after="0"/>
              <w:rPr>
                <w:sz w:val="19"/>
                <w:szCs w:val="19"/>
                <w:color w:val="auto"/>
              </w:rPr>
            </w:pPr>
          </w:p>
        </w:tc>
      </w:tr>
      <w:tr>
        <w:trPr>
          <w:trHeight w:val="206"/>
        </w:trPr>
        <w:tc>
          <w:tcPr>
            <w:tcW w:w="6000" w:type="dxa"/>
            <w:vAlign w:val="bottom"/>
          </w:tcPr>
          <w:p>
            <w:pPr>
              <w:spacing w:after="0"/>
              <w:rPr>
                <w:sz w:val="20"/>
                <w:szCs w:val="20"/>
                <w:color w:val="auto"/>
              </w:rPr>
            </w:pPr>
            <w:r>
              <w:rPr>
                <w:rFonts w:ascii="Arial" w:cs="Arial" w:eastAsia="Arial" w:hAnsi="Arial"/>
                <w:sz w:val="17"/>
                <w:szCs w:val="17"/>
                <w:color w:val="auto"/>
              </w:rPr>
              <w:t>Cost of Goods Sold in dollars: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146,338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138,456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281,521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266,152</w:t>
            </w:r>
          </w:p>
        </w:tc>
      </w:tr>
      <w:tr>
        <w:trPr>
          <w:trHeight w:val="206"/>
        </w:trPr>
        <w:tc>
          <w:tcPr>
            <w:tcW w:w="6000" w:type="dxa"/>
            <w:vAlign w:val="bottom"/>
          </w:tcPr>
          <w:p>
            <w:pPr>
              <w:ind w:left="160"/>
              <w:spacing w:after="0"/>
              <w:rPr>
                <w:sz w:val="20"/>
                <w:szCs w:val="20"/>
                <w:color w:val="auto"/>
              </w:rPr>
            </w:pPr>
            <w:r>
              <w:rPr>
                <w:rFonts w:ascii="Arial" w:cs="Arial" w:eastAsia="Arial" w:hAnsi="Arial"/>
                <w:sz w:val="17"/>
                <w:szCs w:val="17"/>
                <w:color w:val="auto"/>
              </w:rPr>
              <w:t>Retail</w:t>
            </w: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97,849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96,935</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160,524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155,546</w:t>
            </w:r>
          </w:p>
        </w:tc>
      </w:tr>
      <w:tr>
        <w:trPr>
          <w:trHeight w:val="26"/>
        </w:trPr>
        <w:tc>
          <w:tcPr>
            <w:tcW w:w="6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26"/>
        </w:trPr>
        <w:tc>
          <w:tcPr>
            <w:tcW w:w="6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Cost of Goods Sold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244,187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235,391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442,045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421,698</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00" w:type="dxa"/>
            <w:vAlign w:val="bottom"/>
          </w:tcPr>
          <w:p>
            <w:pPr>
              <w:spacing w:after="0"/>
              <w:rPr>
                <w:sz w:val="20"/>
                <w:szCs w:val="20"/>
                <w:color w:val="auto"/>
              </w:rPr>
            </w:pPr>
            <w:r>
              <w:rPr>
                <w:rFonts w:ascii="Arial" w:cs="Arial" w:eastAsia="Arial" w:hAnsi="Arial"/>
                <w:sz w:val="17"/>
                <w:szCs w:val="17"/>
                <w:color w:val="auto"/>
              </w:rPr>
              <w:t>Cost of Goods Sold by percentage of revenue: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6"/>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27.7%</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27.0%</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6000" w:type="dxa"/>
            <w:vAlign w:val="bottom"/>
          </w:tcPr>
          <w:p>
            <w:pPr>
              <w:ind w:left="160"/>
              <w:spacing w:after="0"/>
              <w:rPr>
                <w:sz w:val="20"/>
                <w:szCs w:val="20"/>
                <w:color w:val="auto"/>
              </w:rPr>
            </w:pPr>
            <w:r>
              <w:rPr>
                <w:rFonts w:ascii="Arial" w:cs="Arial" w:eastAsia="Arial" w:hAnsi="Arial"/>
                <w:sz w:val="17"/>
                <w:szCs w:val="17"/>
                <w:color w:val="auto"/>
              </w:rPr>
              <w:t>Retail</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56.1%</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57.1%</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53.9%</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54.3%</w:t>
            </w:r>
          </w:p>
        </w:tc>
      </w:tr>
      <w:tr>
        <w:trPr>
          <w:trHeight w:val="20"/>
        </w:trPr>
        <w:tc>
          <w:tcPr>
            <w:tcW w:w="6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0" w:lineRule="exact"/>
        <w:rPr>
          <w:sz w:val="20"/>
          <w:szCs w:val="20"/>
          <w:color w:val="auto"/>
        </w:rPr>
      </w:pPr>
    </w:p>
    <w:p>
      <w:pPr>
        <w:ind w:right="40" w:firstLine="620"/>
        <w:spacing w:after="0" w:line="258" w:lineRule="auto"/>
        <w:rPr>
          <w:sz w:val="20"/>
          <w:szCs w:val="20"/>
          <w:color w:val="auto"/>
        </w:rPr>
      </w:pPr>
      <w:r>
        <w:rPr>
          <w:rFonts w:ascii="Arial" w:cs="Arial" w:eastAsia="Arial" w:hAnsi="Arial"/>
          <w:sz w:val="17"/>
          <w:szCs w:val="17"/>
          <w:color w:val="auto"/>
        </w:rPr>
        <w:t>The increases in restaurant cost of goods sold as a percentage of restaurant revenue in the second quarter and the first six months of 2013 as compared to the same periods in the prior year were primarily the result of food commodity inflation and a shift to higher cost menu items. These increases were partially offset by our menu price increases referenced above and a reduction in food waste. Higher cost menu items accounted for a 0.4% increase in restaurant cost of goods sold as a percentage of restaurant revenue in both the second quarter and first six months of 2013. The reduction in food waste accounted for a 0.2% decrease in restaurant cost of goods sold as a percentage of restaurant revenue in both the second quarter and first six months of 2013. Commodity inflation was 2.5% in both the second quarter and first six months of 2013.</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presently expect the rate of commodity inflation to be approximately 4% to 5% for the current year.</w:t>
      </w:r>
    </w:p>
    <w:p>
      <w:pPr>
        <w:spacing w:after="0" w:line="243"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The decrease in retail cost of goods sold as a percentage of retail revenue in the second quarter of 2013 as compared to the prior year quarter resulted primarily from lower markdowns and a decrease in inventory reserves partially offset by higher purchase costs for certain retail merchandise. Better in-season management of inventory resulted in lower markdowns and lower levels of aged retail inventory resulted in the decrease in inventory reserves.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48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Second Quarter</w:t>
            </w:r>
          </w:p>
        </w:tc>
      </w:tr>
      <w:tr>
        <w:trPr>
          <w:trHeight w:val="206"/>
        </w:trPr>
        <w:tc>
          <w:tcPr>
            <w:tcW w:w="2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2480" w:type="dxa"/>
            <w:vAlign w:val="bottom"/>
            <w:gridSpan w:val="2"/>
          </w:tcPr>
          <w:p>
            <w:pPr>
              <w:jc w:val="center"/>
              <w:ind w:right="260"/>
              <w:spacing w:after="0"/>
              <w:rPr>
                <w:sz w:val="20"/>
                <w:szCs w:val="20"/>
                <w:color w:val="auto"/>
              </w:rPr>
            </w:pPr>
            <w:r>
              <w:rPr>
                <w:rFonts w:ascii="Arial" w:cs="Arial" w:eastAsia="Arial" w:hAnsi="Arial"/>
                <w:sz w:val="17"/>
                <w:szCs w:val="17"/>
                <w:color w:val="auto"/>
                <w:w w:val="87"/>
              </w:rPr>
              <w:t>(Decrease) Increase as</w:t>
            </w:r>
          </w:p>
        </w:tc>
      </w:tr>
      <w:tr>
        <w:trPr>
          <w:trHeight w:val="225"/>
        </w:trPr>
        <w:tc>
          <w:tcPr>
            <w:tcW w:w="2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a Percentage of Retail Revenue</w:t>
            </w:r>
          </w:p>
        </w:tc>
        <w:tc>
          <w:tcPr>
            <w:tcW w:w="2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Markdowns</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w:t>
            </w:r>
          </w:p>
        </w:tc>
      </w:tr>
      <w:tr>
        <w:trPr>
          <w:trHeight w:val="206"/>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Arial" w:cs="Arial" w:eastAsia="Arial" w:hAnsi="Arial"/>
                <w:sz w:val="17"/>
                <w:szCs w:val="17"/>
                <w:color w:val="auto"/>
              </w:rPr>
              <w:t>Inventory reserves</w:t>
            </w:r>
          </w:p>
        </w:tc>
        <w:tc>
          <w:tcPr>
            <w:tcW w:w="2480" w:type="dxa"/>
            <w:vAlign w:val="bottom"/>
            <w:gridSpan w:val="2"/>
          </w:tcPr>
          <w:p>
            <w:pPr>
              <w:jc w:val="right"/>
              <w:ind w:right="20"/>
              <w:spacing w:after="0"/>
              <w:rPr>
                <w:sz w:val="20"/>
                <w:szCs w:val="20"/>
                <w:color w:val="auto"/>
              </w:rPr>
            </w:pPr>
            <w:r>
              <w:rPr>
                <w:rFonts w:ascii="Arial" w:cs="Arial" w:eastAsia="Arial" w:hAnsi="Arial"/>
                <w:sz w:val="17"/>
                <w:szCs w:val="17"/>
                <w:color w:val="auto"/>
              </w:rPr>
              <w:t>(0.5%)</w:t>
            </w:r>
          </w:p>
        </w:tc>
      </w:tr>
      <w:tr>
        <w:trPr>
          <w:trHeight w:val="206"/>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Cost of purchases</w:t>
            </w:r>
          </w:p>
        </w:tc>
        <w:tc>
          <w:tcPr>
            <w:tcW w:w="2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0.6%</w:t>
            </w:r>
          </w:p>
        </w:tc>
      </w:tr>
    </w:tbl>
    <w:p>
      <w:pPr>
        <w:spacing w:after="0" w:line="220"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The decrease in retail cost of goods sold as a percentage of retail revenue in the first six months of 2013 as compared to the prior year resulted primarily from lower markdowns.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Labor and Related Expenses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Labor and related expenses include all direct and indirect labor and related costs incurred in store operations. Labor and related expenses as a percentage of total revenue decreased to 34.8% in the second quarter of 2013 as compared to 34.9% in the second quarter of 2012. This percentage change resulted from the following:</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28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Second Quarter</w:t>
            </w:r>
          </w:p>
        </w:tc>
      </w:tr>
      <w:tr>
        <w:trPr>
          <w:trHeight w:val="206"/>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(Decrease) Increase as a</w:t>
            </w:r>
          </w:p>
        </w:tc>
      </w:tr>
      <w:tr>
        <w:trPr>
          <w:trHeight w:val="225"/>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Percentage of Total Revenue</w:t>
            </w:r>
          </w:p>
        </w:tc>
        <w:tc>
          <w:tcPr>
            <w:tcW w:w="2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Store hourly labor</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(0.4%)</w:t>
            </w:r>
          </w:p>
        </w:tc>
      </w:tr>
      <w:tr>
        <w:trPr>
          <w:trHeight w:val="206"/>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Employee health care expenses</w:t>
            </w:r>
          </w:p>
        </w:tc>
        <w:tc>
          <w:tcPr>
            <w:tcW w:w="2280" w:type="dxa"/>
            <w:vAlign w:val="bottom"/>
            <w:gridSpan w:val="2"/>
          </w:tcPr>
          <w:p>
            <w:pPr>
              <w:jc w:val="right"/>
              <w:ind w:right="80"/>
              <w:spacing w:after="0"/>
              <w:rPr>
                <w:sz w:val="20"/>
                <w:szCs w:val="20"/>
                <w:color w:val="auto"/>
              </w:rPr>
            </w:pPr>
            <w:r>
              <w:rPr>
                <w:rFonts w:ascii="Arial" w:cs="Arial" w:eastAsia="Arial" w:hAnsi="Arial"/>
                <w:sz w:val="17"/>
                <w:szCs w:val="17"/>
                <w:color w:val="auto"/>
              </w:rPr>
              <w:t>0.2%</w:t>
            </w:r>
          </w:p>
        </w:tc>
      </w:tr>
      <w:tr>
        <w:trPr>
          <w:trHeight w:val="206"/>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Store management compensation</w:t>
            </w:r>
          </w:p>
        </w:tc>
        <w:tc>
          <w:tcPr>
            <w:tcW w:w="2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w:t>
            </w:r>
          </w:p>
        </w:tc>
      </w:tr>
    </w:tbl>
    <w:p>
      <w:pPr>
        <w:spacing w:after="0" w:line="220"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Labor and related expenses as a percentage of total revenue remained flat at 35.9% in the first six months of 2013 as compared to the first six months of 2012 as a result of the following offsetting variances: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28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Six Month Period</w:t>
            </w:r>
          </w:p>
        </w:tc>
      </w:tr>
      <w:tr>
        <w:trPr>
          <w:trHeight w:val="206"/>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(Decrease) Increase as a</w:t>
            </w:r>
          </w:p>
        </w:tc>
      </w:tr>
      <w:tr>
        <w:trPr>
          <w:trHeight w:val="225"/>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Percentage of Total Revenue</w:t>
            </w:r>
          </w:p>
        </w:tc>
        <w:tc>
          <w:tcPr>
            <w:tcW w:w="2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Store hourly labor</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(0.5%)</w:t>
            </w:r>
          </w:p>
        </w:tc>
      </w:tr>
      <w:tr>
        <w:trPr>
          <w:trHeight w:val="206"/>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Employee health care expenses</w:t>
            </w:r>
          </w:p>
        </w:tc>
        <w:tc>
          <w:tcPr>
            <w:tcW w:w="2280" w:type="dxa"/>
            <w:vAlign w:val="bottom"/>
            <w:gridSpan w:val="2"/>
          </w:tcPr>
          <w:p>
            <w:pPr>
              <w:jc w:val="right"/>
              <w:ind w:right="80"/>
              <w:spacing w:after="0"/>
              <w:rPr>
                <w:sz w:val="20"/>
                <w:szCs w:val="20"/>
                <w:color w:val="auto"/>
              </w:rPr>
            </w:pPr>
            <w:r>
              <w:rPr>
                <w:rFonts w:ascii="Arial" w:cs="Arial" w:eastAsia="Arial" w:hAnsi="Arial"/>
                <w:sz w:val="17"/>
                <w:szCs w:val="17"/>
                <w:color w:val="auto"/>
              </w:rPr>
              <w:t>0.3%</w:t>
            </w:r>
          </w:p>
        </w:tc>
      </w:tr>
      <w:tr>
        <w:trPr>
          <w:trHeight w:val="206"/>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Store management compensation</w:t>
            </w:r>
          </w:p>
        </w:tc>
        <w:tc>
          <w:tcPr>
            <w:tcW w:w="2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0.1%</w:t>
            </w:r>
          </w:p>
        </w:tc>
      </w:tr>
      <w:tr>
        <w:trPr>
          <w:trHeight w:val="21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Workers’ compensation expense</w:t>
            </w:r>
          </w:p>
        </w:tc>
        <w:tc>
          <w:tcPr>
            <w:tcW w:w="2280" w:type="dxa"/>
            <w:vAlign w:val="bottom"/>
            <w:gridSpan w:val="2"/>
          </w:tcPr>
          <w:p>
            <w:pPr>
              <w:jc w:val="right"/>
              <w:ind w:right="80"/>
              <w:spacing w:after="0"/>
              <w:rPr>
                <w:sz w:val="20"/>
                <w:szCs w:val="20"/>
                <w:color w:val="auto"/>
              </w:rPr>
            </w:pPr>
            <w:r>
              <w:rPr>
                <w:rFonts w:ascii="Arial" w:cs="Arial" w:eastAsia="Arial" w:hAnsi="Arial"/>
                <w:sz w:val="17"/>
                <w:szCs w:val="17"/>
                <w:color w:val="auto"/>
              </w:rPr>
              <w:t>0.1%</w:t>
            </w:r>
          </w:p>
        </w:tc>
      </w:tr>
    </w:tbl>
    <w:p>
      <w:pPr>
        <w:spacing w:after="0" w:line="20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decreases in store hourly labor costs as a percentage of total revenue for the second quarter and first six months of 2013 as compared to the same periods in the prior year resulted from menu price increases being higher than wage inflation and improved productivity.</w:t>
      </w:r>
    </w:p>
    <w:p>
      <w:pPr>
        <w:spacing w:after="0" w:line="189"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The increases in our employee health care expenses in the second quarter and first six months of 2013 as compared to the same periods in the prior year resulted from reimbursements for certain health insurance premiums in the prior-year periods. Our fully-insured portion of our health insurance program contains a retrospective feature which could increase or decrease premiums based on actual claims experience. As a result of lower claims experience in calendar 2011, we recorded an approximate $1,500 receivable in the second quarter of 2012 and a total receivable of approximately $4,000 for the first six months of 2012 for reimbursement of certain health insurance premiums paid in prior periods of calendar 2011. In contrast, due to higher claims experience in calendar 2012, we currently expect to incur additional expense for health insurance premiums in 2013.</w:t>
      </w:r>
    </w:p>
    <w:p>
      <w:pPr>
        <w:spacing w:after="0" w:line="210"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The increases in store management compensation in the second quarter and first six months of 2013 as compared to the same periods in the prior year resulted primarily from higher store bonus expense as a result of better performance against financial objectives in 2013 as compared to the prior year.</w:t>
      </w:r>
    </w:p>
    <w:p>
      <w:pPr>
        <w:spacing w:after="0" w:line="167"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On a quarterly basis, we perform limited scope actuarial studies on our workers’ compensation reserves. Although these actuarial reviews resulted in reductions in our workers’ compensation expense in the first six months of both 2013 and 2012, we recorded a significantly larger reduction in the first six months of 2012 as compared to the first six months of 2013.</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Store Operating Expenses</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Other store operating expenses include all store-level operating costs, the major components of which are utilities, operating supplies, repairs and maintenance, depreciation and amortization, advertising, rent, credit card fees, real and personal property taxes and general insurance.</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Other store operating expenses as a percentage of total revenue decreased to 17.4% in the second quarter of 2013 as compared to 17.7% in the second quarter of 2012. This percentage change resulted primarily from the following:</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32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Second Quarter</w:t>
            </w:r>
          </w:p>
        </w:tc>
      </w:tr>
      <w:tr>
        <w:trPr>
          <w:trHeight w:val="206"/>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320" w:type="dxa"/>
            <w:vAlign w:val="bottom"/>
            <w:gridSpan w:val="2"/>
          </w:tcPr>
          <w:p>
            <w:pPr>
              <w:jc w:val="center"/>
              <w:ind w:right="260"/>
              <w:spacing w:after="0"/>
              <w:rPr>
                <w:sz w:val="20"/>
                <w:szCs w:val="20"/>
                <w:color w:val="auto"/>
              </w:rPr>
            </w:pPr>
            <w:r>
              <w:rPr>
                <w:rFonts w:ascii="Arial" w:cs="Arial" w:eastAsia="Arial" w:hAnsi="Arial"/>
                <w:sz w:val="17"/>
                <w:szCs w:val="17"/>
                <w:color w:val="auto"/>
                <w:w w:val="86"/>
              </w:rPr>
              <w:t>(Decrease) Increase as a</w:t>
            </w:r>
          </w:p>
        </w:tc>
      </w:tr>
      <w:tr>
        <w:trPr>
          <w:trHeight w:val="225"/>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Percentage of Total Revenue</w:t>
            </w:r>
          </w:p>
        </w:tc>
        <w:tc>
          <w:tcPr>
            <w:tcW w:w="2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Advertising expense</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w:t>
            </w:r>
          </w:p>
        </w:tc>
      </w:tr>
      <w:tr>
        <w:trPr>
          <w:trHeight w:val="206"/>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Utilities expense</w:t>
            </w:r>
          </w:p>
        </w:tc>
        <w:tc>
          <w:tcPr>
            <w:tcW w:w="2320" w:type="dxa"/>
            <w:vAlign w:val="bottom"/>
            <w:gridSpan w:val="2"/>
          </w:tcPr>
          <w:p>
            <w:pPr>
              <w:jc w:val="right"/>
              <w:ind w:right="20"/>
              <w:spacing w:after="0"/>
              <w:rPr>
                <w:sz w:val="20"/>
                <w:szCs w:val="20"/>
                <w:color w:val="auto"/>
              </w:rPr>
            </w:pPr>
            <w:r>
              <w:rPr>
                <w:rFonts w:ascii="Arial" w:cs="Arial" w:eastAsia="Arial" w:hAnsi="Arial"/>
                <w:sz w:val="17"/>
                <w:szCs w:val="17"/>
                <w:color w:val="auto"/>
              </w:rPr>
              <w:t>(0.1%)</w:t>
            </w:r>
          </w:p>
        </w:tc>
      </w:tr>
      <w:tr>
        <w:trPr>
          <w:trHeight w:val="206"/>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Supplies expense</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r>
      <w:tr>
        <w:trPr>
          <w:trHeight w:val="217"/>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Maintenance expense</w:t>
            </w:r>
          </w:p>
        </w:tc>
        <w:tc>
          <w:tcPr>
            <w:tcW w:w="2320" w:type="dxa"/>
            <w:vAlign w:val="bottom"/>
            <w:gridSpan w:val="2"/>
          </w:tcPr>
          <w:p>
            <w:pPr>
              <w:jc w:val="right"/>
              <w:ind w:right="80"/>
              <w:spacing w:after="0"/>
              <w:rPr>
                <w:sz w:val="20"/>
                <w:szCs w:val="20"/>
                <w:color w:val="auto"/>
              </w:rPr>
            </w:pPr>
            <w:r>
              <w:rPr>
                <w:rFonts w:ascii="Arial" w:cs="Arial" w:eastAsia="Arial" w:hAnsi="Arial"/>
                <w:sz w:val="17"/>
                <w:szCs w:val="17"/>
                <w:color w:val="auto"/>
              </w:rPr>
              <w:t>0.2%</w:t>
            </w:r>
          </w:p>
        </w:tc>
      </w:tr>
    </w:tbl>
    <w:p>
      <w:pPr>
        <w:spacing w:after="0" w:line="20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The decrease in advertising expense resulted primarily from the timing of production costs for our “Handcrafted by Cracker Barrel” advertising campaign as compared to the prior year. Lower utilities expense resulted primarily from lower electricity costs. Lower supplies expense resulted primarily from a decrease in printed materials and to-go packaging costs. Higher maintenance expenses resulted primarily from an increase in preventative maintenance and kitchen equipment costs.</w:t>
      </w:r>
    </w:p>
    <w:p>
      <w:pPr>
        <w:spacing w:after="0" w:line="205"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Other store operating expenses as a percentage of total revenue increased to 18.0% in the first six months of 2013 as compared to 17.9% in the first six months of 2012. This percentage change resulted from the following:</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32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Six Month Period</w:t>
            </w:r>
          </w:p>
        </w:tc>
      </w:tr>
      <w:tr>
        <w:trPr>
          <w:trHeight w:val="206"/>
        </w:trPr>
        <w:tc>
          <w:tcPr>
            <w:tcW w:w="2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320" w:type="dxa"/>
            <w:vAlign w:val="bottom"/>
            <w:gridSpan w:val="2"/>
          </w:tcPr>
          <w:p>
            <w:pPr>
              <w:jc w:val="center"/>
              <w:ind w:right="260"/>
              <w:spacing w:after="0"/>
              <w:rPr>
                <w:sz w:val="20"/>
                <w:szCs w:val="20"/>
                <w:color w:val="auto"/>
              </w:rPr>
            </w:pPr>
            <w:r>
              <w:rPr>
                <w:rFonts w:ascii="Arial" w:cs="Arial" w:eastAsia="Arial" w:hAnsi="Arial"/>
                <w:sz w:val="17"/>
                <w:szCs w:val="17"/>
                <w:color w:val="auto"/>
                <w:w w:val="86"/>
              </w:rPr>
              <w:t>Increase (Decrease) as a</w:t>
            </w:r>
          </w:p>
        </w:tc>
      </w:tr>
      <w:tr>
        <w:trPr>
          <w:trHeight w:val="225"/>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Percentage of Total Revenue</w:t>
            </w:r>
          </w:p>
        </w:tc>
        <w:tc>
          <w:tcPr>
            <w:tcW w:w="2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Litigation settlement</w:t>
            </w:r>
          </w:p>
        </w:tc>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0.2%</w:t>
            </w:r>
          </w:p>
        </w:tc>
      </w:tr>
      <w:tr>
        <w:trPr>
          <w:trHeight w:val="206"/>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Arial" w:cs="Arial" w:eastAsia="Arial" w:hAnsi="Arial"/>
                <w:sz w:val="17"/>
                <w:szCs w:val="17"/>
                <w:color w:val="auto"/>
              </w:rPr>
              <w:t>Maintenance expense</w:t>
            </w:r>
          </w:p>
        </w:tc>
        <w:tc>
          <w:tcPr>
            <w:tcW w:w="2320" w:type="dxa"/>
            <w:vAlign w:val="bottom"/>
            <w:gridSpan w:val="2"/>
          </w:tcPr>
          <w:p>
            <w:pPr>
              <w:jc w:val="right"/>
              <w:ind w:right="80"/>
              <w:spacing w:after="0"/>
              <w:rPr>
                <w:sz w:val="20"/>
                <w:szCs w:val="20"/>
                <w:color w:val="auto"/>
              </w:rPr>
            </w:pPr>
            <w:r>
              <w:rPr>
                <w:rFonts w:ascii="Arial" w:cs="Arial" w:eastAsia="Arial" w:hAnsi="Arial"/>
                <w:sz w:val="17"/>
                <w:szCs w:val="17"/>
                <w:color w:val="auto"/>
              </w:rPr>
              <w:t>0.1%</w:t>
            </w:r>
          </w:p>
        </w:tc>
      </w:tr>
      <w:tr>
        <w:trPr>
          <w:trHeight w:val="206"/>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Utilities expense</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w:t>
            </w:r>
          </w:p>
        </w:tc>
      </w:tr>
    </w:tbl>
    <w:p>
      <w:pPr>
        <w:spacing w:after="0" w:line="220" w:lineRule="exact"/>
        <w:rPr>
          <w:sz w:val="20"/>
          <w:szCs w:val="20"/>
          <w:color w:val="auto"/>
        </w:rPr>
      </w:pPr>
    </w:p>
    <w:p>
      <w:pPr>
        <w:jc w:val="both"/>
        <w:ind w:firstLine="620"/>
        <w:spacing w:after="0" w:line="318" w:lineRule="auto"/>
        <w:rPr>
          <w:sz w:val="20"/>
          <w:szCs w:val="20"/>
          <w:color w:val="auto"/>
        </w:rPr>
      </w:pPr>
      <w:r>
        <w:rPr>
          <w:rFonts w:ascii="Arial" w:cs="Arial" w:eastAsia="Arial" w:hAnsi="Arial"/>
          <w:sz w:val="15"/>
          <w:szCs w:val="15"/>
          <w:color w:val="auto"/>
        </w:rPr>
        <w:t>The increase in other store operating expenses in the first six months of 2013 as compared to the first six months of 2012 resulted primarily from a litigation settlement received in the first quarter of 2012 and higher maintenance expense partially offset by lower utilities expense. Higher maintenance expenses resulted primarily from an increase in preventative maintenance and kitchen equipment costs. Lower utilities expense resulted primarily from lower electricity costs.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and Administrative Expenses</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General and administrative expenses as a percentage of total revenue decreased to 4.9% in the second quarter of 2013 as compared to 5.4% in the second quarter of 2012. This percentage change resulted primarily from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Second Quarter</w:t>
            </w:r>
          </w:p>
        </w:tc>
        <w:tc>
          <w:tcPr>
            <w:tcW w:w="1140" w:type="dxa"/>
            <w:vAlign w:val="bottom"/>
          </w:tcPr>
          <w:p>
            <w:pPr>
              <w:spacing w:after="0"/>
              <w:rPr>
                <w:sz w:val="17"/>
                <w:szCs w:val="17"/>
                <w:color w:val="auto"/>
              </w:rPr>
            </w:pPr>
          </w:p>
        </w:tc>
      </w:tr>
      <w:tr>
        <w:trPr>
          <w:trHeight w:val="206"/>
        </w:trPr>
        <w:tc>
          <w:tcPr>
            <w:tcW w:w="11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(Decrease) Increase as a</w:t>
            </w:r>
          </w:p>
        </w:tc>
        <w:tc>
          <w:tcPr>
            <w:tcW w:w="1140" w:type="dxa"/>
            <w:vAlign w:val="bottom"/>
          </w:tcPr>
          <w:p>
            <w:pPr>
              <w:spacing w:after="0"/>
              <w:rPr>
                <w:sz w:val="17"/>
                <w:szCs w:val="17"/>
                <w:color w:val="auto"/>
              </w:rPr>
            </w:pPr>
          </w:p>
        </w:tc>
      </w:tr>
      <w:tr>
        <w:trPr>
          <w:trHeight w:val="225"/>
        </w:trPr>
        <w:tc>
          <w:tcPr>
            <w:tcW w:w="11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Percentage of Total Revenue</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6"/>
        </w:trPr>
        <w:tc>
          <w:tcPr>
            <w:tcW w:w="1160" w:type="dxa"/>
            <w:vAlign w:val="bottom"/>
          </w:tcPr>
          <w:p>
            <w:pPr>
              <w:spacing w:after="0"/>
              <w:rPr>
                <w:sz w:val="17"/>
                <w:szCs w:val="17"/>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Proxy contest expenses</w:t>
            </w:r>
          </w:p>
        </w:tc>
        <w:tc>
          <w:tcPr>
            <w:tcW w:w="60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(0.3%)</w:t>
            </w:r>
          </w:p>
        </w:tc>
        <w:tc>
          <w:tcPr>
            <w:tcW w:w="1140" w:type="dxa"/>
            <w:vAlign w:val="bottom"/>
          </w:tcPr>
          <w:p>
            <w:pPr>
              <w:spacing w:after="0"/>
              <w:rPr>
                <w:sz w:val="17"/>
                <w:szCs w:val="17"/>
                <w:color w:val="auto"/>
              </w:rPr>
            </w:pPr>
          </w:p>
        </w:tc>
      </w:tr>
      <w:tr>
        <w:trPr>
          <w:trHeight w:val="217"/>
        </w:trPr>
        <w:tc>
          <w:tcPr>
            <w:tcW w:w="11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Incentive compensation</w:t>
            </w:r>
          </w:p>
        </w:tc>
        <w:tc>
          <w:tcPr>
            <w:tcW w:w="6060" w:type="dxa"/>
            <w:vAlign w:val="bottom"/>
            <w:gridSpan w:val="3"/>
          </w:tcPr>
          <w:p>
            <w:pPr>
              <w:jc w:val="right"/>
              <w:ind w:right="20"/>
              <w:spacing w:after="0"/>
              <w:rPr>
                <w:sz w:val="20"/>
                <w:szCs w:val="20"/>
                <w:color w:val="auto"/>
              </w:rPr>
            </w:pPr>
            <w:r>
              <w:rPr>
                <w:rFonts w:ascii="Arial" w:cs="Arial" w:eastAsia="Arial" w:hAnsi="Arial"/>
                <w:sz w:val="17"/>
                <w:szCs w:val="17"/>
                <w:color w:val="auto"/>
              </w:rPr>
              <w:t>(0.1%)</w:t>
            </w:r>
          </w:p>
        </w:tc>
        <w:tc>
          <w:tcPr>
            <w:tcW w:w="1140" w:type="dxa"/>
            <w:vAlign w:val="bottom"/>
          </w:tcPr>
          <w:p>
            <w:pPr>
              <w:spacing w:after="0"/>
              <w:rPr>
                <w:sz w:val="18"/>
                <w:szCs w:val="18"/>
                <w:color w:val="auto"/>
              </w:rPr>
            </w:pPr>
          </w:p>
        </w:tc>
      </w:tr>
      <w:tr>
        <w:trPr>
          <w:trHeight w:val="520"/>
        </w:trPr>
        <w:tc>
          <w:tcPr>
            <w:tcW w:w="1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780" w:type="dxa"/>
            <w:vAlign w:val="bottom"/>
          </w:tcPr>
          <w:p>
            <w:pPr>
              <w:jc w:val="right"/>
              <w:ind w:right="2140"/>
              <w:spacing w:after="0"/>
              <w:rPr>
                <w:sz w:val="20"/>
                <w:szCs w:val="20"/>
                <w:color w:val="auto"/>
              </w:rPr>
            </w:pPr>
            <w:r>
              <w:rPr>
                <w:rFonts w:ascii="Arial" w:cs="Arial" w:eastAsia="Arial" w:hAnsi="Arial"/>
                <w:sz w:val="14"/>
                <w:szCs w:val="14"/>
                <w:color w:val="auto"/>
              </w:rPr>
              <w:t>19</w:t>
            </w: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8"/>
        </w:trPr>
        <w:tc>
          <w:tcPr>
            <w:tcW w:w="1160" w:type="dxa"/>
            <w:vAlign w:val="bottom"/>
            <w:tcBorders>
              <w:bottom w:val="single" w:sz="8" w:color="808080"/>
            </w:tcBorders>
          </w:tcPr>
          <w:p>
            <w:pPr>
              <w:spacing w:after="0"/>
              <w:rPr>
                <w:sz w:val="8"/>
                <w:szCs w:val="8"/>
                <w:color w:val="auto"/>
              </w:rPr>
            </w:pPr>
          </w:p>
        </w:tc>
        <w:tc>
          <w:tcPr>
            <w:tcW w:w="3060" w:type="dxa"/>
            <w:vAlign w:val="bottom"/>
            <w:tcBorders>
              <w:bottom w:val="single" w:sz="8" w:color="808080"/>
            </w:tcBorders>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3"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In addition to incurring lower professional fees related to the current year proxy contest as compared to the prior year proxy contest, the timing of the annual shareholders’ meeting, which was held in late December in the prior year and in mid-November in the current year, resulted in lower proxy contest expenses in the second quarter of 2013 as compared to the second quarter of 2012. Lower incentive compensation resulted primarily from fewer planned participants in our incentive compensation plans as a result of organizational changes.</w:t>
      </w:r>
    </w:p>
    <w:p>
      <w:pPr>
        <w:spacing w:after="0" w:line="205"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General and administrative expenses as a percentage of total revenue decreased to 5.2% in the first six months of 2013 as compared to 5.8% in the first six months of 2012. This percentage change resulted from the following:</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Six Month Period</w:t>
            </w:r>
          </w:p>
        </w:tc>
      </w:tr>
      <w:tr>
        <w:trPr>
          <w:trHeight w:val="206"/>
        </w:trPr>
        <w:tc>
          <w:tcPr>
            <w:tcW w:w="2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7"/>
                <w:szCs w:val="17"/>
                <w:color w:val="auto"/>
                <w:w w:val="86"/>
              </w:rPr>
              <w:t>(Decrease) Increase as a</w:t>
            </w:r>
          </w:p>
        </w:tc>
      </w:tr>
      <w:tr>
        <w:trPr>
          <w:trHeight w:val="225"/>
        </w:trPr>
        <w:tc>
          <w:tcPr>
            <w:tcW w:w="2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Percentage of Total Revenue</w:t>
            </w:r>
          </w:p>
        </w:tc>
        <w:tc>
          <w:tcPr>
            <w:tcW w:w="2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Manager conference expense</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w:t>
            </w:r>
          </w:p>
        </w:tc>
      </w:tr>
      <w:tr>
        <w:trPr>
          <w:trHeight w:val="206"/>
        </w:trPr>
        <w:tc>
          <w:tcPr>
            <w:tcW w:w="20" w:type="dxa"/>
            <w:vAlign w:val="bottom"/>
          </w:tcPr>
          <w:p>
            <w:pPr>
              <w:spacing w:after="0"/>
              <w:rPr>
                <w:sz w:val="17"/>
                <w:szCs w:val="17"/>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Incentive compensation</w:t>
            </w:r>
          </w:p>
        </w:tc>
        <w:tc>
          <w:tcPr>
            <w:tcW w:w="2280" w:type="dxa"/>
            <w:vAlign w:val="bottom"/>
            <w:gridSpan w:val="2"/>
          </w:tcPr>
          <w:p>
            <w:pPr>
              <w:jc w:val="right"/>
              <w:ind w:right="20"/>
              <w:spacing w:after="0"/>
              <w:rPr>
                <w:sz w:val="20"/>
                <w:szCs w:val="20"/>
                <w:color w:val="auto"/>
              </w:rPr>
            </w:pPr>
            <w:r>
              <w:rPr>
                <w:rFonts w:ascii="Arial" w:cs="Arial" w:eastAsia="Arial" w:hAnsi="Arial"/>
                <w:sz w:val="17"/>
                <w:szCs w:val="17"/>
                <w:color w:val="auto"/>
              </w:rPr>
              <w:t>(0.2%)</w:t>
            </w:r>
          </w:p>
        </w:tc>
      </w:tr>
      <w:tr>
        <w:trPr>
          <w:trHeight w:val="206"/>
        </w:trPr>
        <w:tc>
          <w:tcPr>
            <w:tcW w:w="20" w:type="dxa"/>
            <w:vAlign w:val="bottom"/>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Proxy contest expenses</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r>
      <w:tr>
        <w:trPr>
          <w:trHeight w:val="217"/>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7"/>
                <w:szCs w:val="17"/>
                <w:color w:val="auto"/>
              </w:rPr>
              <w:t>Legal expenses</w:t>
            </w:r>
          </w:p>
        </w:tc>
        <w:tc>
          <w:tcPr>
            <w:tcW w:w="2280" w:type="dxa"/>
            <w:vAlign w:val="bottom"/>
            <w:gridSpan w:val="2"/>
          </w:tcPr>
          <w:p>
            <w:pPr>
              <w:jc w:val="right"/>
              <w:ind w:right="20"/>
              <w:spacing w:after="0"/>
              <w:rPr>
                <w:sz w:val="20"/>
                <w:szCs w:val="20"/>
                <w:color w:val="auto"/>
              </w:rPr>
            </w:pPr>
            <w:r>
              <w:rPr>
                <w:rFonts w:ascii="Arial" w:cs="Arial" w:eastAsia="Arial" w:hAnsi="Arial"/>
                <w:sz w:val="17"/>
                <w:szCs w:val="17"/>
                <w:color w:val="auto"/>
              </w:rPr>
              <w:t>(0.1%)</w:t>
            </w:r>
          </w:p>
        </w:tc>
      </w:tr>
    </w:tbl>
    <w:p>
      <w:pPr>
        <w:spacing w:after="0" w:line="209"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The decrease in general and administrative expenses in the first six months of 2013 as compared to the first six months of 2012 resulted from the non-recurrence of expenses associated with a manager conference which was held in the first quarter of 2012, lower incentive compensation, lower proxy contest expenses and lower legal expenses. Lower incentive compensation resulted primarily from the non-recurrence of expenses related to vested share-based awards and fewer planned participants in our incentive compensation plans as a result of organizational changes. Additionally, we incurred lower professional fees related to the current year proxy contest as compared to the prior year proxy contest.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Interest expense for the second quarter of 2013 was $10,293 as compared to $11,025 in the second quarter of 2012. Interest expense for the first six months of 2013 was $21,005 as compared to $22,160 in the first six months of 2012. Both decreases resulted primarily from lower debt outstanding. We presently expect a reduction in interest expense of approximately $8,000 to $9,000 in 2013 primarily because of the expiration of a seven-year interest rate swap on May 3, 2013 with a fixed interest rate of 5.57% plus our current credit spread.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249"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Provision for income taxes as a percentage of income before income taxes (the “effective tax rate”) was 25.0% and 29.5%, respectively, in the second quarters of 2013 and 2012. The effective tax rate was 28.4% and 29.2%, respectively, in the first six months of 2013 and 2012. The decreases in the effective tax rate from the second quarter and first six months of 2012 to the second quarter and first six months of 2013 resulted primarily from the retroactive extension by Congress of the Work Opportunity Tax Credit through the end of calendar 2013. As a result, in the second quarter of 2013, we recorded a credit totaling $4,579. Of this amount, $2,102 related to credits for the period from January 1, 2012 through August 3, 2012 and $2,477 related to 2013. We presently expect our effective tax rate for 2013 to be between 28% to 29%.</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249" w:lineRule="exact"/>
        <w:rPr>
          <w:sz w:val="20"/>
          <w:szCs w:val="20"/>
          <w:color w:val="auto"/>
        </w:rPr>
      </w:pPr>
    </w:p>
    <w:p>
      <w:pPr>
        <w:ind w:right="220" w:firstLine="620"/>
        <w:spacing w:after="0" w:line="318" w:lineRule="auto"/>
        <w:rPr>
          <w:sz w:val="20"/>
          <w:szCs w:val="20"/>
          <w:color w:val="auto"/>
        </w:rPr>
      </w:pPr>
      <w:r>
        <w:rPr>
          <w:rFonts w:ascii="Arial" w:cs="Arial" w:eastAsia="Arial" w:hAnsi="Arial"/>
          <w:sz w:val="15"/>
          <w:szCs w:val="15"/>
          <w:color w:val="auto"/>
        </w:rPr>
        <w:t>Our primary sources of liquidity are cash generated from our operations and our borrowing capacity under our $500,000 revolving credit facility (the “Revolving Credit Facility”). Our internally generated cash, along with cash on hand at August 3, 2012 and proceeds from exercises of share-based compensation awards, were sufficient to finance all of our growth, dividend payments, working capital needs and other cash payment obligations in the second quarter of 2013.</w:t>
      </w:r>
    </w:p>
    <w:p>
      <w:pPr>
        <w:spacing w:after="0" w:line="166"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We believe that cash at February 1, 2013, along with cash generated from our operating activities, the borrowing capacity under our Revolving Credit Facility and proceeds from exercises of share-based compensation awards will be sufficient to finance our continuing operations, our continuing expansion plans, the principal payments on our debt, our share repurchase plans and our expected dividend payments for at least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Generated from Operations</w:t>
      </w:r>
    </w:p>
    <w:p>
      <w:pPr>
        <w:spacing w:after="0" w:line="249"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6"/>
          <w:szCs w:val="16"/>
          <w:color w:val="auto"/>
        </w:rPr>
        <w:t>Our operating activities provided net cash of $80,980 for the first six months of 2013, which represented a decrease from the $113,959 net cash provided during the first six months of 2012. This decrease reflected higher annual and long-term incentive bonus payments made in the current year as a result of the prior year’s performance, the change in retail inventories and the timing of payments for accounts payable. The change in retail inventories resulted from higher inventory positions in year-round toys merchandise, full stock levels on successful apparel and accessories merchandise and the timing of spring receipts.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Borrowing Capacity and Debt Covenants</w:t>
      </w:r>
    </w:p>
    <w:p>
      <w:pPr>
        <w:spacing w:after="0" w:line="249"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Our $750,000 credit facility (the “Credit Facility”) consists of a term loan (aggregate outstanding at February 1, 2013 was $212,500) and our Revolving Credit Facility. At February 1, 2013, we had $312,500 of outstanding borrowings under the Revolving Credit Facility and we had $28,171 of standby letters of credit related to securing reserved claims under workers’ compensation insurance which reduce our borrowing availability under the Revolving Credit Facility. At February 1, 2013, we had $159,329 in borrowing availability under our Revolving Credit Facility. See Note 4 to our Condensed Consolidated Financial Statements for further information on our long-term debt.</w:t>
      </w:r>
    </w:p>
    <w:p>
      <w:pPr>
        <w:spacing w:after="0" w:line="206"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Effective May 3, 2013, the aggregate notional amount of our interest rate swaps decreases from $525,000 to $400,000. The decrease in the aggregate notional amount of the interest rate swaps will provide us with the flexibility to pay down up to an aggregate amount of $125,000 on our outstanding debt.</w:t>
      </w:r>
    </w:p>
    <w:p>
      <w:pPr>
        <w:spacing w:after="0" w:line="167"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Credit Facility contains customary financial covenants, which include maintenance of a maximum consolidated total leverage ratio and a minimum consolidated interest coverage ratio. We presently are in compliance with the Credit Facility’s financial covenants.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249" w:lineRule="exact"/>
        <w:rPr>
          <w:sz w:val="20"/>
          <w:szCs w:val="20"/>
          <w:color w:val="auto"/>
        </w:rPr>
      </w:pPr>
    </w:p>
    <w:p>
      <w:pPr>
        <w:jc w:val="both"/>
        <w:ind w:firstLine="620"/>
        <w:spacing w:after="0" w:line="276" w:lineRule="auto"/>
        <w:rPr>
          <w:sz w:val="20"/>
          <w:szCs w:val="20"/>
          <w:color w:val="auto"/>
        </w:rPr>
      </w:pPr>
      <w:r>
        <w:rPr>
          <w:rFonts w:ascii="Arial" w:cs="Arial" w:eastAsia="Arial" w:hAnsi="Arial"/>
          <w:sz w:val="16"/>
          <w:szCs w:val="16"/>
          <w:color w:val="auto"/>
        </w:rPr>
        <w:t>Capital expenditures (purchase of property and equipment), net of proceeds from insurance recoveries were $29,329 for the first six months of 2013 as compared to $38,719 for the same period in the prior year. Our capital expenditures consisted primarily of costs of new store locations and capital expenditures for maintenance programs. The decrease in capital expenditures in the first six months of 2013 as compared to the prior year is primarily the result of fewer new locations under construction as compared to the prior year. We estimate that our capital expenditures during 2013 will be between $90,000 and $100,000. This estimate includes certain costs related to the acquisition of sites and construction of new stores that have opened or are expected to open during 2013, as well as for acquisition and construction costs for store locations to be opened in future years and capital expenditures for maintenance programs. We intend to fund our capital expenditures with cash flows from operations and borrowings under our Revolving Credit Facility, as necessary.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 Dividends and Proceeds from the Exercise of Share-Based Compensation Awards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Subject to a maximum amount of $100,000, we have been authorized by our Board of Directors to repurchase shares from time to time during 2013 through a combination of open market purchases, privately negotiated acquisitions, accelerated share repurchase transactions and/or other derivative transactions at the discretion of management. We did not repurchase any shares during the first six months of 2013.</w:t>
      </w:r>
    </w:p>
    <w:p>
      <w:pPr>
        <w:spacing w:after="0" w:line="202"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Our Credit Facility imposes restrictions on the amount of dividends we are permitted to pay and the amount of shares we are permitted to repurchase. If there is no default existing and the total of our availability under the Revolving Credit Facility plus our cash and cash equivalents on hand is at least $100,000 (the “liquidity requirements”), we may declare and pay cash dividends on shares of our common stock if the aggregate amount of dividends paid during any fiscal year is less than 20% of Consolidated EBITDA from continuing operations (as defined in the Credit Facility) (the “20% limitation”) during the immediately preceding fiscal year. In any event, as long as the liquidity requirements are met, dividends may be declared and paid in any fiscal year up to the amount of dividends permitted and paid in the preceding fiscal year without regard to the 20% limitation.</w:t>
      </w:r>
    </w:p>
    <w:p>
      <w:pPr>
        <w:spacing w:after="0" w:line="21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During the first six months of 2013, we paid dividends of $0.90 per share. During the second quarter of 2013, we declared a dividend of $0.50 per share that was paid on February 5, 2013 to shareholders of record on January 18, 2013.</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During the first six months of 2013, we received proceeds of $2,622 from the exercise of share-based compensation awards and the corresponding issuance of 255,784 shares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249" w:lineRule="exact"/>
        <w:rPr>
          <w:sz w:val="20"/>
          <w:szCs w:val="20"/>
          <w:color w:val="auto"/>
        </w:rPr>
      </w:pPr>
    </w:p>
    <w:p>
      <w:pPr>
        <w:jc w:val="both"/>
        <w:ind w:firstLine="620"/>
        <w:spacing w:after="0" w:line="276" w:lineRule="auto"/>
        <w:rPr>
          <w:sz w:val="20"/>
          <w:szCs w:val="20"/>
          <w:color w:val="auto"/>
        </w:rPr>
      </w:pPr>
      <w:r>
        <w:rPr>
          <w:rFonts w:ascii="Arial" w:cs="Arial" w:eastAsia="Arial" w:hAnsi="Arial"/>
          <w:sz w:val="16"/>
          <w:szCs w:val="16"/>
          <w:color w:val="auto"/>
        </w:rPr>
        <w:t>In the restaurant industry, virtually all sales are either for cash or third-party credit or debit card. Restaurant inventories purchased through our principal food distributor are on terms of net zero days, while restaurant inventories purchased locally generally are financed from normal trade credit. Because of our retail gift shops, which have a lower product turnover than the restaurant business, we carry larger inventories than many other companies in the restaurant industry. Retail inventories purchased domestically generally are financed from normal trade credit, while imported retail inventories generally are purchased through wire transfers. These various trade terms are aided by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97"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We had working capital of $62,676 at February 1, 2013 versus working capital of $18,249 at August 3, 2012. Working capital increased from August 3, 2012 primarily because of cash generated from operations, the timing of payments for accounts payable and lower incentive compensation accruals partially offset by a net decrease in working capital related to the increase in sales of our gift cards during the holiday shopping season. Lower incentive compensation accruals resulted from the payment of annual and long-term incentive bonuses in the first quarter of 2013.</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Other than various operating leases, we have no other material off-balance sheet arrangements. Refer to the sub-section entitled “Off-Balance Sheet Arrangements” under the section entitled “Liquidity and Capital Resources” presented in the MD&amp;A of our 2012 Form 10-K for additional information regarding our operating leases.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Commitments</w:t>
      </w:r>
    </w:p>
    <w:p>
      <w:pPr>
        <w:spacing w:after="0" w:line="249" w:lineRule="exact"/>
        <w:rPr>
          <w:sz w:val="20"/>
          <w:szCs w:val="20"/>
          <w:color w:val="auto"/>
        </w:rPr>
      </w:pPr>
    </w:p>
    <w:p>
      <w:pPr>
        <w:jc w:val="both"/>
        <w:ind w:right="20" w:firstLine="620"/>
        <w:spacing w:after="0" w:line="266" w:lineRule="auto"/>
        <w:rPr>
          <w:sz w:val="20"/>
          <w:szCs w:val="20"/>
          <w:color w:val="auto"/>
        </w:rPr>
      </w:pPr>
      <w:r>
        <w:rPr>
          <w:rFonts w:ascii="Arial" w:cs="Arial" w:eastAsia="Arial" w:hAnsi="Arial"/>
          <w:sz w:val="17"/>
          <w:szCs w:val="17"/>
          <w:color w:val="auto"/>
        </w:rPr>
        <w:t>There have been no material changes in our material commitments other than in the ordinary course of business since the end of 2012. Refer to the sub-section entitled “Material Commitments” under the section entitled “Liquidity and Capital Resources” presented in the MD&amp;A of our 2012 Form 10-K for additional information regarding our material commitments.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Recent Accounting Pronouncements Adopted and Not Yet Adopted</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See Note 1 to the accompanying Condensed Consolidated Financial Statements for a discussion of recent accounting guidance adopted and not yet adopted. None of the accounting guidance discussed in Note 1 either had or is expected to have a significant impact on our consolidated financial position or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Estimates</w:t>
      </w:r>
    </w:p>
    <w:p>
      <w:pPr>
        <w:spacing w:after="0" w:line="249" w:lineRule="exact"/>
        <w:rPr>
          <w:sz w:val="20"/>
          <w:szCs w:val="20"/>
          <w:color w:val="auto"/>
        </w:rPr>
      </w:pPr>
    </w:p>
    <w:p>
      <w:pPr>
        <w:jc w:val="both"/>
        <w:ind w:right="20" w:firstLine="620"/>
        <w:spacing w:after="0" w:line="278" w:lineRule="auto"/>
        <w:rPr>
          <w:sz w:val="20"/>
          <w:szCs w:val="20"/>
          <w:color w:val="auto"/>
        </w:rPr>
      </w:pPr>
      <w:r>
        <w:rPr>
          <w:rFonts w:ascii="Arial" w:cs="Arial" w:eastAsia="Arial" w:hAnsi="Arial"/>
          <w:sz w:val="16"/>
          <w:szCs w:val="16"/>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93" w:lineRule="exact"/>
        <w:rPr>
          <w:sz w:val="20"/>
          <w:szCs w:val="20"/>
          <w:color w:val="auto"/>
        </w:rPr>
      </w:pPr>
    </w:p>
    <w:p>
      <w:pPr>
        <w:jc w:val="both"/>
        <w:ind w:right="20" w:firstLine="620"/>
        <w:spacing w:after="0" w:line="266" w:lineRule="auto"/>
        <w:rPr>
          <w:sz w:val="20"/>
          <w:szCs w:val="20"/>
          <w:color w:val="auto"/>
        </w:rPr>
      </w:pPr>
      <w:r>
        <w:rPr>
          <w:rFonts w:ascii="Arial" w:cs="Arial" w:eastAsia="Arial" w:hAnsi="Arial"/>
          <w:sz w:val="17"/>
          <w:szCs w:val="17"/>
          <w:color w:val="auto"/>
        </w:rPr>
        <w:t>Our significant accounting policies are discussed in Note 2 to the Consolidated Financial Statements contained in the 2012 Form 10-K. Judgments and uncertainties affecting the application of those policies may result in materially different amounts being reported under different conditions or using different assumptions.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Critical accounting estimates are those that:</w:t>
      </w:r>
    </w:p>
    <w:p>
      <w:pPr>
        <w:spacing w:after="0" w:line="22" w:lineRule="exact"/>
        <w:rPr>
          <w:sz w:val="20"/>
          <w:szCs w:val="20"/>
          <w:color w:val="auto"/>
        </w:rPr>
      </w:pPr>
    </w:p>
    <w:p>
      <w:pPr>
        <w:ind w:left="940" w:hanging="30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management believes are most important to the accurate portrayal of both our financial condition and operating results, and</w:t>
      </w:r>
    </w:p>
    <w:p>
      <w:pPr>
        <w:spacing w:after="0" w:line="11" w:lineRule="exact"/>
        <w:rPr>
          <w:rFonts w:ascii="Arial" w:cs="Arial" w:eastAsia="Arial" w:hAnsi="Arial"/>
          <w:sz w:val="17"/>
          <w:szCs w:val="17"/>
          <w:color w:val="auto"/>
        </w:rPr>
      </w:pPr>
    </w:p>
    <w:p>
      <w:pPr>
        <w:ind w:left="940" w:right="20" w:hanging="304"/>
        <w:spacing w:after="0" w:line="267" w:lineRule="auto"/>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require management’s most difficult, subjective or complex judgments, often as a result of the need to make estimates about the effect of matters that are inherently uncertain.</w:t>
      </w:r>
    </w:p>
    <w:p>
      <w:pPr>
        <w:spacing w:after="0" w:line="200" w:lineRule="exact"/>
        <w:rPr>
          <w:sz w:val="20"/>
          <w:szCs w:val="20"/>
          <w:color w:val="auto"/>
        </w:rPr>
      </w:pPr>
    </w:p>
    <w:p>
      <w:pPr>
        <w:ind w:right="20" w:firstLine="620"/>
        <w:spacing w:after="0" w:line="280" w:lineRule="auto"/>
        <w:rPr>
          <w:sz w:val="20"/>
          <w:szCs w:val="20"/>
          <w:color w:val="auto"/>
        </w:rPr>
      </w:pPr>
      <w:r>
        <w:rPr>
          <w:rFonts w:ascii="Arial" w:cs="Arial" w:eastAsia="Arial" w:hAnsi="Arial"/>
          <w:sz w:val="17"/>
          <w:szCs w:val="17"/>
          <w:color w:val="auto"/>
        </w:rPr>
        <w:t>We consider the following accounting estimates to be most critical in understanding the judgments that are involved in preparing our Consolidated Financial Statements:</w:t>
      </w:r>
    </w:p>
    <w:p>
      <w:pPr>
        <w:spacing w:after="0" w:line="189" w:lineRule="exact"/>
        <w:rPr>
          <w:sz w:val="20"/>
          <w:szCs w:val="20"/>
          <w:color w:val="auto"/>
        </w:rPr>
      </w:pPr>
    </w:p>
    <w:p>
      <w:pPr>
        <w:ind w:left="940" w:hanging="30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Impairment of Long-Lived Assets and Provision for Asset Dispositions</w:t>
      </w:r>
    </w:p>
    <w:p>
      <w:pPr>
        <w:spacing w:after="0" w:line="21" w:lineRule="exact"/>
        <w:rPr>
          <w:rFonts w:ascii="Arial" w:cs="Arial" w:eastAsia="Arial" w:hAnsi="Arial"/>
          <w:sz w:val="17"/>
          <w:szCs w:val="17"/>
          <w:color w:val="auto"/>
        </w:rPr>
      </w:pPr>
    </w:p>
    <w:p>
      <w:pPr>
        <w:ind w:left="940" w:hanging="30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Insurance Reserves</w:t>
      </w:r>
    </w:p>
    <w:p>
      <w:pPr>
        <w:spacing w:after="0" w:line="11" w:lineRule="exact"/>
        <w:rPr>
          <w:rFonts w:ascii="Arial" w:cs="Arial" w:eastAsia="Arial" w:hAnsi="Arial"/>
          <w:sz w:val="17"/>
          <w:szCs w:val="17"/>
          <w:color w:val="auto"/>
        </w:rPr>
      </w:pPr>
    </w:p>
    <w:p>
      <w:pPr>
        <w:ind w:left="940" w:hanging="30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Retail Inventory Valuation</w:t>
      </w:r>
    </w:p>
    <w:p>
      <w:pPr>
        <w:spacing w:after="0" w:line="11" w:lineRule="exact"/>
        <w:rPr>
          <w:rFonts w:ascii="Arial" w:cs="Arial" w:eastAsia="Arial" w:hAnsi="Arial"/>
          <w:sz w:val="17"/>
          <w:szCs w:val="17"/>
          <w:color w:val="auto"/>
        </w:rPr>
      </w:pPr>
    </w:p>
    <w:p>
      <w:pPr>
        <w:ind w:left="940" w:hanging="30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Tax Provision</w:t>
      </w:r>
    </w:p>
    <w:p>
      <w:pPr>
        <w:spacing w:after="0" w:line="11" w:lineRule="exact"/>
        <w:rPr>
          <w:rFonts w:ascii="Arial" w:cs="Arial" w:eastAsia="Arial" w:hAnsi="Arial"/>
          <w:sz w:val="17"/>
          <w:szCs w:val="17"/>
          <w:color w:val="auto"/>
        </w:rPr>
      </w:pPr>
    </w:p>
    <w:p>
      <w:pPr>
        <w:ind w:left="940" w:hanging="30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Share-Based Compensation</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Management has reviewed these critical accounting estimates and related disclosures with the Audit Committee of our Board of Directors.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 and Provision for Asset Dispositions</w:t>
      </w:r>
    </w:p>
    <w:p>
      <w:pPr>
        <w:spacing w:after="0" w:line="249" w:lineRule="exact"/>
        <w:rPr>
          <w:sz w:val="20"/>
          <w:szCs w:val="20"/>
          <w:color w:val="auto"/>
        </w:rPr>
      </w:pPr>
    </w:p>
    <w:p>
      <w:pPr>
        <w:jc w:val="both"/>
        <w:ind w:firstLine="620"/>
        <w:spacing w:after="0" w:line="276"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97"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We have not made any material changes in our methodology for assessing impairments during the first six months of 2013, and we do not believe that there is a reasonable likelihood that there will be a material change in the estimates or assumptions used by us in the future to assess impairment on long-lived assets. However, if actual results are not consistent with our estimates and assumptions used in estimating future cash flows and fair values of long-lived assets, we may be exposed to losses that could be material.</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Reserves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We self-insure a significant portion of our expected workers’ compensation and general liability insurance programs. We purchase insurance for individual workers’ compensation claims that exceed $250, $500 or $1,000 depending on the state in which the claim originates. We purchase insurance for individual general liability claims that exceed $500.</w:t>
      </w:r>
    </w:p>
    <w:p>
      <w:pPr>
        <w:spacing w:after="0" w:line="202"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w:t>
      </w:r>
    </w:p>
    <w:p>
      <w:pPr>
        <w:spacing w:after="0" w:line="210" w:lineRule="exact"/>
        <w:rPr>
          <w:sz w:val="20"/>
          <w:szCs w:val="20"/>
          <w:color w:val="auto"/>
        </w:rPr>
      </w:pPr>
    </w:p>
    <w:p>
      <w:pPr>
        <w:jc w:val="both"/>
        <w:ind w:firstLine="620"/>
        <w:spacing w:after="0" w:line="308" w:lineRule="auto"/>
        <w:rPr>
          <w:sz w:val="20"/>
          <w:szCs w:val="20"/>
          <w:color w:val="auto"/>
        </w:rPr>
      </w:pPr>
      <w:r>
        <w:rPr>
          <w:rFonts w:ascii="Arial" w:cs="Arial" w:eastAsia="Arial" w:hAnsi="Arial"/>
          <w:sz w:val="15"/>
          <w:szCs w:val="15"/>
          <w:color w:val="auto"/>
        </w:rPr>
        <w:t>A significant portion of our health insurance program is self-insured. Benefits for any individual (employee or dependents) in the self-insured group health program are limited to not more than $20 in any given plan year, and, in certain cases, to not more than $8 in any given year. We record a liability for the self-insured portion of our group health program for all unpaid claims based upon a loss development analysis derived from actual group health claims payment experience. The fully-insured portion of our health insurance program contains a retrospective feature which could increase or decrease premiums based on actual claims experience.</w:t>
      </w:r>
    </w:p>
    <w:p>
      <w:pPr>
        <w:spacing w:after="0" w:line="173"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first six months of 2013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Inventory Valuation</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Cost of goods sold includes the cost of retail merchandise sold at our stores utilizing the retail inventory method (“RIM”). Under RIM, the valuation of our retail inventories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205"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 regarding inventory aging and future promotional activities. Cost of goods sold includes an estimate of shrinkage that is adjusted upon physical inventory counts. Annual physical inventory counts are conducted throughout the third and fourth quarters based upon a cyclical inventory schedule. An estimate of shrinkage is recorded for the time period between physical inventory counts by using a three-year average of the physical inventories’ results on a store-by-store basis.</w:t>
      </w:r>
    </w:p>
    <w:p>
      <w:pPr>
        <w:spacing w:after="0" w:line="206"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We have not made any material changes in the methodologies, estimates or assumptions related to our merchandise inventories during the first six months of 2013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Provision</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We must make estimates of certain items that comprise our income tax provision. These estimates include effective state and local income tax rates, employer tax credits for items such as FICA taxes paid on employee tip income, Work Opportunity and Welfare to Work credits, as well as estimates related to certain depreciation and capitalization policies. Our estimates are made based on current tax laws, the best available information at the time of the provision and historical experience.</w:t>
      </w:r>
    </w:p>
    <w:p>
      <w:pPr>
        <w:spacing w:after="0" w:line="205"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8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6"/>
          <w:szCs w:val="16"/>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 (see Note 15 to our Consolidated Financial Statements contained in the 2012 Form 10-K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Our share-based compensation consists of nonvested stock awards, performance-based market stock units (“MSU Grants”) and stock options.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is achieved, if shorter.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for each separately vesting portion of the award as if the award were, in substance, multiple awards. We update the estimated forfeiture rate to actual at each reporting period and adjust compensation expense accordingly so that the amount of compensation expense recognized at any date is at least equal to the portion of the grant-date value of the award that is vested at that date.</w:t>
      </w:r>
    </w:p>
    <w:p>
      <w:pPr>
        <w:spacing w:after="0" w:line="206"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Our nonvested stock awards are time vested except for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21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Generally, the fair value of each nonvested stock grant is equal to the market price of our common stock at the date of grant reduced by the present value of expected dividends to be paid prior to the vesting period, discounted using an appropriate risk-free interest rate.</w:t>
      </w:r>
    </w:p>
    <w:p>
      <w:pPr>
        <w:spacing w:after="0" w:line="189" w:lineRule="exact"/>
        <w:rPr>
          <w:sz w:val="20"/>
          <w:szCs w:val="20"/>
          <w:color w:val="auto"/>
        </w:rPr>
      </w:pPr>
    </w:p>
    <w:p>
      <w:pPr>
        <w:jc w:val="both"/>
        <w:ind w:right="20" w:firstLine="620"/>
        <w:spacing w:after="0" w:line="257" w:lineRule="auto"/>
        <w:rPr>
          <w:sz w:val="20"/>
          <w:szCs w:val="20"/>
          <w:color w:val="auto"/>
        </w:rPr>
      </w:pPr>
      <w:r>
        <w:rPr>
          <w:rFonts w:ascii="Arial" w:cs="Arial" w:eastAsia="Arial" w:hAnsi="Arial"/>
          <w:sz w:val="17"/>
          <w:szCs w:val="17"/>
          <w:color w:val="auto"/>
        </w:rPr>
        <w:t>Beginning in 2011, we adopted annual long-term incentive plans that award MSU Grants to our executives instead of stock options. In addition to providing the requisite service, MSU Grants contain both a market condition based on total shareholder return and a performance condition based on operating income. Total shareholder return is defined as increases in our stock price plus dividends paid during the performance period. The number of shares awarded at the end of the performance period for each MSU Grant may increase up to 150% of target in direct proportion to any percentage increase in shareholder value during the performance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212"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183" w:lineRule="exact"/>
        <w:rPr>
          <w:sz w:val="20"/>
          <w:szCs w:val="20"/>
          <w:color w:val="auto"/>
        </w:rPr>
      </w:pPr>
    </w:p>
    <w:p>
      <w:pPr>
        <w:ind w:left="620" w:hanging="307"/>
        <w:spacing w:after="0" w:line="260"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expected volatility is a blend of implied volatility based on market-traded options on our stock and historical volatility of our stock over the period commensurate with the three-year performance period.</w:t>
      </w: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risk-free interest rate is based on the U.S. Treasury rate assumption commensurate with the three-year performance period.</w:t>
      </w:r>
    </w:p>
    <w:p>
      <w:pPr>
        <w:spacing w:after="0" w:line="11" w:lineRule="exact"/>
        <w:rPr>
          <w:rFonts w:ascii="Arial" w:cs="Arial" w:eastAsia="Arial" w:hAnsi="Arial"/>
          <w:sz w:val="17"/>
          <w:szCs w:val="17"/>
          <w:color w:val="auto"/>
        </w:rPr>
      </w:pPr>
    </w:p>
    <w:p>
      <w:pPr>
        <w:ind w:left="620" w:hanging="307"/>
        <w:spacing w:after="0" w:line="267"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expected dividend yield is based on our current dividend yield as the best estimate of projected dividend yield for periods within the three-year performance period.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We update the historical and implied components of the expected volatility assumption when new grants are made.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right="20" w:firstLine="620"/>
        <w:spacing w:after="0" w:line="278" w:lineRule="auto"/>
        <w:rPr>
          <w:sz w:val="20"/>
          <w:szCs w:val="20"/>
          <w:color w:val="auto"/>
        </w:rPr>
      </w:pPr>
      <w:r>
        <w:rPr>
          <w:rFonts w:ascii="Arial" w:cs="Arial" w:eastAsia="Arial" w:hAnsi="Arial"/>
          <w:sz w:val="16"/>
          <w:szCs w:val="16"/>
          <w:color w:val="auto"/>
        </w:rPr>
        <w:t>The fair value of our stock options was estimated on the date of grant using a binomial lattice-based option valuation model. This model incorporates several key assumptions including expected volatility, risk-free rate of return, expected dividend yield and the option’s expected life. Additionally, we use historical data to estimate option exercise and employee termination, and these assumptions are updated annually. The expected volatility, option exercise and termination assumptions involve management’s best estimates at that time, all of which affect the fair value of the option calculated by the binomial lattice-based option valuation model and, ultimately, the expense that will be recognized over the life of the option. The expected life is a by-product of the lattice model and is updated when new grants are made. No stock options were granted in 2012 or in the first six months of 2013.</w:t>
      </w:r>
    </w:p>
    <w:p>
      <w:pPr>
        <w:spacing w:after="0" w:line="193" w:lineRule="exact"/>
        <w:rPr>
          <w:sz w:val="20"/>
          <w:szCs w:val="20"/>
          <w:color w:val="auto"/>
        </w:rPr>
      </w:pPr>
    </w:p>
    <w:p>
      <w:pPr>
        <w:jc w:val="both"/>
        <w:ind w:right="20" w:firstLine="620"/>
        <w:spacing w:after="0" w:line="262" w:lineRule="auto"/>
        <w:rPr>
          <w:sz w:val="20"/>
          <w:szCs w:val="20"/>
          <w:color w:val="auto"/>
        </w:rPr>
      </w:pPr>
      <w:r>
        <w:rPr>
          <w:rFonts w:ascii="Arial" w:cs="Arial" w:eastAsia="Arial" w:hAnsi="Arial"/>
          <w:sz w:val="17"/>
          <w:szCs w:val="17"/>
          <w:color w:val="auto"/>
        </w:rPr>
        <w:t>We have not made any material changes in our estimates or assumptions used to determine share-based compensation during the first six months of 2013 and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19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ITEM</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w:t>
      </w:r>
    </w:p>
    <w:p>
      <w:pPr>
        <w:spacing w:after="0" w:line="233" w:lineRule="exact"/>
        <w:rPr>
          <w:sz w:val="20"/>
          <w:szCs w:val="20"/>
          <w:color w:val="auto"/>
        </w:rPr>
      </w:pPr>
    </w:p>
    <w:p>
      <w:pPr>
        <w:jc w:val="both"/>
        <w:ind w:right="20" w:firstLine="620"/>
        <w:spacing w:after="0" w:line="280" w:lineRule="auto"/>
        <w:rPr>
          <w:sz w:val="20"/>
          <w:szCs w:val="20"/>
          <w:color w:val="auto"/>
        </w:rPr>
      </w:pPr>
      <w:r>
        <w:rPr>
          <w:rFonts w:ascii="Arial" w:cs="Arial" w:eastAsia="Arial" w:hAnsi="Arial"/>
          <w:sz w:val="17"/>
          <w:szCs w:val="17"/>
          <w:color w:val="auto"/>
        </w:rPr>
        <w:t>Part II, Item 7A of the 2012 Form 10-K is incorporated in this item of this Quarterly Report on Form 10-Q by this reference. There have been no material changes in our quantitative and qualitative market risks since August 3, 2012.</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ITEM</w:t>
      </w:r>
      <w:r>
        <w:rPr>
          <w:sz w:val="20"/>
          <w:szCs w:val="20"/>
          <w:color w:val="auto"/>
        </w:rPr>
        <w:tab/>
      </w:r>
      <w:r>
        <w:rPr>
          <w:rFonts w:ascii="Arial" w:cs="Arial" w:eastAsia="Arial" w:hAnsi="Arial"/>
          <w:sz w:val="15"/>
          <w:szCs w:val="15"/>
          <w:b w:val="1"/>
          <w:bCs w:val="1"/>
          <w:color w:val="auto"/>
        </w:rPr>
        <w:t>Controls and Procedures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w:t>
      </w:r>
    </w:p>
    <w:p>
      <w:pPr>
        <w:spacing w:after="0" w:line="233" w:lineRule="exact"/>
        <w:rPr>
          <w:sz w:val="20"/>
          <w:szCs w:val="20"/>
          <w:color w:val="auto"/>
        </w:rPr>
      </w:pPr>
    </w:p>
    <w:p>
      <w:pPr>
        <w:jc w:val="both"/>
        <w:ind w:right="20" w:firstLine="620"/>
        <w:spacing w:after="0" w:line="262" w:lineRule="auto"/>
        <w:rPr>
          <w:sz w:val="20"/>
          <w:szCs w:val="20"/>
          <w:color w:val="auto"/>
        </w:rPr>
      </w:pPr>
      <w:r>
        <w:rPr>
          <w:rFonts w:ascii="Arial" w:cs="Arial" w:eastAsia="Arial" w:hAnsi="Arial"/>
          <w:sz w:val="17"/>
          <w:szCs w:val="17"/>
          <w:color w:val="auto"/>
        </w:rPr>
        <w:t>Our management, including our principal executive and principal financial officers,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February 1, 2013, our disclosure controls and procedures were effective for the purposes set forth in the definition thereof in Exchange Act Rule 13a-15(e).</w:t>
      </w:r>
    </w:p>
    <w:p>
      <w:pPr>
        <w:spacing w:after="0" w:line="205"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There have been no changes (including corrective actions with regard to significant deficiencies and material weaknesses) during the quarter ended February 1, 2013 in our internal control over financial reporting (as defined in Exchange Act Rule 13a-15(f)) that have materially affected, or are reasonably likely to materially affect, our internal control over financial reporting.</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4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ITEM</w:t>
      </w:r>
      <w:r>
        <w:rPr>
          <w:sz w:val="20"/>
          <w:szCs w:val="20"/>
          <w:color w:val="auto"/>
        </w:rPr>
        <w:tab/>
      </w:r>
      <w:r>
        <w:rPr>
          <w:rFonts w:ascii="Arial" w:cs="Arial" w:eastAsia="Arial" w:hAnsi="Arial"/>
          <w:sz w:val="15"/>
          <w:szCs w:val="15"/>
          <w:b w:val="1"/>
          <w:bCs w:val="1"/>
          <w:color w:val="auto"/>
        </w:rPr>
        <w:t>Legal Proceedings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w:t>
      </w:r>
    </w:p>
    <w:p>
      <w:pPr>
        <w:spacing w:after="0" w:line="233" w:lineRule="exact"/>
        <w:rPr>
          <w:sz w:val="20"/>
          <w:szCs w:val="20"/>
          <w:color w:val="auto"/>
        </w:rPr>
      </w:pPr>
    </w:p>
    <w:p>
      <w:pPr>
        <w:jc w:val="both"/>
        <w:ind w:firstLine="620"/>
        <w:spacing w:after="0" w:line="274" w:lineRule="auto"/>
        <w:rPr>
          <w:sz w:val="20"/>
          <w:szCs w:val="20"/>
          <w:color w:val="auto"/>
        </w:rPr>
      </w:pPr>
      <w:r>
        <w:rPr>
          <w:rFonts w:ascii="Arial" w:cs="Arial" w:eastAsia="Arial" w:hAnsi="Arial"/>
          <w:sz w:val="16"/>
          <w:szCs w:val="16"/>
          <w:color w:val="auto"/>
        </w:rPr>
        <w:t>On January 31, 2013, Kraft Foods Group Brands, LLC (“Kraft”) filed suit against the Company and the Company’s wholly owned subsidiary CBOCS Properties, Inc. (“CBOCS”) in the Northern District of Illinois, Eastern Division, in the case styled Kraft Foods Group Brands, LLC v. Cracker Barrel Old Country Store, Inc., CBOCS Properties, Inc., and John Does 1-10, Docket No. 1:13-cv-00780, seeking declaratory and injunctive relief. Kraft’s complaint alleges that Kraft markets cheese in grocery stores under the trademark CRACKER BARREL (the “Kraft Mark”). Citing the Company’s announcement of its entry into a multi-year licensing agreement with John Morrell Food Group, Kraft is seeking a declaratory judgment based upon the allegation that CBOCS’s use and/or licensing use of CRACKER BARREL OLD COUNTRY STORES (the “CBOCS Mark”) in connection with goods sold in retail food channels is likely to cause confusion among consumers regarding the source or sponsorship of those products. Further, Kraft is seeking a declaratory judgment based upon the allegation that CBOCS’s use or licensing of the CBOCS Mark constitutes unfair competition under federal and Illinois law. In addition to declaratory relief, Kraft is seeking an injunction prohibiting CBOCS from using or licensing the CBOCS Mark through any trade channels other than the Company’s stores or website. The Company and CBOCS believe that there are numerous meritorious defenses to Kraft’s claims and intend to defend this lawsuit vigorously.</w:t>
      </w:r>
    </w:p>
    <w:p>
      <w:pPr>
        <w:spacing w:after="0" w:line="197"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In addition to the matter described above, the Company and its subsidiaries are party to various other legal and regulatory proceedings and claims incidental to their business in the ordinary course. In the opinion of management, based upon information currently available, the ultimate liability with respect to these other proceedings and claims will not materially affect the Company’s consolidated results of operations or financial position.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49" w:lineRule="exact"/>
        <w:rPr>
          <w:sz w:val="20"/>
          <w:szCs w:val="20"/>
          <w:color w:val="auto"/>
        </w:rPr>
      </w:pPr>
    </w:p>
    <w:p>
      <w:pPr>
        <w:jc w:val="both"/>
        <w:ind w:firstLine="310"/>
        <w:spacing w:after="0" w:line="280" w:lineRule="auto"/>
        <w:rPr>
          <w:sz w:val="20"/>
          <w:szCs w:val="20"/>
          <w:color w:val="auto"/>
        </w:rPr>
      </w:pPr>
      <w:r>
        <w:rPr>
          <w:rFonts w:ascii="Arial" w:cs="Arial" w:eastAsia="Arial" w:hAnsi="Arial"/>
          <w:sz w:val="17"/>
          <w:szCs w:val="17"/>
          <w:color w:val="auto"/>
        </w:rPr>
        <w:t>There have been no material changes in the risk factors previously disclosed in “Item 1A. Risk Factors” of our 2012 Form 10-K and our Quarterly Report on Form 10-Q for the quarter ended November 2, 2012.</w:t>
      </w:r>
    </w:p>
    <w:p>
      <w:pPr>
        <w:spacing w:after="0" w:line="18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Exhibit Index immediately following the signature page hereto.</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280" w:type="dxa"/>
            <w:vAlign w:val="bottom"/>
            <w:gridSpan w:val="5"/>
          </w:tcPr>
          <w:p>
            <w:pPr>
              <w:ind w:left="1440"/>
              <w:spacing w:after="0"/>
              <w:rPr>
                <w:sz w:val="20"/>
                <w:szCs w:val="20"/>
                <w:color w:val="auto"/>
              </w:rPr>
            </w:pPr>
            <w:r>
              <w:rPr>
                <w:rFonts w:ascii="Arial" w:cs="Arial" w:eastAsia="Arial" w:hAnsi="Arial"/>
                <w:sz w:val="17"/>
                <w:szCs w:val="17"/>
                <w:b w:val="1"/>
                <w:bCs w:val="1"/>
                <w:color w:val="auto"/>
              </w:rPr>
              <w:t>CRACKER BARREL OLD COUNTRY STORE, INC.</w:t>
            </w:r>
          </w:p>
        </w:tc>
      </w:tr>
      <w:tr>
        <w:trPr>
          <w:trHeight w:val="376"/>
        </w:trPr>
        <w:tc>
          <w:tcPr>
            <w:tcW w:w="3140" w:type="dxa"/>
            <w:vAlign w:val="bottom"/>
            <w:gridSpan w:val="3"/>
          </w:tcPr>
          <w:p>
            <w:pPr>
              <w:spacing w:after="0"/>
              <w:rPr>
                <w:sz w:val="20"/>
                <w:szCs w:val="20"/>
                <w:color w:val="auto"/>
              </w:rPr>
            </w:pPr>
            <w:r>
              <w:rPr>
                <w:rFonts w:ascii="Arial" w:cs="Arial" w:eastAsia="Arial" w:hAnsi="Arial"/>
                <w:sz w:val="17"/>
                <w:szCs w:val="17"/>
                <w:color w:val="auto"/>
              </w:rPr>
              <w:t>Date: February 26, 2013</w:t>
            </w:r>
          </w:p>
        </w:tc>
        <w:tc>
          <w:tcPr>
            <w:tcW w:w="1860" w:type="dxa"/>
            <w:vAlign w:val="bottom"/>
          </w:tcPr>
          <w:p>
            <w:pPr>
              <w:ind w:left="1440"/>
              <w:spacing w:after="0"/>
              <w:rPr>
                <w:sz w:val="20"/>
                <w:szCs w:val="20"/>
                <w:color w:val="auto"/>
              </w:rPr>
            </w:pPr>
            <w:r>
              <w:rPr>
                <w:rFonts w:ascii="Arial" w:cs="Arial" w:eastAsia="Arial" w:hAnsi="Arial"/>
                <w:sz w:val="17"/>
                <w:szCs w:val="17"/>
                <w:color w:val="auto"/>
              </w:rPr>
              <w:t>By:</w:t>
            </w:r>
          </w:p>
        </w:tc>
        <w:tc>
          <w:tcPr>
            <w:tcW w:w="6420" w:type="dxa"/>
            <w:vAlign w:val="bottom"/>
            <w:gridSpan w:val="4"/>
          </w:tcPr>
          <w:p>
            <w:pPr>
              <w:ind w:left="160"/>
              <w:spacing w:after="0"/>
              <w:rPr>
                <w:sz w:val="20"/>
                <w:szCs w:val="20"/>
                <w:color w:val="auto"/>
              </w:rPr>
            </w:pPr>
            <w:r>
              <w:rPr>
                <w:rFonts w:ascii="Arial" w:cs="Arial" w:eastAsia="Arial" w:hAnsi="Arial"/>
                <w:sz w:val="17"/>
                <w:szCs w:val="17"/>
                <w:color w:val="auto"/>
              </w:rPr>
              <w:t>/s/Lawrence E. Hyatt</w:t>
            </w:r>
          </w:p>
        </w:tc>
      </w:tr>
      <w:tr>
        <w:trPr>
          <w:trHeight w:val="20"/>
        </w:trPr>
        <w:tc>
          <w:tcPr>
            <w:tcW w:w="4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13"/>
        </w:trPr>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420" w:type="dxa"/>
            <w:vAlign w:val="bottom"/>
            <w:gridSpan w:val="4"/>
          </w:tcPr>
          <w:p>
            <w:pPr>
              <w:ind w:left="160"/>
              <w:spacing w:after="0"/>
              <w:rPr>
                <w:sz w:val="20"/>
                <w:szCs w:val="20"/>
                <w:color w:val="auto"/>
              </w:rPr>
            </w:pPr>
            <w:r>
              <w:rPr>
                <w:rFonts w:ascii="Arial" w:cs="Arial" w:eastAsia="Arial" w:hAnsi="Arial"/>
                <w:sz w:val="17"/>
                <w:szCs w:val="17"/>
                <w:color w:val="auto"/>
              </w:rPr>
              <w:t>Lawrence E. Hyatt, Senior Vice President and</w:t>
            </w:r>
          </w:p>
        </w:tc>
      </w:tr>
      <w:tr>
        <w:trPr>
          <w:trHeight w:val="217"/>
        </w:trPr>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60" w:type="dxa"/>
            <w:vAlign w:val="bottom"/>
            <w:gridSpan w:val="3"/>
          </w:tcPr>
          <w:p>
            <w:pPr>
              <w:ind w:left="140"/>
              <w:spacing w:after="0"/>
              <w:rPr>
                <w:sz w:val="20"/>
                <w:szCs w:val="20"/>
                <w:color w:val="auto"/>
              </w:rPr>
            </w:pPr>
            <w:r>
              <w:rPr>
                <w:rFonts w:ascii="Arial" w:cs="Arial" w:eastAsia="Arial" w:hAnsi="Arial"/>
                <w:sz w:val="17"/>
                <w:szCs w:val="17"/>
                <w:color w:val="auto"/>
              </w:rPr>
              <w:t>Chief Financial Officer</w:t>
            </w:r>
          </w:p>
        </w:tc>
      </w:tr>
      <w:tr>
        <w:trPr>
          <w:trHeight w:val="376"/>
        </w:trPr>
        <w:tc>
          <w:tcPr>
            <w:tcW w:w="3140" w:type="dxa"/>
            <w:vAlign w:val="bottom"/>
            <w:gridSpan w:val="3"/>
          </w:tcPr>
          <w:p>
            <w:pPr>
              <w:spacing w:after="0"/>
              <w:rPr>
                <w:sz w:val="20"/>
                <w:szCs w:val="20"/>
                <w:color w:val="auto"/>
              </w:rPr>
            </w:pPr>
            <w:r>
              <w:rPr>
                <w:rFonts w:ascii="Arial" w:cs="Arial" w:eastAsia="Arial" w:hAnsi="Arial"/>
                <w:sz w:val="17"/>
                <w:szCs w:val="17"/>
                <w:color w:val="auto"/>
              </w:rPr>
              <w:t>Date: February 26, 2013</w:t>
            </w:r>
          </w:p>
        </w:tc>
        <w:tc>
          <w:tcPr>
            <w:tcW w:w="1860" w:type="dxa"/>
            <w:vAlign w:val="bottom"/>
          </w:tcPr>
          <w:p>
            <w:pPr>
              <w:ind w:left="1440"/>
              <w:spacing w:after="0"/>
              <w:rPr>
                <w:sz w:val="20"/>
                <w:szCs w:val="20"/>
                <w:color w:val="auto"/>
              </w:rPr>
            </w:pPr>
            <w:r>
              <w:rPr>
                <w:rFonts w:ascii="Arial" w:cs="Arial" w:eastAsia="Arial" w:hAnsi="Arial"/>
                <w:sz w:val="17"/>
                <w:szCs w:val="17"/>
                <w:color w:val="auto"/>
              </w:rPr>
              <w:t>By:</w:t>
            </w:r>
          </w:p>
        </w:tc>
        <w:tc>
          <w:tcPr>
            <w:tcW w:w="6420" w:type="dxa"/>
            <w:vAlign w:val="bottom"/>
            <w:gridSpan w:val="4"/>
          </w:tcPr>
          <w:p>
            <w:pPr>
              <w:ind w:left="160"/>
              <w:spacing w:after="0"/>
              <w:rPr>
                <w:sz w:val="20"/>
                <w:szCs w:val="20"/>
                <w:color w:val="auto"/>
              </w:rPr>
            </w:pPr>
            <w:r>
              <w:rPr>
                <w:rFonts w:ascii="Arial" w:cs="Arial" w:eastAsia="Arial" w:hAnsi="Arial"/>
                <w:sz w:val="17"/>
                <w:szCs w:val="17"/>
                <w:color w:val="auto"/>
              </w:rPr>
              <w:t>/s/P. Douglas Couvillion</w:t>
            </w:r>
          </w:p>
        </w:tc>
      </w:tr>
      <w:tr>
        <w:trPr>
          <w:trHeight w:val="20"/>
        </w:trPr>
        <w:tc>
          <w:tcPr>
            <w:tcW w:w="4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13"/>
        </w:trPr>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420" w:type="dxa"/>
            <w:vAlign w:val="bottom"/>
            <w:gridSpan w:val="4"/>
          </w:tcPr>
          <w:p>
            <w:pPr>
              <w:ind w:left="160"/>
              <w:spacing w:after="0"/>
              <w:rPr>
                <w:sz w:val="20"/>
                <w:szCs w:val="20"/>
                <w:color w:val="auto"/>
              </w:rPr>
            </w:pPr>
            <w:r>
              <w:rPr>
                <w:rFonts w:ascii="Arial" w:cs="Arial" w:eastAsia="Arial" w:hAnsi="Arial"/>
                <w:sz w:val="17"/>
                <w:szCs w:val="17"/>
                <w:color w:val="auto"/>
              </w:rPr>
              <w:t>P. Douglas Couvillion, Vice President, Corporate Controller and</w:t>
            </w:r>
          </w:p>
        </w:tc>
      </w:tr>
      <w:tr>
        <w:trPr>
          <w:trHeight w:val="217"/>
        </w:trPr>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60" w:type="dxa"/>
            <w:vAlign w:val="bottom"/>
            <w:gridSpan w:val="3"/>
          </w:tcPr>
          <w:p>
            <w:pPr>
              <w:ind w:left="140"/>
              <w:spacing w:after="0"/>
              <w:rPr>
                <w:sz w:val="20"/>
                <w:szCs w:val="20"/>
                <w:color w:val="auto"/>
              </w:rPr>
            </w:pPr>
            <w:r>
              <w:rPr>
                <w:rFonts w:ascii="Arial" w:cs="Arial" w:eastAsia="Arial" w:hAnsi="Arial"/>
                <w:sz w:val="17"/>
                <w:szCs w:val="17"/>
                <w:color w:val="auto"/>
              </w:rPr>
              <w:t>Principal Accounting Officer</w:t>
            </w:r>
          </w:p>
        </w:tc>
      </w:tr>
      <w:tr>
        <w:trPr>
          <w:trHeight w:val="532"/>
        </w:trPr>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0" w:type="dxa"/>
            <w:vAlign w:val="bottom"/>
            <w:gridSpan w:val="2"/>
          </w:tcPr>
          <w:p>
            <w:pPr>
              <w:ind w:left="640"/>
              <w:spacing w:after="0"/>
              <w:rPr>
                <w:sz w:val="20"/>
                <w:szCs w:val="20"/>
                <w:color w:val="auto"/>
              </w:rPr>
            </w:pPr>
            <w:r>
              <w:rPr>
                <w:rFonts w:ascii="Arial" w:cs="Arial" w:eastAsia="Arial" w:hAnsi="Arial"/>
                <w:sz w:val="14"/>
                <w:szCs w:val="14"/>
                <w:color w:val="auto"/>
              </w:rPr>
              <w:t>29</w:t>
            </w:r>
          </w:p>
        </w:tc>
        <w:tc>
          <w:tcPr>
            <w:tcW w:w="2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98"/>
        </w:trPr>
        <w:tc>
          <w:tcPr>
            <w:tcW w:w="4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6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INDEX TO EXHIBITS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 w:type="dxa"/>
            <w:vAlign w:val="bottom"/>
            <w:gridSpan w:val="4"/>
          </w:tcPr>
          <w:p>
            <w:pPr>
              <w:spacing w:after="0"/>
              <w:rPr>
                <w:sz w:val="20"/>
                <w:szCs w:val="20"/>
                <w:color w:val="auto"/>
              </w:rPr>
            </w:pPr>
            <w:r>
              <w:rPr>
                <w:rFonts w:ascii="Arial" w:cs="Arial" w:eastAsia="Arial" w:hAnsi="Arial"/>
                <w:sz w:val="17"/>
                <w:szCs w:val="17"/>
                <w:color w:val="auto"/>
              </w:rPr>
              <w:t>Exhibit</w:t>
            </w:r>
          </w:p>
        </w:tc>
        <w:tc>
          <w:tcPr>
            <w:tcW w:w="10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31.</w:t>
            </w:r>
            <w:r>
              <w:rPr>
                <w:rFonts w:ascii="Arial" w:cs="Arial" w:eastAsia="Arial" w:hAnsi="Arial"/>
                <w:sz w:val="17"/>
                <w:szCs w:val="17"/>
                <w:u w:val="single" w:color="auto"/>
                <w:color w:val="0000EE"/>
              </w:rPr>
              <w:t>1</w:t>
            </w:r>
          </w:p>
        </w:tc>
        <w:tc>
          <w:tcPr>
            <w:tcW w:w="340" w:type="dxa"/>
            <w:vAlign w:val="bottom"/>
            <w:shd w:val="clear" w:color="auto" w:fill="CCEEFF"/>
          </w:tcPr>
          <w:p>
            <w:pPr>
              <w:spacing w:after="0"/>
              <w:rPr>
                <w:sz w:val="16"/>
                <w:szCs w:val="16"/>
                <w:color w:val="auto"/>
              </w:rPr>
            </w:pPr>
          </w:p>
        </w:tc>
        <w:tc>
          <w:tcPr>
            <w:tcW w:w="10580" w:type="dxa"/>
            <w:vAlign w:val="bottom"/>
            <w:shd w:val="clear" w:color="auto" w:fill="CCEEFF"/>
          </w:tcPr>
          <w:p>
            <w:pPr>
              <w:ind w:left="200"/>
              <w:spacing w:after="0" w:line="167" w:lineRule="exact"/>
              <w:rPr>
                <w:sz w:val="20"/>
                <w:szCs w:val="20"/>
                <w:color w:val="auto"/>
              </w:rPr>
            </w:pPr>
            <w:r>
              <w:rPr>
                <w:rFonts w:ascii="Arial" w:cs="Arial" w:eastAsia="Arial" w:hAnsi="Arial"/>
                <w:sz w:val="17"/>
                <w:szCs w:val="17"/>
                <w:color w:val="auto"/>
              </w:rPr>
              <w:t>Certification of Chief Executive Officer pursuant to Section 302 of the Sarbanes-Oxley Act of 2002 (filed herewith)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58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31.</w:t>
            </w:r>
            <w:r>
              <w:rPr>
                <w:rFonts w:ascii="Arial" w:cs="Arial" w:eastAsia="Arial" w:hAnsi="Arial"/>
                <w:sz w:val="17"/>
                <w:szCs w:val="17"/>
                <w:u w:val="single" w:color="auto"/>
                <w:color w:val="0000EE"/>
              </w:rPr>
              <w:t>2</w:t>
            </w:r>
          </w:p>
        </w:tc>
        <w:tc>
          <w:tcPr>
            <w:tcW w:w="340" w:type="dxa"/>
            <w:vAlign w:val="bottom"/>
            <w:shd w:val="clear" w:color="auto" w:fill="CCEEFF"/>
          </w:tcPr>
          <w:p>
            <w:pPr>
              <w:spacing w:after="0"/>
              <w:rPr>
                <w:sz w:val="16"/>
                <w:szCs w:val="16"/>
                <w:color w:val="auto"/>
              </w:rPr>
            </w:pPr>
          </w:p>
        </w:tc>
        <w:tc>
          <w:tcPr>
            <w:tcW w:w="10580" w:type="dxa"/>
            <w:vAlign w:val="bottom"/>
            <w:shd w:val="clear" w:color="auto" w:fill="CCEEFF"/>
          </w:tcPr>
          <w:p>
            <w:pPr>
              <w:ind w:left="200"/>
              <w:spacing w:after="0" w:line="167" w:lineRule="exact"/>
              <w:rPr>
                <w:sz w:val="20"/>
                <w:szCs w:val="20"/>
                <w:color w:val="auto"/>
              </w:rPr>
            </w:pPr>
            <w:r>
              <w:rPr>
                <w:rFonts w:ascii="Arial" w:cs="Arial" w:eastAsia="Arial" w:hAnsi="Arial"/>
                <w:sz w:val="17"/>
                <w:szCs w:val="17"/>
                <w:color w:val="auto"/>
              </w:rPr>
              <w:t>Certification of Chief Financial Officer pursuant to Section 302 of the Sarbanes-Oxley Act of 2002 (filed herewith)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58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32.</w:t>
            </w:r>
            <w:r>
              <w:rPr>
                <w:rFonts w:ascii="Arial" w:cs="Arial" w:eastAsia="Arial" w:hAnsi="Arial"/>
                <w:sz w:val="17"/>
                <w:szCs w:val="17"/>
                <w:u w:val="single" w:color="auto"/>
                <w:color w:val="0000EE"/>
              </w:rPr>
              <w:t>1</w:t>
            </w:r>
          </w:p>
        </w:tc>
        <w:tc>
          <w:tcPr>
            <w:tcW w:w="340" w:type="dxa"/>
            <w:vAlign w:val="bottom"/>
            <w:shd w:val="clear" w:color="auto" w:fill="CCEEFF"/>
          </w:tcPr>
          <w:p>
            <w:pPr>
              <w:spacing w:after="0"/>
              <w:rPr>
                <w:sz w:val="16"/>
                <w:szCs w:val="16"/>
                <w:color w:val="auto"/>
              </w:rPr>
            </w:pPr>
          </w:p>
        </w:tc>
        <w:tc>
          <w:tcPr>
            <w:tcW w:w="10580" w:type="dxa"/>
            <w:vAlign w:val="bottom"/>
            <w:shd w:val="clear" w:color="auto" w:fill="CCEEFF"/>
          </w:tcPr>
          <w:p>
            <w:pPr>
              <w:ind w:left="200"/>
              <w:spacing w:after="0" w:line="167" w:lineRule="exact"/>
              <w:rPr>
                <w:sz w:val="20"/>
                <w:szCs w:val="20"/>
                <w:color w:val="auto"/>
              </w:rPr>
            </w:pPr>
            <w:r>
              <w:rPr>
                <w:rFonts w:ascii="Arial" w:cs="Arial" w:eastAsia="Arial" w:hAnsi="Arial"/>
                <w:sz w:val="17"/>
                <w:szCs w:val="17"/>
                <w:color w:val="auto"/>
              </w:rPr>
              <w:t>Certification of Chief Executive Officer pursuant to Section 906 of the Sarbanes-Oxley Act of 2002 (filed herewith)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58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32.</w:t>
            </w:r>
            <w:r>
              <w:rPr>
                <w:rFonts w:ascii="Arial" w:cs="Arial" w:eastAsia="Arial" w:hAnsi="Arial"/>
                <w:sz w:val="17"/>
                <w:szCs w:val="17"/>
                <w:u w:val="single" w:color="auto"/>
                <w:color w:val="0000EE"/>
              </w:rPr>
              <w:t>2</w:t>
            </w:r>
          </w:p>
        </w:tc>
        <w:tc>
          <w:tcPr>
            <w:tcW w:w="340" w:type="dxa"/>
            <w:vAlign w:val="bottom"/>
            <w:shd w:val="clear" w:color="auto" w:fill="CCEEFF"/>
          </w:tcPr>
          <w:p>
            <w:pPr>
              <w:spacing w:after="0"/>
              <w:rPr>
                <w:sz w:val="16"/>
                <w:szCs w:val="16"/>
                <w:color w:val="auto"/>
              </w:rPr>
            </w:pPr>
          </w:p>
        </w:tc>
        <w:tc>
          <w:tcPr>
            <w:tcW w:w="10580" w:type="dxa"/>
            <w:vAlign w:val="bottom"/>
            <w:shd w:val="clear" w:color="auto" w:fill="CCEEFF"/>
          </w:tcPr>
          <w:p>
            <w:pPr>
              <w:ind w:left="200"/>
              <w:spacing w:after="0" w:line="167" w:lineRule="exact"/>
              <w:rPr>
                <w:sz w:val="20"/>
                <w:szCs w:val="20"/>
                <w:color w:val="auto"/>
              </w:rPr>
            </w:pPr>
            <w:r>
              <w:rPr>
                <w:rFonts w:ascii="Arial" w:cs="Arial" w:eastAsia="Arial" w:hAnsi="Arial"/>
                <w:sz w:val="17"/>
                <w:szCs w:val="17"/>
                <w:color w:val="auto"/>
              </w:rPr>
              <w:t>Certification of Chief Financial Officer pursuant to Section 906 of the Sarbanes-Oxley Act of 2002 (filed herewith)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58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101.INS</w:t>
            </w:r>
          </w:p>
        </w:tc>
        <w:tc>
          <w:tcPr>
            <w:tcW w:w="10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Instance Document (filed herewith)</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101.SCH</w:t>
            </w:r>
          </w:p>
        </w:tc>
        <w:tc>
          <w:tcPr>
            <w:tcW w:w="10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Schema (filed herewith)</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101.CAL</w:t>
            </w:r>
          </w:p>
        </w:tc>
        <w:tc>
          <w:tcPr>
            <w:tcW w:w="10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Calculation Linkbase (filed herewith)</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101.LAB</w:t>
            </w:r>
          </w:p>
        </w:tc>
        <w:tc>
          <w:tcPr>
            <w:tcW w:w="10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Label Linkbase (filed herewith)</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101.PRE</w:t>
            </w:r>
          </w:p>
        </w:tc>
        <w:tc>
          <w:tcPr>
            <w:tcW w:w="10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Presentation Linkbase (filed herewith)</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101.DEF</w:t>
            </w:r>
          </w:p>
        </w:tc>
        <w:tc>
          <w:tcPr>
            <w:tcW w:w="10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Definition Linkbase (filed herewith)</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580" w:type="dxa"/>
            <w:vAlign w:val="bottom"/>
          </w:tcPr>
          <w:p>
            <w:pPr>
              <w:ind w:left="4800"/>
              <w:spacing w:after="0"/>
              <w:rPr>
                <w:sz w:val="20"/>
                <w:szCs w:val="20"/>
                <w:color w:val="auto"/>
              </w:rPr>
            </w:pPr>
            <w:r>
              <w:rPr>
                <w:rFonts w:ascii="Arial" w:cs="Arial" w:eastAsia="Arial" w:hAnsi="Arial"/>
                <w:sz w:val="14"/>
                <w:szCs w:val="14"/>
                <w:color w:val="auto"/>
              </w:rPr>
              <w:t>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CERTIFICATION</w:t>
      </w:r>
    </w:p>
    <w:p>
      <w:pPr>
        <w:spacing w:after="0" w:line="24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 Sandra B. Cochran, certify that:</w:t>
      </w:r>
    </w:p>
    <w:p>
      <w:pPr>
        <w:spacing w:after="0" w:line="243" w:lineRule="exact"/>
        <w:rPr>
          <w:sz w:val="20"/>
          <w:szCs w:val="20"/>
          <w:color w:val="auto"/>
        </w:rPr>
      </w:pPr>
    </w:p>
    <w:p>
      <w:pPr>
        <w:ind w:left="1480" w:hanging="457"/>
        <w:spacing w:after="0"/>
        <w:tabs>
          <w:tab w:leader="none" w:pos="14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Cracker Barrel Old Country Store, Inc.;</w:t>
      </w:r>
    </w:p>
    <w:p>
      <w:pPr>
        <w:spacing w:after="0" w:line="243" w:lineRule="exact"/>
        <w:rPr>
          <w:rFonts w:ascii="Arial" w:cs="Arial" w:eastAsia="Arial" w:hAnsi="Arial"/>
          <w:sz w:val="17"/>
          <w:szCs w:val="17"/>
          <w:color w:val="auto"/>
        </w:rPr>
      </w:pPr>
    </w:p>
    <w:p>
      <w:pPr>
        <w:jc w:val="both"/>
        <w:ind w:left="1480" w:hanging="457"/>
        <w:spacing w:after="0" w:line="266" w:lineRule="auto"/>
        <w:tabs>
          <w:tab w:leader="none" w:pos="14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7"/>
          <w:szCs w:val="17"/>
          <w:color w:val="auto"/>
        </w:rPr>
      </w:pPr>
    </w:p>
    <w:p>
      <w:pPr>
        <w:ind w:left="1480" w:hanging="457"/>
        <w:spacing w:after="0" w:line="312" w:lineRule="auto"/>
        <w:tabs>
          <w:tab w:leader="none" w:pos="14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jc w:val="both"/>
        <w:ind w:left="1480" w:hanging="457"/>
        <w:spacing w:after="0" w:line="294" w:lineRule="auto"/>
        <w:tabs>
          <w:tab w:leader="none" w:pos="1480" w:val="left"/>
        </w:tabs>
        <w:numPr>
          <w:ilvl w:val="1"/>
          <w:numId w:val="19"/>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5"/>
          <w:szCs w:val="15"/>
          <w:color w:val="auto"/>
        </w:rPr>
      </w:pPr>
    </w:p>
    <w:p>
      <w:pPr>
        <w:ind w:left="1480"/>
        <w:spacing w:after="0"/>
        <w:rPr>
          <w:rFonts w:ascii="Arial" w:cs="Arial" w:eastAsia="Arial" w:hAnsi="Arial"/>
          <w:sz w:val="15"/>
          <w:szCs w:val="15"/>
          <w:color w:val="auto"/>
        </w:rPr>
      </w:pPr>
      <w:r>
        <w:rPr>
          <w:rFonts w:ascii="Arial" w:cs="Arial" w:eastAsia="Arial" w:hAnsi="Arial"/>
          <w:sz w:val="17"/>
          <w:szCs w:val="17"/>
          <w:color w:val="auto"/>
        </w:rPr>
        <w:t>15d-15(f)) for the registrant and have:</w:t>
      </w:r>
    </w:p>
    <w:p>
      <w:pPr>
        <w:spacing w:after="0" w:line="232" w:lineRule="exact"/>
        <w:rPr>
          <w:rFonts w:ascii="Arial" w:cs="Arial" w:eastAsia="Arial" w:hAnsi="Arial"/>
          <w:sz w:val="15"/>
          <w:szCs w:val="15"/>
          <w:color w:val="auto"/>
        </w:rPr>
      </w:pPr>
    </w:p>
    <w:p>
      <w:pPr>
        <w:jc w:val="both"/>
        <w:ind w:left="1940" w:hanging="466"/>
        <w:spacing w:after="0" w:line="266" w:lineRule="auto"/>
        <w:tabs>
          <w:tab w:leader="none" w:pos="1940" w:val="left"/>
        </w:tabs>
        <w:numPr>
          <w:ilvl w:val="2"/>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940" w:hanging="466"/>
        <w:spacing w:after="0" w:line="266" w:lineRule="auto"/>
        <w:tabs>
          <w:tab w:leader="none" w:pos="1940" w:val="left"/>
        </w:tabs>
        <w:numPr>
          <w:ilvl w:val="2"/>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940" w:hanging="466"/>
        <w:spacing w:after="0" w:line="349" w:lineRule="auto"/>
        <w:tabs>
          <w:tab w:leader="none" w:pos="1940" w:val="left"/>
        </w:tabs>
        <w:numPr>
          <w:ilvl w:val="2"/>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940" w:hanging="466"/>
        <w:spacing w:after="0" w:line="266" w:lineRule="auto"/>
        <w:tabs>
          <w:tab w:leader="none" w:pos="1940" w:val="left"/>
        </w:tabs>
        <w:numPr>
          <w:ilvl w:val="2"/>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1480" w:hanging="470"/>
        <w:spacing w:after="0" w:line="349" w:lineRule="auto"/>
        <w:tabs>
          <w:tab w:leader="none" w:pos="14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5"/>
          <w:szCs w:val="15"/>
          <w:color w:val="auto"/>
        </w:rPr>
      </w:pPr>
    </w:p>
    <w:p>
      <w:pPr>
        <w:ind w:left="1940" w:hanging="466"/>
        <w:spacing w:after="0" w:line="312" w:lineRule="auto"/>
        <w:tabs>
          <w:tab w:leader="none" w:pos="1940" w:val="left"/>
        </w:tabs>
        <w:numPr>
          <w:ilvl w:val="2"/>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940" w:hanging="466"/>
        <w:spacing w:after="0" w:line="280" w:lineRule="auto"/>
        <w:tabs>
          <w:tab w:leader="none" w:pos="1940" w:val="left"/>
        </w:tabs>
        <w:numPr>
          <w:ilvl w:val="2"/>
          <w:numId w:val="2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February 26, 2013</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/s/Sandra B. Cochran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Sandra B. Cochran, President 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349885</wp:posOffset>
            </wp:positionV>
            <wp:extent cx="727329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282"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CERTIFICATION</w:t>
      </w:r>
    </w:p>
    <w:p>
      <w:pPr>
        <w:spacing w:after="0" w:line="24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 Lawrence E. Hyatt, certify that:</w:t>
      </w:r>
    </w:p>
    <w:p>
      <w:pPr>
        <w:spacing w:after="0" w:line="243" w:lineRule="exact"/>
        <w:rPr>
          <w:sz w:val="20"/>
          <w:szCs w:val="20"/>
          <w:color w:val="auto"/>
        </w:rPr>
      </w:pPr>
    </w:p>
    <w:p>
      <w:pPr>
        <w:ind w:left="1340" w:hanging="317"/>
        <w:spacing w:after="0"/>
        <w:tabs>
          <w:tab w:leader="none" w:pos="13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Cracker Barrel Old Country Store, Inc.;</w:t>
      </w:r>
    </w:p>
    <w:p>
      <w:pPr>
        <w:spacing w:after="0" w:line="243" w:lineRule="exact"/>
        <w:rPr>
          <w:rFonts w:ascii="Arial" w:cs="Arial" w:eastAsia="Arial" w:hAnsi="Arial"/>
          <w:sz w:val="17"/>
          <w:szCs w:val="17"/>
          <w:color w:val="auto"/>
        </w:rPr>
      </w:pPr>
    </w:p>
    <w:p>
      <w:pPr>
        <w:jc w:val="both"/>
        <w:ind w:left="1340" w:hanging="317"/>
        <w:spacing w:after="0" w:line="266" w:lineRule="auto"/>
        <w:tabs>
          <w:tab w:leader="none" w:pos="13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7"/>
          <w:szCs w:val="17"/>
          <w:color w:val="auto"/>
        </w:rPr>
      </w:pPr>
    </w:p>
    <w:p>
      <w:pPr>
        <w:ind w:left="1340" w:hanging="317"/>
        <w:spacing w:after="0" w:line="312" w:lineRule="auto"/>
        <w:tabs>
          <w:tab w:leader="none" w:pos="13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jc w:val="both"/>
        <w:ind w:left="1340" w:hanging="317"/>
        <w:spacing w:after="0" w:line="266" w:lineRule="auto"/>
        <w:tabs>
          <w:tab w:leader="none" w:pos="13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7"/>
          <w:szCs w:val="17"/>
          <w:color w:val="auto"/>
        </w:rPr>
      </w:pPr>
    </w:p>
    <w:p>
      <w:pPr>
        <w:jc w:val="both"/>
        <w:ind w:left="1940" w:hanging="466"/>
        <w:spacing w:after="0" w:line="266" w:lineRule="auto"/>
        <w:tabs>
          <w:tab w:leader="none" w:pos="1940" w:val="left"/>
        </w:tabs>
        <w:numPr>
          <w:ilvl w:val="2"/>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940" w:hanging="466"/>
        <w:spacing w:after="0" w:line="266" w:lineRule="auto"/>
        <w:tabs>
          <w:tab w:leader="none" w:pos="1940" w:val="left"/>
        </w:tabs>
        <w:numPr>
          <w:ilvl w:val="2"/>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940" w:hanging="466"/>
        <w:spacing w:after="0" w:line="349" w:lineRule="auto"/>
        <w:tabs>
          <w:tab w:leader="none" w:pos="1940" w:val="left"/>
        </w:tabs>
        <w:numPr>
          <w:ilvl w:val="2"/>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jc w:val="both"/>
        <w:ind w:left="1940" w:hanging="466"/>
        <w:spacing w:after="0" w:line="266" w:lineRule="auto"/>
        <w:tabs>
          <w:tab w:leader="none" w:pos="1940" w:val="left"/>
        </w:tabs>
        <w:numPr>
          <w:ilvl w:val="2"/>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1480" w:hanging="470"/>
        <w:spacing w:after="0" w:line="349" w:lineRule="auto"/>
        <w:tabs>
          <w:tab w:leader="none" w:pos="14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5"/>
          <w:szCs w:val="15"/>
          <w:color w:val="auto"/>
        </w:rPr>
      </w:pPr>
    </w:p>
    <w:p>
      <w:pPr>
        <w:ind w:left="1940" w:hanging="466"/>
        <w:spacing w:after="0" w:line="312" w:lineRule="auto"/>
        <w:tabs>
          <w:tab w:leader="none" w:pos="1940" w:val="left"/>
        </w:tabs>
        <w:numPr>
          <w:ilvl w:val="2"/>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940" w:hanging="466"/>
        <w:spacing w:after="0" w:line="280" w:lineRule="auto"/>
        <w:tabs>
          <w:tab w:leader="none" w:pos="1940" w:val="left"/>
        </w:tabs>
        <w:numPr>
          <w:ilvl w:val="2"/>
          <w:numId w:val="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February 26, 2013</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/s/Lawrence E. Hyatt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Lawrence E. Hyatt, Senior Vice President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333375</wp:posOffset>
            </wp:positionV>
            <wp:extent cx="727329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282"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32.1</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CERTIFICATION OF CHIEF EXECUTIVE OFFICER</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PURSUANT TO 18 U.S.C. SECTION 1350, AS ADOPTED</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PURSUANT TO SECTION 906 OF THE SARBANES-OXLEY ACT OF 2002</w:t>
      </w:r>
    </w:p>
    <w:p>
      <w:pPr>
        <w:spacing w:after="0" w:line="23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connection with the Quarterly Report of Cracker Barrel Old Country Store, Inc. (the “Issuer”) on Form 10-Q for the fiscal quarter ended February 1, 2013,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202" w:lineRule="exact"/>
        <w:rPr>
          <w:sz w:val="20"/>
          <w:szCs w:val="20"/>
          <w:color w:val="auto"/>
        </w:rPr>
      </w:pPr>
    </w:p>
    <w:p>
      <w:pPr>
        <w:ind w:left="320" w:hanging="317"/>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3" w:lineRule="exact"/>
        <w:rPr>
          <w:sz w:val="20"/>
          <w:szCs w:val="20"/>
          <w:color w:val="auto"/>
        </w:rPr>
      </w:pPr>
    </w:p>
    <w:p>
      <w:pPr>
        <w:spacing w:after="0"/>
        <w:tabs>
          <w:tab w:leader="none" w:pos="4560" w:val="left"/>
        </w:tabs>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February 26, 2013</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u w:val="single" w:color="auto"/>
          <w:color w:val="auto"/>
        </w:rPr>
        <w:t>/s/Sandra B. Cochran</w:t>
      </w:r>
    </w:p>
    <w:p>
      <w:pPr>
        <w:spacing w:after="0" w:line="37"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Sandra B. Cochran</w:t>
      </w:r>
    </w:p>
    <w:p>
      <w:pPr>
        <w:spacing w:after="0" w:line="22"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366395</wp:posOffset>
            </wp:positionV>
            <wp:extent cx="727329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380"/>
          </w:cols>
          <w:pgMar w:left="240" w:top="282" w:right="279" w:bottom="1440" w:gutter="0" w:footer="0" w:header="0"/>
        </w:sectPr>
      </w:pPr>
    </w:p>
    <w:bookmarkStart w:id="33" w:name="page34"/>
    <w:bookmarkEnd w:id="33"/>
    <w:p>
      <w:pPr>
        <w:ind w:left="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32.2</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CERTIFICATION OF CHIEF FINANCIAL OFFICER</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18 U.S.C. SECTION 1350, AS ADOPTED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SECTION 906 OF THE SARBANES-OXLEY ACT OF 2002</w:t>
      </w:r>
    </w:p>
    <w:p>
      <w:pPr>
        <w:spacing w:after="0" w:line="23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In connection with the Quarterly Report of Cracker Barrel Old Country Store, Inc. (the “Issuer”) on Form 10-Q for the fiscal quarter ended February 1, 2013, as filed with the Securities and Exchange Commission on the date hereof (the “Report”), I, Lawrence E. Hyatt, Senior Vice President and Chief Financial Officer of the Issuer, certify, pursuant to 18 U.S.C. Section 1350, as adopted pursuant to Section 906 of the Sarbanes-Oxley Act of 2002, that:</w:t>
      </w:r>
    </w:p>
    <w:p>
      <w:pPr>
        <w:spacing w:after="0" w:line="202" w:lineRule="exact"/>
        <w:rPr>
          <w:sz w:val="20"/>
          <w:szCs w:val="20"/>
          <w:color w:val="auto"/>
        </w:rPr>
      </w:pPr>
    </w:p>
    <w:p>
      <w:pPr>
        <w:ind w:left="320" w:hanging="317"/>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20" w:type="dxa"/>
            <w:vAlign w:val="bottom"/>
            <w:gridSpan w:val="3"/>
          </w:tcPr>
          <w:p>
            <w:pPr>
              <w:spacing w:after="0"/>
              <w:rPr>
                <w:sz w:val="20"/>
                <w:szCs w:val="20"/>
                <w:color w:val="auto"/>
              </w:rPr>
            </w:pPr>
            <w:r>
              <w:rPr>
                <w:rFonts w:ascii="Arial" w:cs="Arial" w:eastAsia="Arial" w:hAnsi="Arial"/>
                <w:sz w:val="17"/>
                <w:szCs w:val="17"/>
                <w:color w:val="auto"/>
              </w:rPr>
              <w:t>Date: February 26, 2013</w:t>
            </w:r>
          </w:p>
        </w:tc>
        <w:tc>
          <w:tcPr>
            <w:tcW w:w="8340" w:type="dxa"/>
            <w:vAlign w:val="bottom"/>
            <w:gridSpan w:val="3"/>
          </w:tcPr>
          <w:p>
            <w:pPr>
              <w:ind w:left="1460"/>
              <w:spacing w:after="0"/>
              <w:rPr>
                <w:sz w:val="20"/>
                <w:szCs w:val="20"/>
                <w:color w:val="auto"/>
              </w:rPr>
            </w:pPr>
            <w:r>
              <w:rPr>
                <w:rFonts w:ascii="Arial" w:cs="Arial" w:eastAsia="Arial" w:hAnsi="Arial"/>
                <w:sz w:val="17"/>
                <w:szCs w:val="17"/>
                <w:color w:val="auto"/>
              </w:rPr>
              <w:t>By: /s/Lawrence E. Hyatt</w:t>
            </w:r>
          </w:p>
        </w:tc>
      </w:tr>
      <w:tr>
        <w:trPr>
          <w:trHeight w:val="213"/>
        </w:trPr>
        <w:tc>
          <w:tcPr>
            <w:tcW w:w="4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w w:val="98"/>
              </w:rPr>
              <w:t>Lawrence E. Hyatt,</w:t>
            </w:r>
          </w:p>
        </w:tc>
        <w:tc>
          <w:tcPr>
            <w:tcW w:w="514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600" w:type="dxa"/>
            <w:vAlign w:val="bottom"/>
            <w:gridSpan w:val="2"/>
          </w:tcPr>
          <w:p>
            <w:pPr>
              <w:ind w:left="20"/>
              <w:spacing w:after="0"/>
              <w:rPr>
                <w:sz w:val="20"/>
                <w:szCs w:val="20"/>
                <w:color w:val="auto"/>
              </w:rPr>
            </w:pPr>
            <w:r>
              <w:rPr>
                <w:rFonts w:ascii="Arial" w:cs="Arial" w:eastAsia="Arial" w:hAnsi="Arial"/>
                <w:sz w:val="17"/>
                <w:szCs w:val="17"/>
                <w:color w:val="auto"/>
              </w:rPr>
              <w:t>Senior Vice President and Chief Financial Officer</w:t>
            </w:r>
          </w:p>
        </w:tc>
      </w:tr>
      <w:tr>
        <w:trPr>
          <w:trHeight w:val="579"/>
        </w:trPr>
        <w:tc>
          <w:tcPr>
            <w:tcW w:w="4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1900" w:h="16838" w:orient="portrait"/>
      <w:cols w:equalWidth="0" w:num="1">
        <w:col w:w="11460"/>
      </w:cols>
      <w:pgMar w:left="240" w:top="28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1."/>
      <w:numFmt w:val="decimal"/>
      <w:start w:val="3"/>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1."/>
      <w:numFmt w:val="decimal"/>
      <w:start w:val="6"/>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8"/>
    </w:lvl>
  </w:abstractNum>
  <w:abstractNum w:abstractNumId="11">
    <w:nsid w:val="431BD7B7"/>
    <w:multiLevelType w:val="hybridMultilevel"/>
    <w:lvl w:ilvl="0">
      <w:lvlJc w:val="left"/>
      <w:lvlText w:val="%1."/>
      <w:numFmt w:val="decimal"/>
      <w:start w:val="9"/>
    </w:lvl>
  </w:abstractNum>
  <w:abstractNum w:abstractNumId="12">
    <w:nsid w:val="3F2DBA31"/>
    <w:multiLevelType w:val="hybridMultilevel"/>
    <w:lvl w:ilvl="0">
      <w:lvlJc w:val="left"/>
      <w:lvlText w:val="%1."/>
      <w:numFmt w:val="decimal"/>
      <w:start w:val="10"/>
    </w:lvl>
  </w:abstractNum>
  <w:abstractNum w:abstractNumId="13">
    <w:nsid w:val="7C83E458"/>
    <w:multiLevelType w:val="hybridMultilevel"/>
    <w:lvl w:ilvl="0">
      <w:lvlJc w:val="left"/>
      <w:lvlText w:val="%1."/>
      <w:numFmt w:val="decimal"/>
      <w:start w:val="1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9">
    <w:nsid w:val="721DA317"/>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0">
    <w:nsid w:val="2443A85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1">
    <w:nsid w:val="2D1D5AE9"/>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2019-12-06T20:42:08Z</dcterms:created>
  <dcterms:modified xsi:type="dcterms:W3CDTF">2019-12-06T20:42:08Z</dcterms:modified>
</cp:coreProperties>
</file>