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60" w:right="3960" w:hanging="404"/>
        <w:spacing w:after="0" w:line="266" w:lineRule="auto"/>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April 28, 2017</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1060" w:right="3980" w:hanging="404"/>
        <w:spacing w:after="0" w:line="277" w:lineRule="auto"/>
        <w:tabs>
          <w:tab w:leader="none" w:pos="10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238125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5560" w:type="dxa"/>
            <w:vAlign w:val="bottom"/>
          </w:tcPr>
          <w:p>
            <w:pPr>
              <w:jc w:val="center"/>
              <w:ind w:right="2170"/>
              <w:spacing w:after="0"/>
              <w:rPr>
                <w:sz w:val="20"/>
                <w:szCs w:val="20"/>
                <w:color w:val="auto"/>
              </w:rPr>
            </w:pPr>
            <w:r>
              <w:rPr>
                <w:rFonts w:ascii="Arial" w:cs="Arial" w:eastAsia="Arial" w:hAnsi="Arial"/>
                <w:sz w:val="18"/>
                <w:szCs w:val="18"/>
                <w:color w:val="auto"/>
                <w:w w:val="83"/>
              </w:rPr>
              <w:t>Tennessee</w:t>
            </w:r>
          </w:p>
        </w:tc>
        <w:tc>
          <w:tcPr>
            <w:tcW w:w="5220" w:type="dxa"/>
            <w:vAlign w:val="bottom"/>
          </w:tcPr>
          <w:p>
            <w:pPr>
              <w:jc w:val="center"/>
              <w:ind w:left="217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16"/>
        </w:trPr>
        <w:tc>
          <w:tcPr>
            <w:tcW w:w="5560" w:type="dxa"/>
            <w:vAlign w:val="bottom"/>
          </w:tcPr>
          <w:p>
            <w:pPr>
              <w:jc w:val="center"/>
              <w:ind w:right="2170"/>
              <w:spacing w:after="0"/>
              <w:rPr>
                <w:sz w:val="20"/>
                <w:szCs w:val="20"/>
                <w:color w:val="auto"/>
              </w:rPr>
            </w:pPr>
            <w:r>
              <w:rPr>
                <w:rFonts w:ascii="Arial" w:cs="Arial" w:eastAsia="Arial" w:hAnsi="Arial"/>
                <w:sz w:val="18"/>
                <w:szCs w:val="18"/>
                <w:color w:val="auto"/>
                <w:w w:val="92"/>
              </w:rPr>
              <w:t>(State or other jurisdiction of incorporation or</w:t>
            </w:r>
          </w:p>
        </w:tc>
        <w:tc>
          <w:tcPr>
            <w:tcW w:w="5220" w:type="dxa"/>
            <w:vAlign w:val="bottom"/>
          </w:tcPr>
          <w:p>
            <w:pPr>
              <w:jc w:val="center"/>
              <w:ind w:left="2190"/>
              <w:spacing w:after="0"/>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560" w:type="dxa"/>
            <w:vAlign w:val="bottom"/>
          </w:tcPr>
          <w:p>
            <w:pPr>
              <w:jc w:val="center"/>
              <w:ind w:right="2150"/>
              <w:spacing w:after="0"/>
              <w:rPr>
                <w:sz w:val="20"/>
                <w:szCs w:val="20"/>
                <w:color w:val="auto"/>
              </w:rPr>
            </w:pPr>
            <w:r>
              <w:rPr>
                <w:rFonts w:ascii="Arial" w:cs="Arial" w:eastAsia="Arial" w:hAnsi="Arial"/>
                <w:sz w:val="18"/>
                <w:szCs w:val="18"/>
                <w:color w:val="auto"/>
                <w:w w:val="92"/>
              </w:rPr>
              <w:t>organization)</w:t>
            </w:r>
          </w:p>
        </w:tc>
        <w:tc>
          <w:tcPr>
            <w:tcW w:w="5220" w:type="dxa"/>
            <w:vAlign w:val="bottom"/>
          </w:tcPr>
          <w:p>
            <w:pPr>
              <w:spacing w:after="0"/>
              <w:rPr>
                <w:sz w:val="20"/>
                <w:szCs w:val="20"/>
                <w:color w:val="auto"/>
              </w:rPr>
            </w:pPr>
          </w:p>
        </w:tc>
      </w:tr>
      <w:tr>
        <w:trPr>
          <w:trHeight w:val="445"/>
        </w:trPr>
        <w:tc>
          <w:tcPr>
            <w:tcW w:w="5560" w:type="dxa"/>
            <w:vAlign w:val="bottom"/>
          </w:tcPr>
          <w:p>
            <w:pPr>
              <w:jc w:val="center"/>
              <w:ind w:right="2170"/>
              <w:spacing w:after="0"/>
              <w:rPr>
                <w:sz w:val="20"/>
                <w:szCs w:val="20"/>
                <w:color w:val="auto"/>
              </w:rPr>
            </w:pPr>
            <w:r>
              <w:rPr>
                <w:rFonts w:ascii="Arial" w:cs="Arial" w:eastAsia="Arial" w:hAnsi="Arial"/>
                <w:sz w:val="18"/>
                <w:szCs w:val="18"/>
                <w:color w:val="auto"/>
                <w:w w:val="93"/>
              </w:rPr>
              <w:t>305 Hartmann Drive</w:t>
            </w:r>
          </w:p>
        </w:tc>
        <w:tc>
          <w:tcPr>
            <w:tcW w:w="5220" w:type="dxa"/>
            <w:vAlign w:val="bottom"/>
          </w:tcPr>
          <w:p>
            <w:pPr>
              <w:jc w:val="center"/>
              <w:ind w:left="2170"/>
              <w:spacing w:after="0"/>
              <w:rPr>
                <w:sz w:val="20"/>
                <w:szCs w:val="20"/>
                <w:color w:val="auto"/>
              </w:rPr>
            </w:pPr>
            <w:r>
              <w:rPr>
                <w:rFonts w:ascii="Arial" w:cs="Arial" w:eastAsia="Arial" w:hAnsi="Arial"/>
                <w:sz w:val="18"/>
                <w:szCs w:val="18"/>
                <w:color w:val="auto"/>
                <w:w w:val="91"/>
              </w:rPr>
              <w:t>37087-4779</w:t>
            </w:r>
          </w:p>
        </w:tc>
      </w:tr>
      <w:tr>
        <w:trPr>
          <w:trHeight w:val="216"/>
        </w:trPr>
        <w:tc>
          <w:tcPr>
            <w:tcW w:w="5560" w:type="dxa"/>
            <w:vAlign w:val="bottom"/>
          </w:tcPr>
          <w:p>
            <w:pPr>
              <w:jc w:val="center"/>
              <w:ind w:right="2170"/>
              <w:spacing w:after="0"/>
              <w:rPr>
                <w:sz w:val="20"/>
                <w:szCs w:val="20"/>
                <w:color w:val="auto"/>
              </w:rPr>
            </w:pPr>
            <w:r>
              <w:rPr>
                <w:rFonts w:ascii="Arial" w:cs="Arial" w:eastAsia="Arial" w:hAnsi="Arial"/>
                <w:sz w:val="18"/>
                <w:szCs w:val="18"/>
                <w:color w:val="auto"/>
                <w:w w:val="86"/>
              </w:rPr>
              <w:t>Lebanon, Tennessee</w:t>
            </w:r>
          </w:p>
        </w:tc>
        <w:tc>
          <w:tcPr>
            <w:tcW w:w="5220" w:type="dxa"/>
            <w:vAlign w:val="bottom"/>
          </w:tcPr>
          <w:p>
            <w:pPr>
              <w:jc w:val="center"/>
              <w:ind w:left="2170"/>
              <w:spacing w:after="0"/>
              <w:rPr>
                <w:sz w:val="20"/>
                <w:szCs w:val="20"/>
                <w:color w:val="auto"/>
              </w:rPr>
            </w:pPr>
            <w:r>
              <w:rPr>
                <w:rFonts w:ascii="Arial" w:cs="Arial" w:eastAsia="Arial" w:hAnsi="Arial"/>
                <w:sz w:val="18"/>
                <w:szCs w:val="18"/>
                <w:color w:val="auto"/>
                <w:w w:val="93"/>
              </w:rPr>
              <w:t>(Zip code)</w:t>
            </w:r>
          </w:p>
        </w:tc>
      </w:tr>
      <w:tr>
        <w:trPr>
          <w:trHeight w:val="230"/>
        </w:trPr>
        <w:tc>
          <w:tcPr>
            <w:tcW w:w="5560" w:type="dxa"/>
            <w:vAlign w:val="bottom"/>
          </w:tcPr>
          <w:p>
            <w:pPr>
              <w:jc w:val="center"/>
              <w:ind w:right="2170"/>
              <w:spacing w:after="0"/>
              <w:rPr>
                <w:sz w:val="20"/>
                <w:szCs w:val="20"/>
                <w:color w:val="auto"/>
              </w:rPr>
            </w:pPr>
            <w:r>
              <w:rPr>
                <w:rFonts w:ascii="Arial" w:cs="Arial" w:eastAsia="Arial" w:hAnsi="Arial"/>
                <w:sz w:val="18"/>
                <w:szCs w:val="18"/>
                <w:color w:val="auto"/>
                <w:w w:val="92"/>
              </w:rPr>
              <w:t>(Address of principal executive offices)</w:t>
            </w:r>
          </w:p>
        </w:tc>
        <w:tc>
          <w:tcPr>
            <w:tcW w:w="522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1" w:right="239" w:bottom="1440" w:gutter="0" w:footer="0" w:header="0"/>
        </w:sectPr>
      </w:pPr>
    </w:p>
    <w:p>
      <w:pPr>
        <w:spacing w:after="0" w:line="176" w:lineRule="exact"/>
        <w:rPr>
          <w:sz w:val="24"/>
          <w:szCs w:val="24"/>
          <w:color w:val="auto"/>
        </w:rPr>
      </w:pPr>
    </w:p>
    <w:p>
      <w:pPr>
        <w:ind w:left="580"/>
        <w:spacing w:after="0" w:line="24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98" w:lineRule="exact"/>
        <w:rPr>
          <w:sz w:val="24"/>
          <w:szCs w:val="24"/>
          <w:color w:val="auto"/>
        </w:rPr>
      </w:pPr>
    </w:p>
    <w:p>
      <w:pPr>
        <w:sectPr>
          <w:pgSz w:w="11900" w:h="16838" w:orient="portrait"/>
          <w:cols w:equalWidth="0" w:num="6">
            <w:col w:w="2560" w:space="80"/>
            <w:col w:w="640" w:space="720"/>
            <w:col w:w="1960" w:space="100"/>
            <w:col w:w="640" w:space="720"/>
            <w:col w:w="1520" w:space="80"/>
            <w:col w:w="2400"/>
          </w:cols>
          <w:pgMar w:left="240" w:top="541" w:right="239" w:bottom="1440" w:gutter="0" w:footer="0" w:header="0"/>
          <w:type w:val="continuous"/>
        </w:sectPr>
      </w:pPr>
    </w:p>
    <w:p>
      <w:pPr>
        <w:spacing w:after="0" w:line="3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24,042,573 Shares of Common Stock</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Outstanding as of May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2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60" w:type="dxa"/>
            <w:vAlign w:val="bottom"/>
            <w:gridSpan w:val="6"/>
          </w:tcPr>
          <w:p>
            <w:pPr>
              <w:jc w:val="center"/>
              <w:ind w:right="4640"/>
              <w:spacing w:after="0"/>
              <w:rPr>
                <w:sz w:val="20"/>
                <w:szCs w:val="20"/>
                <w:color w:val="auto"/>
              </w:rPr>
            </w:pPr>
            <w:r>
              <w:rPr>
                <w:rFonts w:ascii="Arial" w:cs="Arial" w:eastAsia="Arial" w:hAnsi="Arial"/>
                <w:sz w:val="18"/>
                <w:szCs w:val="18"/>
                <w:b w:val="1"/>
                <w:bCs w:val="1"/>
                <w:color w:val="auto"/>
                <w:w w:val="99"/>
              </w:rPr>
              <w:t>FORM 10-Q</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2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3"/>
              </w:rPr>
              <w:t>For the Quarter Ended April 28, 2017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60" w:type="dxa"/>
            <w:vAlign w:val="bottom"/>
            <w:gridSpan w:val="6"/>
          </w:tcPr>
          <w:p>
            <w:pPr>
              <w:jc w:val="center"/>
              <w:ind w:right="464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60" w:type="dxa"/>
            <w:vAlign w:val="bottom"/>
            <w:gridSpan w:val="15"/>
          </w:tcPr>
          <w:p>
            <w:pPr>
              <w:spacing w:after="0"/>
              <w:rPr>
                <w:sz w:val="20"/>
                <w:szCs w:val="20"/>
                <w:color w:val="auto"/>
              </w:rPr>
            </w:pPr>
            <w:r>
              <w:rPr>
                <w:rFonts w:ascii="Arial" w:cs="Arial" w:eastAsia="Arial" w:hAnsi="Arial"/>
                <w:sz w:val="18"/>
                <w:szCs w:val="18"/>
                <w:b w:val="1"/>
                <w:bCs w:val="1"/>
                <w:color w:val="auto"/>
              </w:rPr>
              <w:t>PART I. FINANCIAL INFORMATION</w:t>
            </w:r>
          </w:p>
        </w:tc>
        <w:tc>
          <w:tcPr>
            <w:tcW w:w="58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80" w:type="dxa"/>
            <w:vAlign w:val="bottom"/>
            <w:gridSpan w:val="13"/>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April 28, 2017 and July 29, 2016</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Income for the Quarters and Nine Months Ended April 28, 2017 and April 29, 2016</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ind w:left="320"/>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 Condensed Consolidated Statements of Comprehensive Income for the Quarters and Nine Months Ended April 28, 2017 and April 29, 2016</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Nine Months Ended April 28, 2017 and April 29, 2016</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5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260" w:type="dxa"/>
            <w:vAlign w:val="bottom"/>
            <w:tcBorders>
              <w:top w:val="single" w:sz="8" w:color="CCEEFF"/>
            </w:tcBorders>
            <w:gridSpan w:val="6"/>
          </w:tcPr>
          <w:p>
            <w:pPr>
              <w:jc w:val="center"/>
              <w:ind w:left="3768"/>
              <w:spacing w:after="0"/>
              <w:rPr>
                <w:sz w:val="20"/>
                <w:szCs w:val="20"/>
                <w:color w:val="auto"/>
              </w:rPr>
            </w:pPr>
            <w:r>
              <w:rPr>
                <w:rFonts w:ascii="Arial" w:cs="Arial" w:eastAsia="Arial" w:hAnsi="Arial"/>
                <w:sz w:val="14"/>
                <w:szCs w:val="14"/>
                <w:color w:val="auto"/>
                <w:w w:val="76"/>
              </w:rPr>
              <w:t>2</w:t>
            </w:r>
          </w:p>
        </w:tc>
        <w:tc>
          <w:tcPr>
            <w:tcW w:w="90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color w:val="auto"/>
                <w:w w:val="87"/>
              </w:rPr>
              <w:t>(In thousands, except share data)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April 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July 29,</w:t>
            </w:r>
          </w:p>
        </w:tc>
        <w:tc>
          <w:tcPr>
            <w:tcW w:w="0" w:type="dxa"/>
            <w:vAlign w:val="bottom"/>
          </w:tcPr>
          <w:p>
            <w:pPr>
              <w:spacing w:after="0"/>
              <w:rPr>
                <w:sz w:val="1"/>
                <w:szCs w:val="1"/>
                <w:color w:val="auto"/>
              </w:rPr>
            </w:pPr>
          </w:p>
        </w:tc>
      </w:tr>
      <w:tr>
        <w:trPr>
          <w:trHeight w:val="122"/>
        </w:trPr>
        <w:tc>
          <w:tcPr>
            <w:tcW w:w="86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183,693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Property held for sale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15,902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378,140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355,740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978,842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931,656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1,093,354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1,535,028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98,462</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239,808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338,270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Long-term interest rate swap liability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60,045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Participating Preferred Stock; no shares issued</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24,042,573 shares issued and outstanding at April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28, 2017, and 23,956,134 shares issued and outstanding at July 29, 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601,960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526,443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1,535,028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77" w:lineRule="auto"/>
        <w:tabs>
          <w:tab w:leader="none" w:pos="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29, 2016, as filed with the Securities and Exchange Commission in the Company’s Annual Report on Form 10-K for the fiscal year ended July 29,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9"/>
              </w:rPr>
              <w:t>April 28,</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2,183,063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212,382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250,819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249,324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759,193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745,581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46,924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49,169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148,006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138,276</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24,042,573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23,941,188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24,028,175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23,945,184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24,121,203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24,073,778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24,111,753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24,064,624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6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rPr>
              <w:t>April 28,</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46,924</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comprehensive income (loss) before income tax expense (benefit):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9"/>
              </w:rPr>
              <w:t>(Unaudited and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380"/>
              <w:spacing w:after="0" w:line="201" w:lineRule="exact"/>
              <w:rPr>
                <w:sz w:val="20"/>
                <w:szCs w:val="20"/>
                <w:color w:val="auto"/>
              </w:rPr>
            </w:pPr>
            <w:r>
              <w:rPr>
                <w:rFonts w:ascii="Arial" w:cs="Arial" w:eastAsia="Arial" w:hAnsi="Arial"/>
                <w:sz w:val="18"/>
                <w:szCs w:val="18"/>
                <w:color w:val="auto"/>
              </w:rPr>
              <w:t>April 28,</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(3,224)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(34,031)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long-term assets and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203,072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(81,249)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(80,448)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(6,031)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and retirement of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(85,069)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(151,385)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(89,897)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(169,256)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32,727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183,693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176,692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Interest, net of amounts capitalized</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(6,015)</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April 28, 2017 and July 29, 2016 and the related condensed consolidated statements of income, comprehensive income and cash flows for the quarters and nine months ended April 28, 2017 and April 29, 2016, respectively, have been prepared by the Company in accordance with accounting principles generally accepted in the United States of America and pursuant to the rules and regulations of the Securities and Exchange Commission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29, 2016 (the “2016 Form 10-K”). The accounting policies used in preparing these condensed consolidated financial statements are the same as described in the 2016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 Issuance Costs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the FASB issued accounting guidance which requires debt issuance costs to be presented in the balance sheet as a reduction of the related debt liability rather than as an asset. This accounting guidance was effective for fiscal years beginning after December 15, 2015, and interim periods within those years on a retrospective basis. Since this accounting guidance does not pertain to debt issuance costs related to revolving debt agreements, this accounting guidance did not have a significant impact on the Company’s consolidated financial position or results of operations upon adoption in the first quarter of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years. Early application is permitted for fiscal years beginning after December 15, 2016. A company may apply this accounting guidance either retrospectively or by using the cumulative effect transition method. The Company is currently evaluating the impact of adopting this accounting guidance in the first quarter of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does not expect that the adoption of this accounting guidance in the first quarter of 2018 will have a significant impact on the Company’s consolidated financial position or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years. This accounting guidance may be applied either prospectively to all deferred tax liabilities and assets or retrospectively to all periods presented. Other than the revised balance sheet presentation of deferred tax liabilities and assets, the Company does not expect that the adoption of this accounting guidance in the first quarter of 2018 will have a significant impact on the Company’s consolidated financial position or results of operations.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years. This guidance may be applied either on a prospective basis, retrospective basis or a modified retrospective basis depending on the specific accounting topic covered in the accounting guidance. Early adoption is permitted. The Company is currently evaluating the impact of adopting this accounting guidance in the first quarter of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April 28, 2017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29, 2016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April 28, 2017 and July 29, 2016.</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April 28, 2017</w:t>
            </w:r>
          </w:p>
        </w:tc>
        <w:tc>
          <w:tcPr>
            <w:tcW w:w="1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July 29, 2016</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Restaurant</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20,350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21,522</w:t>
            </w: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16,176</w:t>
            </w:r>
          </w:p>
        </w:tc>
      </w:tr>
      <w:tr>
        <w:trPr>
          <w:trHeight w:val="216"/>
        </w:trPr>
        <w:tc>
          <w:tcPr>
            <w:tcW w:w="20" w:type="dxa"/>
            <w:vAlign w:val="bottom"/>
          </w:tcPr>
          <w:p>
            <w:pPr>
              <w:spacing w:after="0"/>
              <w:rPr>
                <w:sz w:val="18"/>
                <w:szCs w:val="18"/>
                <w:color w:val="auto"/>
              </w:rPr>
            </w:pPr>
          </w:p>
        </w:tc>
        <w:tc>
          <w:tcPr>
            <w:tcW w:w="760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155,532</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152,308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a $750,000 revolving credit facility (the “Revolving Credit Facility”), which expires on January 8, 2020. At both April 28, 2017 and July 29, 2016, the Company had $400,000 of outstanding borrowings under the Revolving Credit Facility. At April 28, 2017, the Company had $9,655 of standby letters of credit, which reduce the Company’s borrowing availability under the Revolving Credit Facility (see Note 11 for more information on the Company’s standby letters of credit). At April 28, 2017, the Company had $340,345 in borrowing availability under the Revolving Credit Facility.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under the Revolving Credit Facility. As of April 28, 2017, the Company’s outstanding borrowings were swapped at a weighted average interest rate of 2.85% (see Note 5 for information on the Company’s interest rate swaps).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April 28, 2017, the Company was in compliance with all financial covenants.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20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April 28, 2017 was 1.00%. All of the Company’s interest rate swaps are accounted for as cash flow hedges.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April 28, 2017 is as follows: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80" w:type="dxa"/>
            <w:vAlign w:val="bottom"/>
          </w:tcPr>
          <w:p>
            <w:pPr>
              <w:jc w:val="center"/>
              <w:ind w:left="370"/>
              <w:spacing w:after="0"/>
              <w:rPr>
                <w:sz w:val="20"/>
                <w:szCs w:val="20"/>
                <w:color w:val="auto"/>
              </w:rPr>
            </w:pPr>
            <w:r>
              <w:rPr>
                <w:rFonts w:ascii="Arial" w:cs="Arial" w:eastAsia="Arial" w:hAnsi="Arial"/>
                <w:sz w:val="18"/>
                <w:szCs w:val="18"/>
                <w:color w:val="auto"/>
                <w:w w:val="90"/>
              </w:rPr>
              <w:t>Term</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Fixed</w:t>
            </w:r>
          </w:p>
        </w:tc>
      </w:tr>
      <w:tr>
        <w:trPr>
          <w:trHeight w:val="237"/>
        </w:trPr>
        <w:tc>
          <w:tcPr>
            <w:tcW w:w="20" w:type="dxa"/>
            <w:vAlign w:val="bottom"/>
          </w:tcPr>
          <w:p>
            <w:pPr>
              <w:spacing w:after="0"/>
              <w:rPr>
                <w:sz w:val="20"/>
                <w:szCs w:val="20"/>
                <w:color w:val="auto"/>
              </w:rPr>
            </w:pPr>
          </w:p>
        </w:tc>
        <w:tc>
          <w:tcPr>
            <w:tcW w:w="2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Trade Date</w:t>
            </w:r>
          </w:p>
        </w:tc>
        <w:tc>
          <w:tcPr>
            <w:tcW w:w="28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Effective Date</w:t>
            </w:r>
          </w:p>
        </w:tc>
        <w:tc>
          <w:tcPr>
            <w:tcW w:w="14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2"/>
              </w:rPr>
              <w:t>(in Years)</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Notional Amount</w:t>
            </w: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3, 2015</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April 8, 2013</w:t>
            </w:r>
          </w:p>
        </w:tc>
        <w:tc>
          <w:tcPr>
            <w:tcW w:w="2800" w:type="dxa"/>
            <w:vAlign w:val="bottom"/>
          </w:tcPr>
          <w:p>
            <w:pPr>
              <w:ind w:left="440"/>
              <w:spacing w:after="0"/>
              <w:rPr>
                <w:sz w:val="20"/>
                <w:szCs w:val="20"/>
                <w:color w:val="auto"/>
              </w:rPr>
            </w:pPr>
            <w:r>
              <w:rPr>
                <w:rFonts w:ascii="Arial" w:cs="Arial" w:eastAsia="Arial" w:hAnsi="Arial"/>
                <w:sz w:val="18"/>
                <w:szCs w:val="18"/>
                <w:color w:val="auto"/>
              </w:rPr>
              <w:t>May 3, 2015</w:t>
            </w:r>
          </w:p>
        </w:tc>
        <w:tc>
          <w:tcPr>
            <w:tcW w:w="14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50,000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3, 2015</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April 22, 2013</w:t>
            </w:r>
          </w:p>
        </w:tc>
        <w:tc>
          <w:tcPr>
            <w:tcW w:w="2800" w:type="dxa"/>
            <w:vAlign w:val="bottom"/>
          </w:tcPr>
          <w:p>
            <w:pPr>
              <w:ind w:left="440"/>
              <w:spacing w:after="0"/>
              <w:rPr>
                <w:sz w:val="20"/>
                <w:szCs w:val="20"/>
                <w:color w:val="auto"/>
              </w:rPr>
            </w:pPr>
            <w:r>
              <w:rPr>
                <w:rFonts w:ascii="Arial" w:cs="Arial" w:eastAsia="Arial" w:hAnsi="Arial"/>
                <w:sz w:val="18"/>
                <w:szCs w:val="18"/>
                <w:color w:val="auto"/>
              </w:rPr>
              <w:t>May 3, 2015</w:t>
            </w:r>
          </w:p>
        </w:tc>
        <w:tc>
          <w:tcPr>
            <w:tcW w:w="14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25,000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3, 2015</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June 18, 2014</w:t>
            </w:r>
          </w:p>
        </w:tc>
        <w:tc>
          <w:tcPr>
            <w:tcW w:w="2800" w:type="dxa"/>
            <w:vAlign w:val="bottom"/>
          </w:tcPr>
          <w:p>
            <w:pPr>
              <w:ind w:left="440"/>
              <w:spacing w:after="0"/>
              <w:rPr>
                <w:sz w:val="20"/>
                <w:szCs w:val="20"/>
                <w:color w:val="auto"/>
              </w:rPr>
            </w:pPr>
            <w:r>
              <w:rPr>
                <w:rFonts w:ascii="Arial" w:cs="Arial" w:eastAsia="Arial" w:hAnsi="Arial"/>
                <w:sz w:val="18"/>
                <w:szCs w:val="18"/>
                <w:color w:val="auto"/>
              </w:rPr>
              <w:t>May 3, 2015</w:t>
            </w:r>
          </w:p>
        </w:tc>
        <w:tc>
          <w:tcPr>
            <w:tcW w:w="14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80,000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3, 2015</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60,000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July 1, 2014</w:t>
            </w:r>
          </w:p>
        </w:tc>
        <w:tc>
          <w:tcPr>
            <w:tcW w:w="2800" w:type="dxa"/>
            <w:vAlign w:val="bottom"/>
          </w:tcPr>
          <w:p>
            <w:pPr>
              <w:ind w:left="440"/>
              <w:spacing w:after="0"/>
              <w:rPr>
                <w:sz w:val="20"/>
                <w:szCs w:val="20"/>
                <w:color w:val="auto"/>
              </w:rPr>
            </w:pPr>
            <w:r>
              <w:rPr>
                <w:rFonts w:ascii="Arial" w:cs="Arial" w:eastAsia="Arial" w:hAnsi="Arial"/>
                <w:sz w:val="18"/>
                <w:szCs w:val="18"/>
                <w:color w:val="auto"/>
              </w:rPr>
              <w:t>May 5, 2015</w:t>
            </w:r>
          </w:p>
        </w:tc>
        <w:tc>
          <w:tcPr>
            <w:tcW w:w="14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60,000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3, 2019</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80,000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January 30, 2015</w:t>
            </w:r>
          </w:p>
        </w:tc>
        <w:tc>
          <w:tcPr>
            <w:tcW w:w="2800" w:type="dxa"/>
            <w:vAlign w:val="bottom"/>
          </w:tcPr>
          <w:p>
            <w:pPr>
              <w:ind w:left="440"/>
              <w:spacing w:after="0"/>
              <w:rPr>
                <w:sz w:val="20"/>
                <w:szCs w:val="20"/>
                <w:color w:val="auto"/>
              </w:rPr>
            </w:pPr>
            <w:r>
              <w:rPr>
                <w:rFonts w:ascii="Arial" w:cs="Arial" w:eastAsia="Arial" w:hAnsi="Arial"/>
                <w:sz w:val="18"/>
                <w:szCs w:val="18"/>
                <w:color w:val="auto"/>
              </w:rPr>
              <w:t>May 3, 2019</w:t>
            </w:r>
          </w:p>
        </w:tc>
        <w:tc>
          <w:tcPr>
            <w:tcW w:w="14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60,000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4, 2021</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120,000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January 30, 2015</w:t>
            </w:r>
          </w:p>
        </w:tc>
        <w:tc>
          <w:tcPr>
            <w:tcW w:w="2800" w:type="dxa"/>
            <w:vAlign w:val="bottom"/>
          </w:tcPr>
          <w:p>
            <w:pPr>
              <w:ind w:left="440"/>
              <w:spacing w:after="0"/>
              <w:rPr>
                <w:sz w:val="20"/>
                <w:szCs w:val="20"/>
                <w:color w:val="auto"/>
              </w:rPr>
            </w:pPr>
            <w:r>
              <w:rPr>
                <w:rFonts w:ascii="Arial" w:cs="Arial" w:eastAsia="Arial" w:hAnsi="Arial"/>
                <w:sz w:val="18"/>
                <w:szCs w:val="18"/>
                <w:color w:val="auto"/>
              </w:rPr>
              <w:t>May 3, 2019</w:t>
            </w:r>
          </w:p>
        </w:tc>
        <w:tc>
          <w:tcPr>
            <w:tcW w:w="14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60,000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 4, 2021</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80,000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April 28, 2017 and July 29, 2016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740"/>
              <w:spacing w:after="0"/>
              <w:rPr>
                <w:sz w:val="20"/>
                <w:szCs w:val="20"/>
                <w:color w:val="auto"/>
              </w:rPr>
            </w:pPr>
            <w:r>
              <w:rPr>
                <w:rFonts w:ascii="Arial" w:cs="Arial" w:eastAsia="Arial" w:hAnsi="Arial"/>
                <w:sz w:val="18"/>
                <w:szCs w:val="18"/>
                <w:color w:val="auto"/>
                <w:w w:val="91"/>
              </w:rPr>
              <w:t>Balance Sheet Location</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April 28, 2017</w:t>
            </w:r>
          </w:p>
        </w:tc>
        <w:tc>
          <w:tcPr>
            <w:tcW w:w="2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July 29, 2016</w:t>
            </w:r>
          </w:p>
        </w:tc>
      </w:tr>
      <w:tr>
        <w:trPr>
          <w:trHeight w:val="216"/>
        </w:trPr>
        <w:tc>
          <w:tcPr>
            <w:tcW w:w="3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6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gridSpan w:val="5"/>
            <w:shd w:val="clear" w:color="auto" w:fill="CCEEFF"/>
          </w:tcPr>
          <w:p>
            <w:pPr>
              <w:ind w:left="860"/>
              <w:spacing w:after="0"/>
              <w:rPr>
                <w:sz w:val="20"/>
                <w:szCs w:val="20"/>
                <w:color w:val="auto"/>
              </w:rPr>
            </w:pPr>
            <w:r>
              <w:rPr>
                <w:rFonts w:ascii="Arial" w:cs="Arial" w:eastAsia="Arial" w:hAnsi="Arial"/>
                <w:sz w:val="18"/>
                <w:szCs w:val="18"/>
                <w:color w:val="auto"/>
                <w:w w:val="97"/>
              </w:rPr>
              <w:t>Other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9"/>
                <w:szCs w:val="19"/>
                <w:color w:val="auto"/>
              </w:rPr>
            </w:pPr>
          </w:p>
        </w:tc>
        <w:tc>
          <w:tcPr>
            <w:tcW w:w="3920" w:type="dxa"/>
            <w:vAlign w:val="bottom"/>
            <w:gridSpan w:val="8"/>
          </w:tcPr>
          <w:p>
            <w:pPr>
              <w:ind w:left="860"/>
              <w:spacing w:after="0"/>
              <w:rPr>
                <w:sz w:val="20"/>
                <w:szCs w:val="20"/>
                <w:color w:val="auto"/>
              </w:rPr>
            </w:pPr>
            <w:r>
              <w:rPr>
                <w:rFonts w:ascii="Arial" w:cs="Arial" w:eastAsia="Arial" w:hAnsi="Arial"/>
                <w:sz w:val="18"/>
                <w:szCs w:val="18"/>
                <w:color w:val="auto"/>
              </w:rPr>
              <w:t>Long-term interest rate swap liability</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w w:val="89"/>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8"/>
        </w:trPr>
        <w:tc>
          <w:tcPr>
            <w:tcW w:w="11420" w:type="dxa"/>
            <w:vAlign w:val="bottom"/>
            <w:gridSpan w:val="22"/>
          </w:tcPr>
          <w:p>
            <w:pPr>
              <w:ind w:left="660"/>
              <w:spacing w:after="0"/>
              <w:rPr>
                <w:sz w:val="20"/>
                <w:szCs w:val="20"/>
                <w:color w:val="auto"/>
              </w:rPr>
            </w:pPr>
            <w:r>
              <w:rPr>
                <w:rFonts w:ascii="Arial" w:cs="Arial" w:eastAsia="Arial" w:hAnsi="Arial"/>
                <w:sz w:val="18"/>
                <w:szCs w:val="18"/>
                <w:color w:val="auto"/>
                <w:w w:val="94"/>
              </w:rPr>
              <w:t>The following table summarizes the offsetting of the Company’s derivative liabilities in the Condensed Consolidated Balance Sheets at April 28,</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2017 and July 29, 2016:</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220"/>
              <w:spacing w:after="0"/>
              <w:rPr>
                <w:sz w:val="20"/>
                <w:szCs w:val="20"/>
                <w:color w:val="auto"/>
              </w:rPr>
            </w:pPr>
            <w:r>
              <w:rPr>
                <w:rFonts w:ascii="Arial" w:cs="Arial" w:eastAsia="Arial" w:hAnsi="Arial"/>
                <w:sz w:val="18"/>
                <w:szCs w:val="18"/>
                <w:color w:val="auto"/>
              </w:rPr>
              <w:t>Gross Liability Amounts</w:t>
            </w:r>
          </w:p>
        </w:tc>
        <w:tc>
          <w:tcPr>
            <w:tcW w:w="180" w:type="dxa"/>
            <w:vAlign w:val="bottom"/>
          </w:tcPr>
          <w:p>
            <w:pPr>
              <w:spacing w:after="0"/>
              <w:rPr>
                <w:sz w:val="20"/>
                <w:szCs w:val="20"/>
                <w:color w:val="auto"/>
              </w:rPr>
            </w:pPr>
          </w:p>
        </w:tc>
        <w:tc>
          <w:tcPr>
            <w:tcW w:w="2100" w:type="dxa"/>
            <w:vAlign w:val="bottom"/>
            <w:gridSpan w:val="4"/>
          </w:tcPr>
          <w:p>
            <w:pPr>
              <w:jc w:val="right"/>
              <w:ind w:right="177"/>
              <w:spacing w:after="0"/>
              <w:rPr>
                <w:sz w:val="20"/>
                <w:szCs w:val="20"/>
                <w:color w:val="auto"/>
              </w:rPr>
            </w:pPr>
            <w:r>
              <w:rPr>
                <w:rFonts w:ascii="Arial" w:cs="Arial" w:eastAsia="Arial" w:hAnsi="Arial"/>
                <w:sz w:val="18"/>
                <w:szCs w:val="18"/>
                <w:color w:val="auto"/>
              </w:rPr>
              <w:t>Asset Amount Offset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28,</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9"/>
              </w:rPr>
              <w:t>April 28,</w:t>
            </w: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7"/>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9"/>
              </w:rPr>
              <w:t>April 28,</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29,</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6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980" w:type="dxa"/>
            <w:vAlign w:val="bottom"/>
            <w:gridSpan w:val="2"/>
          </w:tcPr>
          <w:p>
            <w:pPr>
              <w:jc w:val="right"/>
              <w:ind w:right="97"/>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6,559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fair value of the Company’s interest rate swap liabilities incorporates the Company’s non-performance risk (see Note 2). The adjustment related to the Company’s non-performance risk at April 28, 2017 and July 29, 2016 resulted in reductions of $112 and $1,035, respectively, in the fair value of the interest rate swap liabilities. The offset to the interest rate swap liabilities is recorded in accumulated other comprehensive loss (“AOCL”), net of the deferred tax asset, and will be reclassified into earnings over the term of the underlying debt. As of April 28, 2017, the estimated pre-tax portion of AOCL that is expected to be reclassified into earnings over the next twelve months is $2,780. Cash flows related to the interest rate swaps are included in interest expense and in operating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nine months ended April 28, 2017 and the year ended July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color w:val="auto"/>
                <w:w w:val="96"/>
              </w:rPr>
              <w:t>Amount of Income (Loss) Recognized in</w:t>
            </w:r>
          </w:p>
        </w:tc>
      </w:tr>
      <w:tr>
        <w:trPr>
          <w:trHeight w:val="237"/>
        </w:trPr>
        <w:tc>
          <w:tcPr>
            <w:tcW w:w="48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180" w:type="dxa"/>
            <w:vAlign w:val="bottom"/>
            <w:gridSpan w:val="6"/>
          </w:tcPr>
          <w:p>
            <w:pPr>
              <w:ind w:left="40"/>
              <w:spacing w:after="0"/>
              <w:rPr>
                <w:sz w:val="20"/>
                <w:szCs w:val="20"/>
                <w:color w:val="auto"/>
              </w:rPr>
            </w:pPr>
            <w:r>
              <w:rPr>
                <w:rFonts w:ascii="Arial" w:cs="Arial" w:eastAsia="Arial" w:hAnsi="Arial"/>
                <w:sz w:val="18"/>
                <w:szCs w:val="18"/>
                <w:color w:val="auto"/>
                <w:w w:val="98"/>
              </w:rPr>
              <w:t>AOCL on Derivatives (Effective Portion)</w:t>
            </w:r>
          </w:p>
        </w:tc>
      </w:tr>
      <w:tr>
        <w:trPr>
          <w:trHeight w:val="202"/>
        </w:trPr>
        <w:tc>
          <w:tcPr>
            <w:tcW w:w="48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7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Nine Months Ended</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7"/>
                <w:szCs w:val="17"/>
                <w:color w:val="auto"/>
              </w:rPr>
            </w:pPr>
          </w:p>
        </w:tc>
      </w:tr>
      <w:tr>
        <w:trPr>
          <w:trHeight w:val="237"/>
        </w:trPr>
        <w:tc>
          <w:tcPr>
            <w:tcW w:w="48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April 28, 2017</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July 29, 2016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flow hedges:</w:t>
            </w:r>
          </w:p>
        </w:tc>
        <w:tc>
          <w:tcPr>
            <w:tcW w:w="3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(16,188)</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income for the quarters and nine-month periods ended April 28, 2017 and April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AOCL into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gridSpan w:val="13"/>
          </w:tcPr>
          <w:p>
            <w:pPr>
              <w:jc w:val="center"/>
              <w:ind w:right="280"/>
              <w:spacing w:after="0"/>
              <w:rPr>
                <w:sz w:val="20"/>
                <w:szCs w:val="20"/>
                <w:color w:val="auto"/>
              </w:rPr>
            </w:pPr>
            <w:r>
              <w:rPr>
                <w:rFonts w:ascii="Arial" w:cs="Arial" w:eastAsia="Arial" w:hAnsi="Arial"/>
                <w:sz w:val="18"/>
                <w:szCs w:val="18"/>
                <w:color w:val="auto"/>
                <w:w w:val="93"/>
              </w:rPr>
              <w:t>Amount of Loss Reclassified from AOCL into Income</w:t>
            </w:r>
          </w:p>
        </w:tc>
      </w:tr>
      <w:tr>
        <w:trPr>
          <w:trHeight w:val="237"/>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93"/>
              </w:rPr>
              <w:t>(Effective Portion)</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19"/>
                <w:szCs w:val="19"/>
                <w:color w:val="auto"/>
              </w:rPr>
            </w:pPr>
          </w:p>
        </w:tc>
        <w:tc>
          <w:tcPr>
            <w:tcW w:w="2320" w:type="dxa"/>
            <w:vAlign w:val="bottom"/>
            <w:gridSpan w:val="5"/>
          </w:tcPr>
          <w:p>
            <w:pPr>
              <w:jc w:val="right"/>
              <w:ind w:right="43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9"/>
                <w:szCs w:val="19"/>
                <w:color w:val="auto"/>
              </w:rPr>
            </w:pPr>
          </w:p>
        </w:tc>
      </w:tr>
      <w:tr>
        <w:trPr>
          <w:trHeight w:val="202"/>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9"/>
              </w:rPr>
              <w:t>April 28,</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6"/>
              </w:rPr>
              <w:t>April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9"/>
              </w:rPr>
              <w:t>April 28,</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6"/>
              </w:rPr>
              <w:t>April 29,</w:t>
            </w:r>
          </w:p>
        </w:tc>
        <w:tc>
          <w:tcPr>
            <w:tcW w:w="100" w:type="dxa"/>
            <w:vAlign w:val="bottom"/>
          </w:tcPr>
          <w:p>
            <w:pPr>
              <w:spacing w:after="0"/>
              <w:rPr>
                <w:sz w:val="17"/>
                <w:szCs w:val="17"/>
                <w:color w:val="auto"/>
              </w:rPr>
            </w:pPr>
          </w:p>
        </w:tc>
      </w:tr>
      <w:tr>
        <w:trPr>
          <w:trHeight w:val="237"/>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nine-month periods ended April 28, 2017 and April 29, 2016.</w:t>
      </w:r>
    </w:p>
    <w:p>
      <w:pPr>
        <w:spacing w:after="0" w:line="19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April 28, 2017, the Company issued 86,439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$6,031.</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April 28, 2017, total share-based compensation expense was $6,347. The excess tax benefit realized upon exercise of share-based compensation awards was $1,203.</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nine months ended April 28, 2017, the Company paid regular dividends of $3.45 per share of its common stock and declared a regular dividend of $1.15 per share of its common stock that was paid on May 5, 2017 to shareholders of record on April 14, 2017.</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nine months ended April 28, 2017 (see Notes 2 and 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Changes in AOCL</w:t>
            </w:r>
          </w:p>
        </w:tc>
      </w:tr>
      <w:tr>
        <w:trPr>
          <w:trHeight w:val="223"/>
        </w:trPr>
        <w:tc>
          <w:tcPr>
            <w:tcW w:w="20" w:type="dxa"/>
            <w:vAlign w:val="bottom"/>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July 29, 2016</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11,783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w:t>
            </w:r>
          </w:p>
        </w:tc>
      </w:tr>
      <w:tr>
        <w:trPr>
          <w:trHeight w:val="223"/>
        </w:trPr>
        <w:tc>
          <w:tcPr>
            <w:tcW w:w="20" w:type="dxa"/>
            <w:vAlign w:val="bottom"/>
          </w:tcPr>
          <w:p>
            <w:pPr>
              <w:spacing w:after="0"/>
              <w:rPr>
                <w:sz w:val="19"/>
                <w:szCs w:val="19"/>
                <w:color w:val="auto"/>
              </w:rPr>
            </w:pPr>
          </w:p>
        </w:tc>
        <w:tc>
          <w:tcPr>
            <w:tcW w:w="9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April 28, 2017</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and nine months ended April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jc w:val="right"/>
              <w:ind w:right="280"/>
              <w:spacing w:after="0"/>
              <w:rPr>
                <w:sz w:val="20"/>
                <w:szCs w:val="20"/>
                <w:color w:val="auto"/>
              </w:rPr>
            </w:pPr>
            <w:r>
              <w:rPr>
                <w:rFonts w:ascii="Arial" w:cs="Arial" w:eastAsia="Arial" w:hAnsi="Arial"/>
                <w:sz w:val="18"/>
                <w:szCs w:val="18"/>
                <w:color w:val="auto"/>
                <w:w w:val="94"/>
              </w:rPr>
              <w:t>Amount Reclassified from AOCL</w:t>
            </w:r>
          </w:p>
        </w:tc>
        <w:tc>
          <w:tcPr>
            <w:tcW w:w="422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jc w:val="center"/>
              <w:spacing w:after="0" w:line="201" w:lineRule="exact"/>
              <w:rPr>
                <w:sz w:val="20"/>
                <w:szCs w:val="20"/>
                <w:color w:val="auto"/>
              </w:rPr>
            </w:pPr>
            <w:r>
              <w:rPr>
                <w:rFonts w:ascii="Arial" w:cs="Arial" w:eastAsia="Arial" w:hAnsi="Arial"/>
                <w:sz w:val="18"/>
                <w:szCs w:val="18"/>
                <w:color w:val="auto"/>
                <w:w w:val="89"/>
              </w:rPr>
              <w:t>Condensed Consolidated</w:t>
            </w: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Quarter Ended</w:t>
            </w:r>
          </w:p>
        </w:tc>
        <w:tc>
          <w:tcPr>
            <w:tcW w:w="1620" w:type="dxa"/>
            <w:vAlign w:val="bottom"/>
            <w:gridSpan w:val="4"/>
          </w:tcPr>
          <w:p>
            <w:pPr>
              <w:ind w:left="80"/>
              <w:spacing w:after="0"/>
              <w:rPr>
                <w:sz w:val="20"/>
                <w:szCs w:val="20"/>
                <w:color w:val="auto"/>
              </w:rPr>
            </w:pPr>
            <w:r>
              <w:rPr>
                <w:rFonts w:ascii="Arial" w:cs="Arial" w:eastAsia="Arial" w:hAnsi="Arial"/>
                <w:sz w:val="18"/>
                <w:szCs w:val="18"/>
                <w:color w:val="auto"/>
                <w:w w:val="96"/>
              </w:rPr>
              <w:t>Nine Months Ended</w:t>
            </w: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(3,354)</w:t>
            </w: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422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57"/>
        </w:trPr>
        <w:tc>
          <w:tcPr>
            <w:tcW w:w="20" w:type="dxa"/>
            <w:vAlign w:val="bottom"/>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r>
      <w:tr>
        <w:trPr>
          <w:trHeight w:val="202"/>
        </w:trPr>
        <w:tc>
          <w:tcPr>
            <w:tcW w:w="3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rPr>
              <w:t>April 28,</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7"/>
                <w:szCs w:val="17"/>
                <w:color w:val="auto"/>
              </w:rPr>
            </w:pPr>
          </w:p>
        </w:tc>
      </w:t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Revenue: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575,098</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570,477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1,739,888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1,713,674</w:t>
            </w: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125,312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129,659</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443,175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453,093</w:t>
            </w:r>
          </w:p>
        </w:tc>
      </w:tr>
      <w:tr>
        <w:trPr>
          <w:trHeight w:val="257"/>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700,410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700,136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2,166,767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color w:val="auto"/>
              </w:rPr>
              <w:t>Nine Months Ended</w:t>
            </w: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April 28,</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40" w:type="dxa"/>
            <w:vAlign w:val="bottom"/>
            <w:gridSpan w:val="4"/>
          </w:tcPr>
          <w:p>
            <w:pPr>
              <w:ind w:left="340"/>
              <w:spacing w:after="0"/>
              <w:rPr>
                <w:sz w:val="20"/>
                <w:szCs w:val="20"/>
                <w:color w:val="auto"/>
              </w:rPr>
            </w:pPr>
            <w:r>
              <w:rPr>
                <w:rFonts w:ascii="Arial" w:cs="Arial" w:eastAsia="Arial" w:hAnsi="Arial"/>
                <w:sz w:val="18"/>
                <w:szCs w:val="18"/>
                <w:color w:val="auto"/>
                <w:w w:val="92"/>
              </w:rPr>
              <w:t>The following table reconciles the components of diluted earnings per share computations: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4"/>
                <w:szCs w:val="24"/>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28,</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April 28,</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24,042,573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23,941,188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24,028,175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23,945,184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Stock options, nonvested stock awards and MSU Grants</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78,630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132,590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83,578</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119,440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24,121,203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24,073,778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24,111,753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24,064,624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April 28, 2017, the Company had $9,655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April 28, 2017, the Company is secondarily liable for lease payments associated with two properties occupied by a third party.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April 28, 2017.</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April 28, 2017, we operated 643 Cracker Barrel stores in 44 states and four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in three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July 29, 2016 (the “2016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2016 Form 10-K, which is incorporated herein by this reference, as well as the factors described under “Critical Accounting Estimates” on pages 23-26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throughout 2017 to grow guest sales and profits. Our priorities for 2017 consist of the following:</w:t>
      </w:r>
    </w:p>
    <w:p>
      <w:pPr>
        <w:spacing w:after="0" w:line="174" w:lineRule="exact"/>
        <w:rPr>
          <w:sz w:val="20"/>
          <w:szCs w:val="20"/>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across demographic groups and generations and improving our business model to reduce operating costs and further drive margins. We plan to accomplish this strategy primarily through enhanced marketing messaging, menu innovation and new retail merchandise;</w:t>
      </w:r>
    </w:p>
    <w:p>
      <w:pPr>
        <w:spacing w:after="0" w:line="1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replenishing our store opening pipeline to accelerate future growth. We anticipate opening six Cracker Barrel stores during 2017; and</w:t>
      </w:r>
    </w:p>
    <w:p>
      <w:pPr>
        <w:spacing w:after="0" w:line="187" w:lineRule="exact"/>
        <w:rPr>
          <w:rFonts w:ascii="Arial" w:cs="Arial" w:eastAsia="Arial" w:hAnsi="Arial"/>
          <w:sz w:val="18"/>
          <w:szCs w:val="18"/>
          <w:color w:val="auto"/>
        </w:rPr>
      </w:pPr>
    </w:p>
    <w:p>
      <w:pPr>
        <w:ind w:left="660" w:right="20" w:hanging="328"/>
        <w:spacing w:after="0" w:line="21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brand by optimizing on long-term drivers, such as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to further drive shareholder value. We currently plan to open three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during 2017.</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remain committed to delivering on our 2017 strategic priorities through new store growth, marketing messaging that emphasizes variety and value and the implementation of cost reduction initiatives.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and nine-month period ended April 28, 2017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gridSpan w:val="5"/>
          </w:tcPr>
          <w:p>
            <w:pPr>
              <w:jc w:val="right"/>
              <w:ind w:right="310"/>
              <w:spacing w:after="0"/>
              <w:rPr>
                <w:sz w:val="20"/>
                <w:szCs w:val="20"/>
                <w:color w:val="auto"/>
              </w:rPr>
            </w:pPr>
            <w:r>
              <w:rPr>
                <w:rFonts w:ascii="Arial" w:cs="Arial" w:eastAsia="Arial" w:hAnsi="Arial"/>
                <w:sz w:val="18"/>
                <w:szCs w:val="18"/>
                <w:color w:val="auto"/>
              </w:rPr>
              <w:t>Quarter Ended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9"/>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top w:val="single" w:sz="8" w:color="auto"/>
            </w:tcBorders>
            <w:gridSpan w:val="4"/>
          </w:tcPr>
          <w:p>
            <w:pPr>
              <w:jc w:val="right"/>
              <w:ind w:right="430"/>
              <w:spacing w:after="0" w:line="201" w:lineRule="exact"/>
              <w:rPr>
                <w:sz w:val="20"/>
                <w:szCs w:val="20"/>
                <w:color w:val="auto"/>
              </w:rPr>
            </w:pPr>
            <w:r>
              <w:rPr>
                <w:rFonts w:ascii="Arial" w:cs="Arial" w:eastAsia="Arial" w:hAnsi="Arial"/>
                <w:sz w:val="18"/>
                <w:szCs w:val="18"/>
                <w:color w:val="auto"/>
              </w:rPr>
              <w:t>April 28,</w:t>
            </w:r>
          </w:p>
        </w:tc>
        <w:tc>
          <w:tcPr>
            <w:tcW w:w="1120" w:type="dxa"/>
            <w:vAlign w:val="bottom"/>
            <w:tcBorders>
              <w:top w:val="single" w:sz="8" w:color="auto"/>
            </w:tcBorders>
            <w:gridSpan w:val="3"/>
          </w:tcPr>
          <w:p>
            <w:pPr>
              <w:jc w:val="right"/>
              <w:ind w:right="24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top w:val="single" w:sz="8" w:color="auto"/>
            </w:tcBorders>
            <w:gridSpan w:val="4"/>
          </w:tcPr>
          <w:p>
            <w:pPr>
              <w:jc w:val="center"/>
              <w:ind w:right="90"/>
              <w:spacing w:after="0" w:line="201" w:lineRule="exact"/>
              <w:rPr>
                <w:sz w:val="20"/>
                <w:szCs w:val="20"/>
                <w:color w:val="auto"/>
              </w:rPr>
            </w:pPr>
            <w:r>
              <w:rPr>
                <w:rFonts w:ascii="Arial" w:cs="Arial" w:eastAsia="Arial" w:hAnsi="Arial"/>
                <w:sz w:val="18"/>
                <w:szCs w:val="18"/>
                <w:color w:val="auto"/>
                <w:w w:val="99"/>
              </w:rPr>
              <w:t>April 28,</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ind w:right="240"/>
              <w:spacing w:after="0" w:line="201" w:lineRule="exact"/>
              <w:rPr>
                <w:sz w:val="20"/>
                <w:szCs w:val="20"/>
                <w:color w:val="auto"/>
              </w:rPr>
            </w:pPr>
            <w:r>
              <w:rPr>
                <w:rFonts w:ascii="Arial" w:cs="Arial" w:eastAsia="Arial" w:hAnsi="Arial"/>
                <w:sz w:val="18"/>
                <w:szCs w:val="18"/>
                <w:color w:val="auto"/>
              </w:rPr>
              <w:t>April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29.4</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30.3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30.9</w:t>
            </w: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35.8</w:t>
            </w:r>
          </w:p>
        </w:tc>
        <w:tc>
          <w:tcPr>
            <w:tcW w:w="2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1"/>
              </w:rPr>
              <w:t>35.6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34.8</w:t>
            </w:r>
          </w:p>
        </w:tc>
        <w:tc>
          <w:tcPr>
            <w:tcW w:w="13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19.5</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19.3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19.0</w:t>
            </w: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15.3</w:t>
            </w: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14.8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4.8</w:t>
            </w: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10.2</w:t>
            </w: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0.5</w:t>
            </w: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11400" w:type="dxa"/>
            <w:vAlign w:val="bottom"/>
            <w:gridSpan w:val="21"/>
          </w:tcPr>
          <w:p>
            <w:pPr>
              <w:ind w:left="640"/>
              <w:spacing w:after="0"/>
              <w:rPr>
                <w:sz w:val="20"/>
                <w:szCs w:val="20"/>
                <w:color w:val="auto"/>
              </w:rPr>
            </w:pPr>
            <w:r>
              <w:rPr>
                <w:rFonts w:ascii="Arial" w:cs="Arial" w:eastAsia="Arial" w:hAnsi="Arial"/>
                <w:sz w:val="18"/>
                <w:szCs w:val="18"/>
                <w:color w:val="auto"/>
                <w:w w:val="93"/>
              </w:rPr>
              <w:t>The following table sets forth the number of stores in operation at the beginning and end of the quarters and nine-month periods ended April 28,</w:t>
            </w:r>
          </w:p>
        </w:tc>
        <w:tc>
          <w:tcPr>
            <w:tcW w:w="0" w:type="dxa"/>
            <w:vAlign w:val="bottom"/>
          </w:tcPr>
          <w:p>
            <w:pPr>
              <w:spacing w:after="0"/>
              <w:rPr>
                <w:sz w:val="1"/>
                <w:szCs w:val="1"/>
                <w:color w:val="auto"/>
              </w:rPr>
            </w:pPr>
          </w:p>
        </w:tc>
      </w:t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2017 and April 29, 2016:</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5"/>
          </w:tcPr>
          <w:p>
            <w:pPr>
              <w:jc w:val="right"/>
              <w:ind w:right="650"/>
              <w:spacing w:after="0"/>
              <w:rPr>
                <w:sz w:val="20"/>
                <w:szCs w:val="20"/>
                <w:color w:val="auto"/>
              </w:rPr>
            </w:pPr>
            <w:r>
              <w:rPr>
                <w:rFonts w:ascii="Arial" w:cs="Arial" w:eastAsia="Arial" w:hAnsi="Arial"/>
                <w:sz w:val="18"/>
                <w:szCs w:val="18"/>
                <w:color w:val="auto"/>
              </w:rPr>
              <w:t>Quarter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9"/>
          </w:tcPr>
          <w:p>
            <w:pPr>
              <w:jc w:val="right"/>
              <w:ind w:right="114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3"/>
          </w:tcPr>
          <w:p>
            <w:pPr>
              <w:jc w:val="right"/>
              <w:ind w:right="170"/>
              <w:spacing w:after="0" w:line="201"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99"/>
              </w:rPr>
              <w:t>2017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the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Opened during the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Closed during the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Open at end of the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tcPr>
          <w:p>
            <w:pPr>
              <w:jc w:val="right"/>
              <w:ind w:right="33"/>
              <w:spacing w:after="0"/>
              <w:rPr>
                <w:sz w:val="20"/>
                <w:szCs w:val="20"/>
                <w:color w:val="auto"/>
              </w:rPr>
            </w:pPr>
            <w:r>
              <w:rPr>
                <w:rFonts w:ascii="Arial" w:cs="Arial" w:eastAsia="Arial" w:hAnsi="Arial"/>
                <w:sz w:val="14"/>
                <w:szCs w:val="14"/>
                <w:color w:val="auto"/>
              </w:rPr>
              <w:t>16</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revenue for the third quarter of 2017 remained flat compared to the third quarter of 2016. Total revenue for the first nine months of 2017 increased 0.8% compared to the same period in the prior year.</w:t>
      </w:r>
    </w:p>
    <w:p>
      <w:pPr>
        <w:spacing w:after="0" w:line="197" w:lineRule="exact"/>
        <w:rPr>
          <w:sz w:val="20"/>
          <w:szCs w:val="20"/>
          <w:color w:val="auto"/>
        </w:rPr>
      </w:pPr>
    </w:p>
    <w:p>
      <w:pPr>
        <w:jc w:val="both"/>
        <w:ind w:right="20" w:firstLine="661"/>
        <w:spacing w:after="0" w:line="277" w:lineRule="auto"/>
        <w:rPr>
          <w:sz w:val="20"/>
          <w:szCs w:val="20"/>
          <w:color w:val="auto"/>
        </w:rPr>
      </w:pPr>
      <w:r>
        <w:rPr>
          <w:rFonts w:ascii="Arial" w:cs="Arial" w:eastAsia="Arial" w:hAnsi="Arial"/>
          <w:sz w:val="18"/>
          <w:szCs w:val="18"/>
          <w:color w:val="auto"/>
        </w:rPr>
        <w:t>The following table highlights the key components of revenue for the quarter and nine-month period ended April 28, 2017 as compared to the quarter and nine-month period ended April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6"/>
          </w:tcPr>
          <w:p>
            <w:pPr>
              <w:jc w:val="right"/>
              <w:ind w:right="960"/>
              <w:spacing w:after="0"/>
              <w:rPr>
                <w:sz w:val="20"/>
                <w:szCs w:val="20"/>
                <w:color w:val="auto"/>
              </w:rPr>
            </w:pPr>
            <w:r>
              <w:rPr>
                <w:rFonts w:ascii="Arial" w:cs="Arial" w:eastAsia="Arial" w:hAnsi="Arial"/>
                <w:sz w:val="18"/>
                <w:szCs w:val="18"/>
                <w:color w:val="auto"/>
              </w:rPr>
              <w:t>Quarter Ended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0"/>
              <w:spacing w:after="0" w:line="201" w:lineRule="exact"/>
              <w:rPr>
                <w:sz w:val="20"/>
                <w:szCs w:val="20"/>
                <w:color w:val="auto"/>
              </w:rPr>
            </w:pPr>
            <w:r>
              <w:rPr>
                <w:rFonts w:ascii="Arial" w:cs="Arial" w:eastAsia="Arial" w:hAnsi="Arial"/>
                <w:sz w:val="18"/>
                <w:szCs w:val="18"/>
                <w:color w:val="auto"/>
              </w:rPr>
              <w:t>April 28,</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0"/>
              <w:spacing w:after="0" w:line="201" w:lineRule="exact"/>
              <w:rPr>
                <w:sz w:val="20"/>
                <w:szCs w:val="20"/>
                <w:color w:val="auto"/>
              </w:rPr>
            </w:pPr>
            <w:r>
              <w:rPr>
                <w:rFonts w:ascii="Arial" w:cs="Arial" w:eastAsia="Arial" w:hAnsi="Arial"/>
                <w:sz w:val="18"/>
                <w:szCs w:val="18"/>
                <w:color w:val="auto"/>
              </w:rPr>
              <w:t>April 28,</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575,098</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570,477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1,739,888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125,312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129,659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443,175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453,093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700,410</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700,136</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2,183,063</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2,166,767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890.8</w:t>
            </w:r>
          </w:p>
        </w:tc>
        <w:tc>
          <w:tcPr>
            <w:tcW w:w="2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2,702.0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1,084.9</w:t>
            </w:r>
          </w:p>
        </w:tc>
        <w:tc>
          <w:tcPr>
            <w:tcW w:w="2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3,390.3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(decrease) increase: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Restaurant and retail</w:t>
            </w:r>
          </w:p>
        </w:tc>
        <w:tc>
          <w:tcPr>
            <w:tcW w:w="1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third quarter of 2017, our comparable store restaurant sales decrease consisted of a 2.1% guest traffic decline partially offset by a 1.7% average check increase (including a 1.6% average menu price increase). Beginning in the third quarter of 2017, we modified our method for calculating traffic to more accurately reflect both dine-in and off premise dining occasions. We now measure traffic growth as change in entrees sold, which includes entrees in our dine-in, to-go and catering business. We believe this measurement approach more accurately reflects underlying business growth. For the third quarter of 2017, our comparable store retail sales decrease resulted primarily from the decrease in guest traffic and lower performance in the accessories, media and bed and bath merchandise categories.</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first nine months of 2017, our comparable store restaurant sales increase consisted of a 1.9% average check increase (including a 1.9% average menu price increase) partially offset by a 1.4% guest traffic decline. For the first nine months of 2017, our comparable store retail sales decrease resulted primarily from the decrease in guest traffic and lower performance in the apparel and accessories, bed and bath, and toys merchandise categories partially offset by strong performance in the media merchandise category. Restaurant and retail sales from newly opened stores accounted for the remainder of the total revenue increase in the first nine months of 2017 as compared to the same period in the prior year.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third quarter and first nine months of 2017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2540" w:type="dxa"/>
            <w:vAlign w:val="bottom"/>
            <w:gridSpan w:val="6"/>
          </w:tcPr>
          <w:p>
            <w:pPr>
              <w:ind w:left="380"/>
              <w:spacing w:after="0"/>
              <w:rPr>
                <w:sz w:val="20"/>
                <w:szCs w:val="20"/>
                <w:color w:val="auto"/>
              </w:rPr>
            </w:pPr>
            <w:r>
              <w:rPr>
                <w:rFonts w:ascii="Arial" w:cs="Arial" w:eastAsia="Arial" w:hAnsi="Arial"/>
                <w:sz w:val="18"/>
                <w:szCs w:val="18"/>
                <w:color w:val="auto"/>
              </w:rPr>
              <w:t>Nine Months Ended</w:t>
            </w:r>
          </w:p>
        </w:tc>
      </w:tr>
      <w:tr>
        <w:trPr>
          <w:trHeight w:val="202"/>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28,</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29,</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28,</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29,</w:t>
            </w:r>
          </w:p>
        </w:tc>
        <w:tc>
          <w:tcPr>
            <w:tcW w:w="16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441,338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469,050</w:t>
            </w: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62,898</w:t>
            </w:r>
          </w:p>
        </w:tc>
        <w:tc>
          <w:tcPr>
            <w:tcW w:w="16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232,573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231,237</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205,882</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212,382</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6"/>
              </w:rPr>
              <w:t>673,911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700,287</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Retail</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restaurant cost of goods sold as a percentage of restaurant revenue in the third quarter of 2017 as compared to the same period in the prior year was the result of commodity deflation, our menu price increase referenced above and lower food waste. Commodity deflation was 3.9% in the third quarter of 2017. Lower food waste accounted for a decrease of 0.1% in restaurant cost of goods sold as a percentage of restaurant revenue for the third quarter of 2017 as compared to the same period in the prior year.</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in restaurant cost of goods sold as a percentage of restaurant revenue in the first nine months of 2017 as compared to the same period in the prior year was the result of commodity deflation, our menu price increase referenced above and lower food waste partially offset by a shift to higher cost menu items. Commodity deflation was 5.6% in the first nine months of 2017. Lower food waste accounted for a decrease of 0.2% in restaurant cost of goods sold as a percentage of restaurant revenue for the first nine months of 2017 as compared to the same period in the prior year. Higher cost menu items accounted for an increase of 0.1% in restaurant cost of goods sold as a percentage of restaurant revenue for the first nine months of 2017 as compared to the same period in the prior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deflation to be approximately 4.5% in 2017 as compared to 2016.</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retail cost of goods sold as a percentage of retail revenue in the third quarter of 2017 as compared to the prior year quarter resulted primarily from an increase in the provision for obsolete inventory, higher markdowns, higher shrinkage, lower initial margin and higher freight expense.</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Third Quarter</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Retail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Markdowns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Retail inventory shrinkage</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Lower initial margin</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increase in retail cost of goods sold as a percentage of retail revenue in the first nine months of 2017 as compared to the same period in the prior year resulted primarily from higher markdowns, lower initial margin, an increase in the provision for obsolete inventory and higher shrinkage.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First Nine Months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Increase as a Percentage</w:t>
            </w: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Retail Revenue</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36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Lower initial margin</w:t>
            </w:r>
          </w:p>
        </w:tc>
        <w:tc>
          <w:tcPr>
            <w:tcW w:w="572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5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Retail inventory shrinkage</w:t>
            </w:r>
          </w:p>
        </w:tc>
        <w:tc>
          <w:tcPr>
            <w:tcW w:w="57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20"/>
                <w:szCs w:val="20"/>
                <w:color w:val="auto"/>
              </w:rPr>
            </w:pPr>
          </w:p>
        </w:tc>
      </w:tr>
      <w:tr>
        <w:trPr>
          <w:trHeight w:val="581"/>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60" w:type="dxa"/>
            <w:vAlign w:val="bottom"/>
          </w:tcPr>
          <w:p>
            <w:pPr>
              <w:jc w:val="right"/>
              <w:ind w:right="2354"/>
              <w:spacing w:after="0"/>
              <w:rPr>
                <w:sz w:val="20"/>
                <w:szCs w:val="20"/>
                <w:color w:val="auto"/>
              </w:rPr>
            </w:pPr>
            <w:r>
              <w:rPr>
                <w:rFonts w:ascii="Arial" w:cs="Arial" w:eastAsia="Arial" w:hAnsi="Arial"/>
                <w:sz w:val="14"/>
                <w:szCs w:val="14"/>
                <w:color w:val="auto"/>
              </w:rPr>
              <w:t>18</w:t>
            </w: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increased to 35.8% in the third quarter of 2017 as compared to 35.6% in the third quarter of 2016. This percentage change resulted from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Third Quarter</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Miscellaneous wages</w:t>
            </w: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Labor and related expenses as a percentage of total revenue increased to 34.8% in the first nine months of 2017 as compared to 34.4% in the same period in the prior year. This percentage change resulted primarily from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First Nine Months</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Store bonus expense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store management compensation expense as a percentage of total revenue for the third quarter and first nine months of 2017 as compared to the same periods in the prior year were primarily due to an increase in variable costs resulting from a higher rate of vacancy in management headcounts.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miscellaneous wages as a percentage of total revenue for the third quarter of 2017 as compared to the same period in the prior year resulted primarily from expenses associated with maintenance labor and an increase in vacation expense.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employee health care expenses as a percentage of total revenue for the third quarter of 2017 as compared to the same period in the prior year resulted primarily from lower claims activity and a favorable adjustment to the claims reserve.</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Higher store bonus expense as a percentage of total revenue for the first nine months of 2017 as compared to the same period in the prior year resulted from better performance against financial objectives in the first nine months of 2017 as compared to the same period in the prior year.</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store hourly labor costs as a percentage of total revenue for the first nine months of 2017 as compared to the same period in the prior year resulted primarily from wage inflation.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19.5% in the third quarter of 2017 as compared to 19.3% in the third quarter of 2016. This percentage change resulted primarily from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Third Quarter</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Advertising expense</w:t>
            </w: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remained flat at 19.0% in the first nine months of 2017 as compared to the same period in the prior year primarily as a result of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First Nine Months</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Utilities expense</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depreciation expense as a percentage of total revenue for the third quarter and first nine months of 2017 as compared to the same periods in the prior year resulted from higher capital expenditures in the third quarter and first nine months of 2017 as compared to the same periods in the prior year. We presently expect depreciation expense for 2017 to be approximately $85,000 to $87,000.</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advertising expense as a percentage of total revenue for the third quarter of 2017 as compared to the same period in the prior year is consistent with our planned increase in advertising spend for 2017 which is more heavily-weighted to the second half of 2017. In 2017, we plan to spend approximately 2.9% of our revenues on advertising as compared to 2.7% of revenues in 2016.</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decreases in maintenance expense as a percentage of total revenue for the third quarter and first nine months of 2017 as compared to the same periods in the prior year resulted primarily from reduced spending on equipment and building repairs.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utilities expense as a percentage of total revenue for the first nine months of 2017 as compared to the same period in the prior year resulted primarily from lower electricity costs. Lower electricity costs resulted primarily from our cost saving initiatives.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as a percentage of total revenue remained relatively constant at 5.1% in the third quarter of 2017 as compared to 5.2% in the third quarter of 2016. General and administrative expenses as a percentage of total revenue remained relatively constant at 4.8% in the first nine months of 2017 as compared to 4.9% in the same period in the prior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Interest expense for the third quarter of 2017 remained relatively constant at $3,389 as compared to $3,436 in the third quarter of 2016. Interest expense for the first nine months of 2017 was $10,703 as compared to $10,549 in the same period in the prior year. The increase in interest expense for the first nine months of 2017 as compared to the same period in the prior year resulted primarily from higher weighted average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Provision for income taxes as a percentage of income before income taxes (the “effective tax rate”) was 31.1% and 22.7% in the third quarters of 2017 and 2016, respectively. The increase in the effective tax rate from the third quarter of 2016 to the third quarter of 2017 resulted primarily from the recognition of uncertain tax reserve positions in the prior year.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effective tax rate was 32.5% and 28.1% in the first nine months of 2017 and 2016, respectively. The increase in the effective tax rate from the first nine months of 2016 to the first nine months of 2017 resulted primarily from lower than anticipated Work Opportunity Tax Credit (“WOTC”) collections during the first nine months of 2017, the impact of the WOTC benefit recognized in the prior year as a result of the retroactive reinstatement of WOTC and the benefit related to the recognition of uncertain tax reserve positions in the prior year.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our effective tax rate for 2017 to be approximately 32%.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$750,000 revolving credit facility (the “Revolving Credit Facility”). Our internally generated cash, along with cash on hand at July 29, 2016, was sufficient to finance all of our growth, dividend payments, working capital needs and other cash payment obligations in the first nine months of 2017.</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April 28, 2017,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operating activities provided net cash of $203,072 for the first nine months of 2017, which represented an increase from the $149,358 net cash provided during the first nine months of 2016. This increase primarily reflected the timing of payments for income taxes and accounts payable, higher net income and lower incentive compensation payments made in 2017 as a result of the prior year’s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April 28, 2017, we had $400,000 of outstanding borrowings under the Revolving Credit Facility and we had $9,655 of standby letters of credit related to securing reserved claims under our workers’ compensation insurance which reduce our borrowing availability under the Revolving Credit Facility. At April 28, 2017, we had $340,345 in borrowing availability under our Revolving Credit Facility. See Note 4 to our Condensed Consolidated Financial Statements for further information on our long-term debt.</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Capital expenditures (purchase of property and equipment) net of proceeds from insurance recoveries were $80,861 for the first nine months of 2017 as compared to $69,504 for the same period in the prior year. Our capital expenditures consisted primarily of capital investments for existing stores, new store locations and capital expenditures for strategic initiatives. The increase in capital expenditures from the first nine months of 2016 to the first nine months of 2017 resulted primarily from an increase in the number of new store locations. We estimate that our capital expenditures during 2017 will be approximately $125,000. This estimate includes the acquisition of sites and construction costs of six new Cracker Barrel stores and three new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that we have opened or are expecting to open during 2017, as well as for acquisition and construction costs for store locations to be opened in 2018. We also expect to increase capital expenditures for technology and strategic initiatives, which are intended to improve the guest experience and improve margins. We intend to fund our capital expenditures with cash flows from operations and borrowings under our Revolving Credit Facility, as necessary.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nine months of 2017, we paid a regular dividend of $3.45 per share. During the third quarter of 2017, we declared a dividend of $1.15 per share that was paid on May 5, 2017 to shareholders of record on April 14, 2017.</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2017. We did not repurchase any shares of our common stock during the first nine months of 2017.</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nine months of 2017, we issued 86,439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$6,031.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second-party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positive working capital of $39,870 at April 28, 2017 versus negative working capital of $13,077 at July 29, 2016. Working capital increased from July 29, 2016 primarily as the result of the timing of payments for accounts payable and an increase in cash partially offset by the timing of payments for income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2016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2016. Refer to the sub-section entitled “Material Commitments” under the section entitled “Liquidity and Capital Resources” presented in the MD&amp;A of our 2016 Form 10-K for additional information regarding our material commitments.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we are either still evaluating the impact of adopting the accounting guidance or the accounting guidance is not expected to have a significant impact on our consolidated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2016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nine months of 2017,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nine months of 2017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nine months of 2017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must make estimates of certain items that comprise our income tax provision. These estimates include effective state and local income tax rates, employer tax credits for items such as FICA taxes paid on employee tip income, WOTC, as well as estimates related to certain depreciation and capitalization policies. Our estimates are made based on current tax laws, the best available information at the time of the provision and historical experience.</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2016 Form 10-K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units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nonvested stock awards which accrue dividends is equal to the market price of our common stock at the date of grant. Our nonvested stock awards are time vested except for certain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requiring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214"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update the historical and implied components of the expected volatility assumption when new grants are made. No MSU Grants have been awarded in 2017.</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Beginning in 2017, we adopted long-term incentive plans that award nonvested stock units based upon relative total shareholder return. In addition to requiring the requisite service, these nonvested stock units contain both a market condition based on relative total shareholder return and a performance condition based on operating income. Relative total shareholder return is defined as increases in our stock price plus dividends paid during the performance period as compared to the total shareholder return of a group of peer companies determined by the Compensation Committee. The number of shares awarded at the end of the performance period for each nonvested stock unit may range from 75% to 125% of the target award.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these nonvested stock units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214"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expected volatility is the historical volatility of our stock and the members of the peer group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will update the expected volatility assumption when new grants are made.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nine months of 2017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2016 Form 10-K is incorporated in this item of this Quarterly Report on Form 10-Q by this reference. There have been no material changes in our quantitative and qualitative market risks since July 29, 2016.</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April 28, 2017, our disclosure controls and procedures were effective for the purposes set forth in the definition thereof in Exchange Act Rule 13a-15(e).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April 28, 2017 in our internal control over financial reporting (as defined in Exchange Act Rule 13a-15(f)) that have materially affected, or are reasonably likely to materially affect, our internal control over financial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in the risk factors previously disclosed in “Item 1A. Risk Factors” of our 2016 Form 10-K.</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Exhibit Index immediately following the signature page hereto.</w:t>
      </w:r>
    </w:p>
    <w:p>
      <w:pPr>
        <w:spacing w:after="0" w:line="200" w:lineRule="exact"/>
        <w:rPr>
          <w:sz w:val="20"/>
          <w:szCs w:val="20"/>
          <w:color w:val="auto"/>
        </w:r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80" w:type="dxa"/>
            <w:vAlign w:val="bottom"/>
            <w:gridSpan w:val="4"/>
          </w:tcPr>
          <w:p>
            <w:pPr>
              <w:ind w:left="200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23, 2017</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7420" w:type="dxa"/>
            <w:vAlign w:val="bottom"/>
            <w:gridSpan w:val="3"/>
          </w:tcPr>
          <w:p>
            <w:pPr>
              <w:spacing w:after="0"/>
              <w:rPr>
                <w:sz w:val="20"/>
                <w:szCs w:val="20"/>
                <w:color w:val="auto"/>
              </w:rPr>
            </w:pPr>
            <w:r>
              <w:rPr>
                <w:rFonts w:ascii="Arial" w:cs="Arial" w:eastAsia="Arial" w:hAnsi="Arial"/>
                <w:sz w:val="18"/>
                <w:szCs w:val="18"/>
                <w:color w:val="auto"/>
              </w:rPr>
              <w:t>/s/ Jill M. Golder</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Jill M. Golder, Senior Vice President and</w:t>
            </w:r>
          </w:p>
        </w:tc>
      </w:t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392"/>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23, 2017</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7420" w:type="dxa"/>
            <w:vAlign w:val="bottom"/>
            <w:gridSpan w:val="3"/>
          </w:tcPr>
          <w:p>
            <w:pPr>
              <w:spacing w:after="0"/>
              <w:rPr>
                <w:sz w:val="20"/>
                <w:szCs w:val="20"/>
                <w:color w:val="auto"/>
              </w:rPr>
            </w:pPr>
            <w:r>
              <w:rPr>
                <w:rFonts w:ascii="Arial" w:cs="Arial" w:eastAsia="Arial" w:hAnsi="Arial"/>
                <w:sz w:val="18"/>
                <w:szCs w:val="18"/>
                <w:color w:val="auto"/>
              </w:rPr>
              <w:t>/s/ Jeffrey M. Wilson</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Jeffrey M. Wilson, Vice President, Corporate Controller and Principal Accounting Officer</w:t>
            </w:r>
          </w:p>
        </w:tc>
      </w:tr>
      <w:tr>
        <w:trPr>
          <w:trHeight w:val="596"/>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420" w:type="dxa"/>
            <w:vAlign w:val="bottom"/>
            <w:gridSpan w:val="3"/>
          </w:tcPr>
          <w:p>
            <w:pPr>
              <w:ind w:left="1640"/>
              <w:spacing w:after="0"/>
              <w:rPr>
                <w:sz w:val="20"/>
                <w:szCs w:val="20"/>
                <w:color w:val="auto"/>
              </w:rPr>
            </w:pPr>
            <w:r>
              <w:rPr>
                <w:rFonts w:ascii="Arial" w:cs="Arial" w:eastAsia="Arial" w:hAnsi="Arial"/>
                <w:sz w:val="14"/>
                <w:szCs w:val="14"/>
                <w:color w:val="auto"/>
              </w:rPr>
              <w:t>29</w:t>
            </w:r>
          </w:p>
        </w:tc>
      </w:tr>
      <w:tr>
        <w:trPr>
          <w:trHeight w:val="46"/>
        </w:trPr>
        <w:tc>
          <w:tcPr>
            <w:tcW w:w="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380" w:type="dxa"/>
            <w:vAlign w:val="bottom"/>
          </w:tcPr>
          <w:p>
            <w:pPr>
              <w:ind w:left="460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tabs>
          <w:tab w:leader="none" w:pos="4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23,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1" w:name="page32"/>
    <w:bookmarkEnd w:id="31"/>
    <w:p>
      <w:pPr>
        <w:spacing w:after="0"/>
        <w:tabs>
          <w:tab w:leader="none" w:pos="4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400" w:hanging="325"/>
        <w:spacing w:after="0"/>
        <w:tabs>
          <w:tab w:leader="none" w:pos="1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23,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April 28, 2017,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23, 2017</w:t>
            </w:r>
          </w:p>
        </w:tc>
        <w:tc>
          <w:tcPr>
            <w:tcW w:w="9980" w:type="dxa"/>
            <w:vAlign w:val="bottom"/>
            <w:gridSpan w:val="3"/>
          </w:tcPr>
          <w:p>
            <w:pPr>
              <w:ind w:left="3140"/>
              <w:spacing w:after="0"/>
              <w:rPr>
                <w:sz w:val="20"/>
                <w:szCs w:val="20"/>
                <w:color w:val="auto"/>
              </w:rPr>
            </w:pPr>
            <w:r>
              <w:rPr>
                <w:rFonts w:ascii="Arial" w:cs="Arial" w:eastAsia="Arial" w:hAnsi="Arial"/>
                <w:sz w:val="18"/>
                <w:szCs w:val="18"/>
                <w:color w:val="auto"/>
              </w:rPr>
              <w:t>By: /s/ Sandra B. Cochran</w:t>
            </w:r>
          </w:p>
        </w:tc>
      </w:tr>
      <w:tr>
        <w:trPr>
          <w:trHeight w:val="222"/>
        </w:trPr>
        <w:tc>
          <w:tcPr>
            <w:tcW w:w="4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80" w:type="dxa"/>
            <w:vAlign w:val="bottom"/>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Sandra B. Cochran</w:t>
            </w:r>
          </w:p>
        </w:tc>
        <w:tc>
          <w:tcPr>
            <w:tcW w:w="49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April 28, 2017,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23, 2017</w:t>
            </w:r>
          </w:p>
        </w:tc>
        <w:tc>
          <w:tcPr>
            <w:tcW w:w="9980" w:type="dxa"/>
            <w:vAlign w:val="bottom"/>
            <w:gridSpan w:val="3"/>
          </w:tcPr>
          <w:p>
            <w:pPr>
              <w:ind w:left="3140"/>
              <w:spacing w:after="0"/>
              <w:rPr>
                <w:sz w:val="20"/>
                <w:szCs w:val="20"/>
                <w:color w:val="auto"/>
              </w:rPr>
            </w:pPr>
            <w:r>
              <w:rPr>
                <w:rFonts w:ascii="Arial" w:cs="Arial" w:eastAsia="Arial" w:hAnsi="Arial"/>
                <w:sz w:val="18"/>
                <w:szCs w:val="18"/>
                <w:color w:val="auto"/>
              </w:rPr>
              <w:t>By: /s/ Jill M. Golder</w:t>
            </w:r>
          </w:p>
        </w:tc>
      </w:tr>
      <w:tr>
        <w:trPr>
          <w:trHeight w:val="222"/>
        </w:trPr>
        <w:tc>
          <w:tcPr>
            <w:tcW w:w="4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8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52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1">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75A2A8D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2019-12-29T05:53:12Z</dcterms:created>
  <dcterms:modified xsi:type="dcterms:W3CDTF">2019-12-29T05:53:12Z</dcterms:modified>
</cp:coreProperties>
</file>