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00" w:lineRule="exact"/>
        <w:rPr>
          <w:sz w:val="24"/>
          <w:szCs w:val="24"/>
          <w:color w:val="auto"/>
        </w:rPr>
      </w:pPr>
    </w:p>
    <w:p>
      <w:pPr>
        <w:spacing w:after="0" w:line="275" w:lineRule="exact"/>
        <w:rPr>
          <w:sz w:val="24"/>
          <w:szCs w:val="24"/>
          <w:color w:val="auto"/>
        </w:rPr>
      </w:pPr>
    </w:p>
    <w:p>
      <w:pPr>
        <w:ind w:left="46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780" w:right="4600" w:hanging="312"/>
        <w:spacing w:after="0" w:line="267"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November 2, 2012</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780" w:right="4640" w:hanging="312"/>
        <w:spacing w:after="0" w:line="280"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w:t>
      </w:r>
    </w:p>
    <w:p>
      <w:pPr>
        <w:spacing w:after="0" w:line="163"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Commission file number: 001-25225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740" w:type="dxa"/>
        <w:tblCellMar>
          <w:top w:w="0" w:type="dxa"/>
          <w:left w:w="0" w:type="dxa"/>
          <w:bottom w:w="0" w:type="dxa"/>
          <w:right w:w="0" w:type="dxa"/>
        </w:tblCellMar>
      </w:tblPr>
      <w:tr>
        <w:trPr>
          <w:trHeight w:val="206"/>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83"/>
              </w:rPr>
              <w:t>Tennessee</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62-0812904</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5"/>
              </w:rPr>
              <w:t>(I.R.S. Employer Identification Number)</w:t>
            </w:r>
          </w:p>
        </w:tc>
      </w:tr>
      <w:tr>
        <w:trPr>
          <w:trHeight w:val="402"/>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92"/>
              </w:rPr>
              <w:t>305 Hartmann Drive, P.O. Box 787</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37088-0787</w:t>
            </w:r>
          </w:p>
        </w:tc>
      </w:tr>
      <w:tr>
        <w:trPr>
          <w:trHeight w:val="206"/>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87"/>
              </w:rPr>
              <w:t>Lebanon, Tennessee</w:t>
            </w:r>
          </w:p>
        </w:tc>
        <w:tc>
          <w:tcPr>
            <w:tcW w:w="4000" w:type="dxa"/>
            <w:vAlign w:val="bottom"/>
          </w:tcPr>
          <w:p>
            <w:pPr>
              <w:jc w:val="center"/>
              <w:ind w:left="1114"/>
              <w:spacing w:after="0"/>
              <w:rPr>
                <w:sz w:val="20"/>
                <w:szCs w:val="20"/>
                <w:color w:val="auto"/>
              </w:rPr>
            </w:pPr>
            <w:r>
              <w:rPr>
                <w:rFonts w:ascii="Arial" w:cs="Arial" w:eastAsia="Arial" w:hAnsi="Arial"/>
                <w:sz w:val="17"/>
                <w:szCs w:val="17"/>
                <w:color w:val="auto"/>
                <w:w w:val="94"/>
              </w:rPr>
              <w:t>(Zip code)</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(Address of principal executive offices)</w:t>
            </w:r>
          </w:p>
        </w:tc>
        <w:tc>
          <w:tcPr>
            <w:tcW w:w="4000" w:type="dxa"/>
            <w:vAlign w:val="bottom"/>
          </w:tcPr>
          <w:p>
            <w:pPr>
              <w:spacing w:after="0"/>
              <w:rPr>
                <w:sz w:val="18"/>
                <w:szCs w:val="18"/>
                <w:color w:val="auto"/>
              </w:rPr>
            </w:pP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57" w:lineRule="exact"/>
        <w:rPr>
          <w:sz w:val="24"/>
          <w:szCs w:val="24"/>
          <w:color w:val="auto"/>
        </w:rPr>
      </w:pPr>
    </w:p>
    <w:p>
      <w:pPr>
        <w:ind w:left="6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3">
            <w:col w:w="5460" w:space="720"/>
            <w:col w:w="1140" w:space="80"/>
            <w:col w:w="4100"/>
          </w:cols>
          <w:pgMar w:left="240" w:top="305" w:right="159" w:bottom="1440" w:gutter="0" w:footer="0" w:header="0"/>
          <w:type w:val="continuous"/>
        </w:sectPr>
      </w:pPr>
    </w:p>
    <w:p>
      <w:pPr>
        <w:spacing w:after="0" w:line="40" w:lineRule="exact"/>
        <w:rPr>
          <w:sz w:val="24"/>
          <w:szCs w:val="24"/>
          <w:color w:val="auto"/>
        </w:rPr>
      </w:pPr>
    </w:p>
    <w:p>
      <w:pPr>
        <w:ind w:left="6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2080" w:space="180"/>
            <w:col w:w="3200" w:space="720"/>
            <w:col w:w="1880" w:space="80"/>
            <w:col w:w="3360"/>
          </w:cols>
          <w:pgMar w:left="240" w:top="305" w:right="15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19" w:lineRule="exact"/>
        <w:rPr>
          <w:sz w:val="24"/>
          <w:szCs w:val="24"/>
          <w:color w:val="auto"/>
        </w:rPr>
      </w:pPr>
    </w:p>
    <w:p>
      <w:pPr>
        <w:ind w:left="320"/>
        <w:spacing w:after="0" w:line="196" w:lineRule="exact"/>
        <w:tabs>
          <w:tab w:leader="none" w:pos="9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23,688,983 Shares of Common Stock</w:t>
      </w:r>
    </w:p>
    <w:p>
      <w:pPr>
        <w:spacing w:after="0" w:line="22"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Outstanding as of November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November 2, 2012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43" w:lineRule="exact"/>
        <w:rPr>
          <w:sz w:val="20"/>
          <w:szCs w:val="20"/>
          <w:color w:val="auto"/>
        </w:rPr>
      </w:pPr>
    </w:p>
    <w:p>
      <w:pPr>
        <w:spacing w:after="0"/>
        <w:tabs>
          <w:tab w:leader="none" w:pos="10720" w:val="left"/>
        </w:tabs>
        <w:rPr>
          <w:sz w:val="20"/>
          <w:szCs w:val="20"/>
          <w:color w:val="auto"/>
        </w:rPr>
      </w:pPr>
      <w:r>
        <w:rPr>
          <w:rFonts w:ascii="Arial" w:cs="Arial" w:eastAsia="Arial" w:hAnsi="Arial"/>
          <w:sz w:val="17"/>
          <w:szCs w:val="17"/>
          <w:b w:val="1"/>
          <w:bCs w:val="1"/>
          <w:color w:val="auto"/>
        </w:rPr>
        <w:t>PART I. FINANCIAL INFORMATION</w:t>
      </w:r>
      <w:r>
        <w:rPr>
          <w:sz w:val="20"/>
          <w:szCs w:val="20"/>
          <w:color w:val="auto"/>
        </w:rPr>
        <w:tab/>
      </w:r>
      <w:r>
        <w:rPr>
          <w:rFonts w:ascii="Arial" w:cs="Arial" w:eastAsia="Arial" w:hAnsi="Arial"/>
          <w:sz w:val="15"/>
          <w:szCs w:val="15"/>
          <w:b w:val="1"/>
          <w:bCs w:val="1"/>
          <w:u w:val="single" w:color="auto"/>
          <w:color w:val="auto"/>
        </w:rPr>
        <w:t>Page</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Item 1</w:t>
      </w:r>
    </w:p>
    <w:p>
      <w:pPr>
        <w:spacing w:after="0" w:line="22" w:lineRule="exact"/>
        <w:rPr>
          <w:sz w:val="20"/>
          <w:szCs w:val="20"/>
          <w:color w:val="auto"/>
        </w:rPr>
      </w:pPr>
    </w:p>
    <w:p>
      <w:pPr>
        <w:ind w:left="1000" w:hanging="300"/>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Condensed Consolidated Financial Statements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9460" w:type="dxa"/>
            <w:vAlign w:val="bottom"/>
            <w:gridSpan w:val="12"/>
            <w:shd w:val="clear" w:color="auto" w:fill="CCEEFF"/>
          </w:tcPr>
          <w:p>
            <w:pPr>
              <w:ind w:left="20"/>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November 2, 2012 and August 3, 2012</w:t>
              </w:r>
            </w:hyperlink>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7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b)</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20" w:type="dxa"/>
            <w:vAlign w:val="bottom"/>
            <w:gridSpan w:val="10"/>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Income for the Quarters Ended November 2, 2012 and October 28, 2011</w:t>
              </w:r>
            </w:hyperlink>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c)</w:t>
            </w:r>
          </w:p>
        </w:tc>
        <w:tc>
          <w:tcPr>
            <w:tcW w:w="9460" w:type="dxa"/>
            <w:vAlign w:val="bottom"/>
            <w:gridSpan w:val="12"/>
            <w:shd w:val="clear" w:color="auto" w:fill="CCEEFF"/>
          </w:tcPr>
          <w:p>
            <w:pPr>
              <w:ind w:left="20"/>
              <w:spacing w:after="0" w:line="167" w:lineRule="exact"/>
              <w:rPr>
                <w:rFonts w:ascii="Arial" w:cs="Arial" w:eastAsia="Arial" w:hAnsi="Arial"/>
                <w:sz w:val="17"/>
                <w:szCs w:val="17"/>
                <w:color w:val="0000EE"/>
                <w:w w:val="96"/>
              </w:rPr>
            </w:pPr>
            <w:hyperlink w:anchor="page5">
              <w:r>
                <w:rPr>
                  <w:rFonts w:ascii="Arial" w:cs="Arial" w:eastAsia="Arial" w:hAnsi="Arial"/>
                  <w:sz w:val="17"/>
                  <w:szCs w:val="17"/>
                  <w:color w:val="0000EE"/>
                  <w:w w:val="96"/>
                </w:rPr>
                <w:t>Condensed Consolidated Statements of Comprehensive Income for the Quarters Ended November 2, 2012 and October 28, 2011</w:t>
              </w:r>
            </w:hyperlink>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d)</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20" w:type="dxa"/>
            <w:vAlign w:val="bottom"/>
            <w:gridSpan w:val="10"/>
            <w:shd w:val="clear" w:color="auto" w:fill="CCEEFF"/>
          </w:tcPr>
          <w:p>
            <w:pPr>
              <w:spacing w:after="0" w:line="167"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Cash Flows for the Quarters Ended November 2, 2012 and October 28, 2011</w:t>
              </w:r>
            </w:hyperlink>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e)</w:t>
            </w:r>
          </w:p>
        </w:tc>
        <w:tc>
          <w:tcPr>
            <w:tcW w:w="9460" w:type="dxa"/>
            <w:vAlign w:val="bottom"/>
            <w:gridSpan w:val="12"/>
            <w:shd w:val="clear" w:color="auto" w:fill="CCEEFF"/>
          </w:tcPr>
          <w:p>
            <w:pPr>
              <w:ind w:left="20"/>
              <w:spacing w:after="0" w:line="167" w:lineRule="exact"/>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80" w:type="dxa"/>
            <w:vAlign w:val="bottom"/>
            <w:tcBorders>
              <w:top w:val="single" w:sz="8" w:color="CCEEFF"/>
            </w:tcBorders>
            <w:gridSpan w:val="4"/>
          </w:tcPr>
          <w:p>
            <w:pPr>
              <w:ind w:left="680"/>
              <w:spacing w:after="0"/>
              <w:rPr>
                <w:sz w:val="20"/>
                <w:szCs w:val="20"/>
                <w:color w:val="auto"/>
              </w:rPr>
            </w:pPr>
            <w:r>
              <w:rPr>
                <w:rFonts w:ascii="Arial" w:cs="Arial" w:eastAsia="Arial" w:hAnsi="Arial"/>
                <w:sz w:val="17"/>
                <w:szCs w:val="17"/>
                <w:color w:val="auto"/>
              </w:rPr>
              <w:t>Item 2</w:t>
            </w: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40" w:type="dxa"/>
            <w:vAlign w:val="bottom"/>
            <w:gridSpan w:val="16"/>
            <w:shd w:val="clear" w:color="auto" w:fill="CCEEFF"/>
          </w:tcPr>
          <w:p>
            <w:pPr>
              <w:ind w:left="68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14">
              <w:r>
                <w:rPr>
                  <w:rFonts w:ascii="Arial" w:cs="Arial" w:eastAsia="Arial" w:hAnsi="Arial"/>
                  <w:sz w:val="17"/>
                  <w:szCs w:val="17"/>
                  <w:color w:val="0000EE"/>
                </w:rPr>
                <w:t>Management’s Discussion and Analysis of Financial Condition and Results of Operations</w:t>
              </w:r>
            </w:hyperlink>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20" w:type="dxa"/>
            <w:vAlign w:val="bottom"/>
            <w:tcBorders>
              <w:right w:val="single" w:sz="8" w:color="0000EE"/>
            </w:tcBorders>
            <w:shd w:val="clear" w:color="auto" w:fill="0000EE"/>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80" w:type="dxa"/>
            <w:vAlign w:val="bottom"/>
            <w:gridSpan w:val="4"/>
          </w:tcPr>
          <w:p>
            <w:pPr>
              <w:ind w:left="680"/>
              <w:spacing w:after="0"/>
              <w:rPr>
                <w:sz w:val="20"/>
                <w:szCs w:val="20"/>
                <w:color w:val="auto"/>
              </w:rPr>
            </w:pPr>
            <w:r>
              <w:rPr>
                <w:rFonts w:ascii="Arial" w:cs="Arial" w:eastAsia="Arial" w:hAnsi="Arial"/>
                <w:sz w:val="17"/>
                <w:szCs w:val="17"/>
                <w:color w:val="auto"/>
              </w:rPr>
              <w:t>Item 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40" w:type="dxa"/>
            <w:vAlign w:val="bottom"/>
            <w:gridSpan w:val="16"/>
            <w:shd w:val="clear" w:color="auto" w:fill="CCEEFF"/>
          </w:tcPr>
          <w:p>
            <w:pPr>
              <w:ind w:left="680"/>
              <w:spacing w:after="0" w:line="169"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25">
              <w:r>
                <w:rPr>
                  <w:rFonts w:ascii="Arial" w:cs="Arial" w:eastAsia="Arial" w:hAnsi="Arial"/>
                  <w:sz w:val="17"/>
                  <w:szCs w:val="17"/>
                  <w:color w:val="0000EE"/>
                </w:rPr>
                <w:t>Quantitative and Qualitative Disclosures About Market Risk</w:t>
              </w:r>
            </w:hyperlink>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23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20" w:type="dxa"/>
            <w:vAlign w:val="bottom"/>
            <w:tcBorders>
              <w:right w:val="single" w:sz="8" w:color="CCEEFF"/>
            </w:tcBorders>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80" w:type="dxa"/>
            <w:vAlign w:val="bottom"/>
            <w:gridSpan w:val="4"/>
          </w:tcPr>
          <w:p>
            <w:pPr>
              <w:ind w:left="680"/>
              <w:spacing w:after="0"/>
              <w:rPr>
                <w:sz w:val="20"/>
                <w:szCs w:val="20"/>
                <w:color w:val="auto"/>
              </w:rPr>
            </w:pPr>
            <w:r>
              <w:rPr>
                <w:rFonts w:ascii="Arial" w:cs="Arial" w:eastAsia="Arial" w:hAnsi="Arial"/>
                <w:sz w:val="17"/>
                <w:szCs w:val="17"/>
                <w:color w:val="auto"/>
              </w:rPr>
              <w:t>Item 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Borders>
              <w:bottom w:val="single" w:sz="8" w:color="CCEEFF"/>
            </w:tcBorders>
            <w:shd w:val="clear" w:color="auto" w:fill="CCEEFF"/>
          </w:tcPr>
          <w:p>
            <w:pPr>
              <w:ind w:left="680"/>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0000EE"/>
            </w:tcBorders>
            <w:gridSpan w:val="7"/>
            <w:shd w:val="clear" w:color="auto" w:fill="CCEEFF"/>
          </w:tcPr>
          <w:p>
            <w:pPr>
              <w:spacing w:after="0" w:line="169" w:lineRule="exact"/>
              <w:rPr>
                <w:rFonts w:ascii="Arial" w:cs="Arial" w:eastAsia="Arial" w:hAnsi="Arial"/>
                <w:sz w:val="17"/>
                <w:szCs w:val="17"/>
                <w:color w:val="0000EE"/>
                <w:w w:val="89"/>
              </w:rPr>
            </w:pPr>
            <w:hyperlink w:anchor="page25">
              <w:r>
                <w:rPr>
                  <w:rFonts w:ascii="Arial" w:cs="Arial" w:eastAsia="Arial" w:hAnsi="Arial"/>
                  <w:sz w:val="17"/>
                  <w:szCs w:val="17"/>
                  <w:color w:val="0000EE"/>
                  <w:w w:val="89"/>
                </w:rPr>
                <w:t>Controls and Procedures</w:t>
              </w:r>
            </w:hyperlink>
          </w:p>
        </w:tc>
        <w:tc>
          <w:tcPr>
            <w:tcW w:w="7960" w:type="dxa"/>
            <w:vAlign w:val="bottom"/>
            <w:tcBorders>
              <w:bottom w:val="single" w:sz="8" w:color="CCEEFF"/>
            </w:tcBorders>
            <w:gridSpan w:val="7"/>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0660" w:type="dxa"/>
            <w:vAlign w:val="bottom"/>
            <w:gridSpan w:val="17"/>
          </w:tcPr>
          <w:p>
            <w:pPr>
              <w:spacing w:after="0"/>
              <w:rPr>
                <w:sz w:val="20"/>
                <w:szCs w:val="20"/>
                <w:color w:val="auto"/>
              </w:rPr>
            </w:pPr>
            <w:r>
              <w:rPr>
                <w:rFonts w:ascii="Arial" w:cs="Arial" w:eastAsia="Arial" w:hAnsi="Arial"/>
                <w:sz w:val="17"/>
                <w:szCs w:val="17"/>
                <w:b w:val="1"/>
                <w:bCs w:val="1"/>
                <w:color w:val="auto"/>
              </w:rPr>
              <w:t>PART II. OTHER INFORMATION</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0640" w:type="dxa"/>
            <w:vAlign w:val="bottom"/>
            <w:gridSpan w:val="16"/>
          </w:tcPr>
          <w:p>
            <w:pPr>
              <w:ind w:left="680"/>
              <w:spacing w:after="0"/>
              <w:rPr>
                <w:sz w:val="20"/>
                <w:szCs w:val="20"/>
                <w:color w:val="auto"/>
              </w:rPr>
            </w:pPr>
            <w:r>
              <w:rPr>
                <w:rFonts w:ascii="Arial" w:cs="Arial" w:eastAsia="Arial" w:hAnsi="Arial"/>
                <w:sz w:val="17"/>
                <w:szCs w:val="17"/>
                <w:color w:val="auto"/>
              </w:rPr>
              <w:t>Item 1A</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660" w:type="dxa"/>
            <w:vAlign w:val="bottom"/>
            <w:gridSpan w:val="14"/>
            <w:shd w:val="clear" w:color="auto" w:fill="CCEEFF"/>
          </w:tcPr>
          <w:p>
            <w:pPr>
              <w:spacing w:after="0" w:line="169" w:lineRule="exact"/>
              <w:rPr>
                <w:rFonts w:ascii="Arial" w:cs="Arial" w:eastAsia="Arial" w:hAnsi="Arial"/>
                <w:sz w:val="17"/>
                <w:szCs w:val="17"/>
                <w:color w:val="0000EE"/>
              </w:rPr>
            </w:pPr>
            <w:hyperlink w:anchor="page26">
              <w:r>
                <w:rPr>
                  <w:rFonts w:ascii="Arial" w:cs="Arial" w:eastAsia="Arial" w:hAnsi="Arial"/>
                  <w:sz w:val="17"/>
                  <w:szCs w:val="17"/>
                  <w:color w:val="0000EE"/>
                </w:rPr>
                <w:t>Risk Factors</w:t>
              </w:r>
            </w:hyperlink>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20" w:type="dxa"/>
            <w:vAlign w:val="bottom"/>
            <w:tcBorders>
              <w:right w:val="single" w:sz="8" w:color="CCEEFF"/>
            </w:tcBorders>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80" w:type="dxa"/>
            <w:vAlign w:val="bottom"/>
            <w:gridSpan w:val="4"/>
          </w:tcPr>
          <w:p>
            <w:pPr>
              <w:ind w:left="680"/>
              <w:spacing w:after="0"/>
              <w:rPr>
                <w:sz w:val="20"/>
                <w:szCs w:val="20"/>
                <w:color w:val="auto"/>
              </w:rPr>
            </w:pPr>
            <w:r>
              <w:rPr>
                <w:rFonts w:ascii="Arial" w:cs="Arial" w:eastAsia="Arial" w:hAnsi="Arial"/>
                <w:sz w:val="17"/>
                <w:szCs w:val="17"/>
                <w:color w:val="auto"/>
              </w:rPr>
              <w:t>Item 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shd w:val="clear" w:color="auto" w:fill="CCEEFF"/>
          </w:tcPr>
          <w:p>
            <w:pPr>
              <w:ind w:left="680"/>
              <w:spacing w:after="0" w:line="169" w:lineRule="exact"/>
              <w:rPr>
                <w:sz w:val="20"/>
                <w:szCs w:val="20"/>
                <w:color w:val="auto"/>
              </w:rPr>
            </w:pPr>
            <w:r>
              <w:rPr>
                <w:rFonts w:ascii="Arial" w:cs="Arial" w:eastAsia="Arial" w:hAnsi="Arial"/>
                <w:sz w:val="17"/>
                <w:szCs w:val="17"/>
                <w:color w:val="auto"/>
              </w:rPr>
              <w:t>·</w:t>
            </w:r>
          </w:p>
        </w:tc>
        <w:tc>
          <w:tcPr>
            <w:tcW w:w="9780" w:type="dxa"/>
            <w:vAlign w:val="bottom"/>
            <w:gridSpan w:val="15"/>
            <w:shd w:val="clear" w:color="auto" w:fill="CCEEFF"/>
          </w:tcPr>
          <w:p>
            <w:pPr>
              <w:ind w:left="120"/>
              <w:spacing w:after="0" w:line="169" w:lineRule="exact"/>
              <w:rPr>
                <w:rFonts w:ascii="Arial" w:cs="Arial" w:eastAsia="Arial" w:hAnsi="Arial"/>
                <w:sz w:val="17"/>
                <w:szCs w:val="17"/>
                <w:color w:val="0000EE"/>
              </w:rPr>
            </w:pPr>
            <w:hyperlink w:anchor="page26">
              <w:r>
                <w:rPr>
                  <w:rFonts w:ascii="Arial" w:cs="Arial" w:eastAsia="Arial" w:hAnsi="Arial"/>
                  <w:sz w:val="17"/>
                  <w:szCs w:val="17"/>
                  <w:color w:val="0000EE"/>
                </w:rPr>
                <w:t>Exhibits</w:t>
              </w:r>
            </w:hyperlink>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7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180" w:type="dxa"/>
            <w:vAlign w:val="bottom"/>
            <w:gridSpan w:val="4"/>
            <w:shd w:val="clear" w:color="auto" w:fill="CCEEFF"/>
          </w:tcPr>
          <w:p>
            <w:pPr>
              <w:spacing w:after="0" w:line="167" w:lineRule="exact"/>
              <w:rPr>
                <w:rFonts w:ascii="Arial" w:cs="Arial" w:eastAsia="Arial" w:hAnsi="Arial"/>
                <w:sz w:val="17"/>
                <w:szCs w:val="17"/>
                <w:b w:val="1"/>
                <w:bCs w:val="1"/>
                <w:color w:val="0000EE"/>
              </w:rPr>
            </w:pPr>
            <w:hyperlink w:anchor="page27">
              <w:r>
                <w:rPr>
                  <w:rFonts w:ascii="Arial" w:cs="Arial" w:eastAsia="Arial" w:hAnsi="Arial"/>
                  <w:sz w:val="17"/>
                  <w:szCs w:val="17"/>
                  <w:b w:val="1"/>
                  <w:bCs w:val="1"/>
                  <w:color w:val="0000EE"/>
                </w:rPr>
                <w:t>SIGNATURES</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20" w:type="dxa"/>
            <w:vAlign w:val="bottom"/>
            <w:tcBorders>
              <w:right w:val="single" w:sz="8" w:color="CCEEFF"/>
            </w:tcBorders>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980" w:type="dxa"/>
            <w:vAlign w:val="bottom"/>
            <w:tcBorders>
              <w:top w:val="single" w:sz="8" w:color="CCEEFF"/>
            </w:tcBorders>
            <w:gridSpan w:val="8"/>
          </w:tcPr>
          <w:p>
            <w:pPr>
              <w:jc w:val="right"/>
              <w:ind w:right="1440"/>
              <w:spacing w:after="0"/>
              <w:rPr>
                <w:sz w:val="20"/>
                <w:szCs w:val="20"/>
                <w:color w:val="auto"/>
              </w:rPr>
            </w:pPr>
            <w:r>
              <w:rPr>
                <w:rFonts w:ascii="Arial" w:cs="Arial" w:eastAsia="Arial" w:hAnsi="Arial"/>
                <w:sz w:val="14"/>
                <w:szCs w:val="14"/>
                <w:color w:val="auto"/>
              </w:rPr>
              <w:t>2</w:t>
            </w:r>
          </w:p>
        </w:tc>
        <w:tc>
          <w:tcPr>
            <w:tcW w:w="17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PART I – FINANCIAL INFORMATION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w w:val="90"/>
              </w:rPr>
              <w:t>November 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August 3,</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held for sale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177,475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143,267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11,939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15,181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340,962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337,308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1,751,282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1,741,571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Accumulated depreciation and amortization of capital leases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732,029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719,201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 – net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1,019,253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1,022,370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1,420,503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98,847</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101,271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 of long-term debt and other long-term obligations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Income taxes payable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interest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Current interest rate swap liability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13,799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191,515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305,884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319,059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525,036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interest rate swap liability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obligations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114,897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63,159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Commitments and Contingencies (Note 11)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w w:val="91"/>
              </w:rPr>
              <w:t>Preferred stock – 100,000,000 shares of $.01 par value authorized; 300,000 shares designated as Series A Junior Participating</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Preferred Stock; no shares issued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Common stock – 400,000,000 shares of $.01 par value authorized; 23,676,980 shares issued and outstanding at November 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2012, and 23,473,024 shares issued and outstanding at August 3, 2012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34,138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28,676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Retained earnings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386,270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374,923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382,675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1,420,503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43" w:lineRule="exact"/>
        <w:rPr>
          <w:sz w:val="20"/>
          <w:szCs w:val="20"/>
          <w:color w:val="auto"/>
        </w:rPr>
      </w:pPr>
    </w:p>
    <w:p>
      <w:pPr>
        <w:ind w:firstLine="3"/>
        <w:spacing w:after="0" w:line="280" w:lineRule="auto"/>
        <w:tabs>
          <w:tab w:leader="none" w:pos="15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August 3, 2012, as filed in the Company’s Annual Report on Form 10-K for the fiscal year ended August 3, 2012.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STATEMENTS OF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7"/>
                <w:szCs w:val="17"/>
                <w:color w:val="auto"/>
              </w:rPr>
              <w:t>Quarter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4" w:lineRule="exact"/>
              <w:rPr>
                <w:sz w:val="20"/>
                <w:szCs w:val="20"/>
                <w:color w:val="auto"/>
              </w:rPr>
            </w:pPr>
            <w:r>
              <w:rPr>
                <w:rFonts w:ascii="Arial" w:cs="Arial" w:eastAsia="Arial" w:hAnsi="Arial"/>
                <w:sz w:val="17"/>
                <w:szCs w:val="17"/>
                <w:color w:val="auto"/>
              </w:rPr>
              <w:t>November 2,</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627,451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598,437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186,307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429,593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412,130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Labor and related expenses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232,739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220,968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109,044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Store 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82,118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35,681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37,494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44,624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33,489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11,404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9,687</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23,192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income per share: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Weighted average shares: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23,577,574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22,870,934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23,787,625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23,145,783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Dividends declared per share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7"/>
                <w:szCs w:val="17"/>
                <w:color w:val="auto"/>
              </w:rPr>
              <w:t>See Notes to unaudited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 xml:space="preserve">CRACKER BARREL OLD COUNTRY STORE, INC. CONDENSED CONSOLIDATED STATEMENTS OF COMPREHENSIVE INCOME </w:t>
      </w:r>
      <w:r>
        <w:rPr>
          <w:rFonts w:ascii="Arial" w:cs="Arial" w:eastAsia="Arial" w:hAnsi="Arial"/>
          <w:sz w:val="17"/>
          <w:szCs w:val="17"/>
          <w:color w:val="auto"/>
        </w:rPr>
        <w:t>(Unaudited and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7"/>
                <w:szCs w:val="17"/>
                <w:color w:val="auto"/>
              </w:rPr>
              <w:t>Quarter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w w:val="90"/>
              </w:rPr>
              <w:t>November 2,</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23,802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before income tax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4,262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before income tax expense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2,087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net of tax</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3,950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26,606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5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7"/>
                <w:szCs w:val="17"/>
                <w:color w:val="auto"/>
              </w:rPr>
              <w:t>Quarter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280"/>
              <w:spacing w:after="0" w:line="194" w:lineRule="exact"/>
              <w:rPr>
                <w:sz w:val="20"/>
                <w:szCs w:val="20"/>
                <w:color w:val="auto"/>
              </w:rPr>
            </w:pPr>
            <w:r>
              <w:rPr>
                <w:rFonts w:ascii="Arial" w:cs="Arial" w:eastAsia="Arial" w:hAnsi="Arial"/>
                <w:sz w:val="17"/>
                <w:szCs w:val="17"/>
                <w:color w:val="auto"/>
                <w:w w:val="90"/>
              </w:rPr>
              <w:t>November 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4"/>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(used in) provided by operating 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Loss on disposition of property and equipment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(1,274)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(34,208)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(19,121)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(2,424)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1,788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long-term assets and liabilities</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(6,280)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provided by operating activities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20,244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(13,394)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(18,778)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property and equipment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insurance recoveries of property and equipment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(18,605)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92,600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(92,630)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exercise of share-based compensation awards</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2,322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Excess tax benefit from share-based compensation</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Dividends on common stock</w:t>
            </w: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(9,732)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(5,018)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(4,142)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decrease in cash and cash equivalents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151,962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49,771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paid during the period for: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6,658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Change in deferred tax asset for interest rate swaps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(2,087)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share and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67"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condensed consolidated balance sheets at November 2, 2012 and August 3, 2012 and the related condensed consolidated statements of income, comprehensive income and cash flows for the quarters ended November 2, 2012 and October 28, 2011,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3, 2012 (the “2012 Form 10-K”). The accounting policies used in preparing these condensed consolidated financial statements are the same as described in the 2012 Form 10-K. References in these Notes to Condensed Consolidated Financial Statements to a year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In June 2011, the Financial Accounting Standards Board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In December 2011, the FASB further amended this guidance to indefinitely defer the effective date of the requirement to present reclassification adjustments for each component of accumulated other comprehensive income in both net income and in other comprehensive income on the face of the financial statements. All other provisions of this guidance are effective for fiscal years beginning after December 15, 2011 on a retrospective basis. The Company adopted this accounting in the first quarter of 2013 by presenting separate but consecutive statements. The adoption of this accounting guidance did not have an impact on the Company’s consolidated financial position or results of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This guidance is effective for fiscal years beginning on or after January 1, 2013 on a retrospective basis. The Company does not expect that the adoption of this accounting guidance in the first quarter of 2014 will have a significant impact on its Consolidated Financial Statements.</w:t>
      </w:r>
    </w:p>
    <w:p>
      <w:pPr>
        <w:spacing w:after="0" w:line="204"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Company’s assets and liabilities measured at fair value on a recurring basis at November 2,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9"/>
              </w:rPr>
              <w:t>in Active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Other</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4"/>
              </w:rPr>
              <w:t>Markets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Unobservable</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w w:val="92"/>
              </w:rPr>
              <w:t>Identical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220" w:type="dxa"/>
            <w:vAlign w:val="bottom"/>
            <w:gridSpan w:val="3"/>
          </w:tcPr>
          <w:p>
            <w:pPr>
              <w:ind w:left="20"/>
              <w:spacing w:after="0"/>
              <w:rPr>
                <w:sz w:val="20"/>
                <w:szCs w:val="20"/>
                <w:color w:val="auto"/>
              </w:rPr>
            </w:pPr>
            <w:r>
              <w:rPr>
                <w:rFonts w:ascii="Arial" w:cs="Arial" w:eastAsia="Arial" w:hAnsi="Arial"/>
                <w:sz w:val="17"/>
                <w:szCs w:val="17"/>
                <w:color w:val="auto"/>
              </w:rPr>
              <w:t>of November 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c>
          <w:tcPr>
            <w:tcW w:w="1020" w:type="dxa"/>
            <w:vAlign w:val="bottom"/>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30,778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30,778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54,712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54,712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28,880</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assets and liabilities measured at fair value on a recurring basis at August 3,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9"/>
              </w:rPr>
              <w:t>in Active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Other</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4"/>
              </w:rPr>
              <w:t>Markets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Unobservable</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w w:val="92"/>
              </w:rPr>
              <w:t>Identical 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of August 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95"/>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104,531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29,443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133,974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34,381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liabilities is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November 2, 2012 and August 3, 2012.</w:t>
      </w:r>
    </w:p>
    <w:p>
      <w:pPr>
        <w:spacing w:after="0" w:line="196"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Inventories were comprised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November 2, 2012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0"/>
              </w:rPr>
              <w:t>August 3,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Retail</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139,562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Restaurant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22,611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Supplies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Arial" w:cs="Arial" w:eastAsia="Arial" w:hAnsi="Arial"/>
                <w:sz w:val="17"/>
                <w:szCs w:val="17"/>
                <w:color w:val="auto"/>
              </w:rPr>
              <w:t>Total</w:t>
            </w: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177,475</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143,267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w w:val="84"/>
              </w:rPr>
              <w:t>4.</w:t>
            </w:r>
          </w:p>
        </w:tc>
        <w:tc>
          <w:tcPr>
            <w:tcW w:w="360" w:type="dxa"/>
            <w:vAlign w:val="bottom"/>
            <w:vMerge w:val="restart"/>
          </w:tcPr>
          <w:p>
            <w:pPr>
              <w:spacing w:after="0"/>
              <w:rPr>
                <w:sz w:val="20"/>
                <w:szCs w:val="20"/>
                <w:color w:val="auto"/>
              </w:rPr>
            </w:pPr>
            <w:r>
              <w:rPr>
                <w:rFonts w:ascii="Arial" w:cs="Arial" w:eastAsia="Arial" w:hAnsi="Arial"/>
                <w:sz w:val="17"/>
                <w:szCs w:val="17"/>
                <w:b w:val="1"/>
                <w:bCs w:val="1"/>
                <w:color w:val="auto"/>
                <w:w w:val="89"/>
              </w:rPr>
              <w:t>Debt</w:t>
            </w:r>
          </w:p>
        </w:tc>
        <w:tc>
          <w:tcPr>
            <w:tcW w:w="6320" w:type="dxa"/>
            <w:vAlign w:val="bottom"/>
            <w:gridSpan w:val="2"/>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0" w:type="dxa"/>
            <w:vAlign w:val="bottom"/>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63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Arial" w:cs="Arial" w:eastAsia="Arial" w:hAnsi="Arial"/>
                <w:sz w:val="17"/>
                <w:szCs w:val="17"/>
                <w:color w:val="auto"/>
              </w:rPr>
              <w:t>Long-term debt consisted of the following at:</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November 2, 2012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0"/>
              </w:rPr>
              <w:t>August 3, 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Term loan payable on or before July 8, 2016</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212,500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Note payable</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525,116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525,142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6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Long-term debt</w:t>
            </w:r>
          </w:p>
        </w:tc>
        <w:tc>
          <w:tcPr>
            <w:tcW w:w="480" w:type="dxa"/>
            <w:vAlign w:val="bottom"/>
          </w:tcPr>
          <w:p>
            <w:pPr>
              <w:jc w:val="right"/>
              <w:ind w:right="32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518,759</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525,036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November 2, 2012, the Company had $312,500 of outstanding borrowings under the Revolving Credit Facility and $28,171 of standby letters of credit, which reduce the Company’s availability under the Revolving Credit Facility (see Note 11). At November 2, 2012, the Company had $159,329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November 2, 2012, the Company’s outstanding borrowings were swapped at a weighted average interest rate of 7.32% (see Note 5 for information on the Company’s interest rate swaps).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November 2, 2012, the Company was in compliance with all debt covenants.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Credit Facility also imposes restrictions on the amount of dividends the Company is permitted to pay. If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if the aggregate amount of dividends paid in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 per year.</w:t>
      </w:r>
    </w:p>
    <w:p>
      <w:pPr>
        <w:spacing w:after="0" w:line="196"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16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November 2, 2012 was 1.75%. All of the Company’s interest rate swaps are accounted for as cash flow hedges.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interest rate swaps is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74"/>
              <w:spacing w:after="0"/>
              <w:rPr>
                <w:sz w:val="20"/>
                <w:szCs w:val="20"/>
                <w:color w:val="auto"/>
              </w:rPr>
            </w:pPr>
            <w:r>
              <w:rPr>
                <w:rFonts w:ascii="Arial" w:cs="Arial" w:eastAsia="Arial" w:hAnsi="Arial"/>
                <w:sz w:val="17"/>
                <w:szCs w:val="17"/>
                <w:color w:val="auto"/>
                <w:w w:val="90"/>
              </w:rPr>
              <w:t>Term</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Fixed</w:t>
            </w:r>
          </w:p>
        </w:tc>
      </w:tr>
      <w:tr>
        <w:trPr>
          <w:trHeight w:val="225"/>
        </w:trPr>
        <w:tc>
          <w:tcPr>
            <w:tcW w:w="20" w:type="dxa"/>
            <w:vAlign w:val="bottom"/>
          </w:tcPr>
          <w:p>
            <w:pPr>
              <w:spacing w:after="0"/>
              <w:rPr>
                <w:sz w:val="19"/>
                <w:szCs w:val="19"/>
                <w:color w:val="auto"/>
              </w:rPr>
            </w:pPr>
          </w:p>
        </w:tc>
        <w:tc>
          <w:tcPr>
            <w:tcW w:w="302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Trade Date</w:t>
            </w:r>
          </w:p>
        </w:tc>
        <w:tc>
          <w:tcPr>
            <w:tcW w:w="80" w:type="dxa"/>
            <w:vAlign w:val="bottom"/>
          </w:tcPr>
          <w:p>
            <w:pPr>
              <w:spacing w:after="0"/>
              <w:rPr>
                <w:sz w:val="19"/>
                <w:szCs w:val="19"/>
                <w:color w:val="auto"/>
              </w:rPr>
            </w:pPr>
          </w:p>
        </w:tc>
        <w:tc>
          <w:tcPr>
            <w:tcW w:w="29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Effective Date</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2"/>
              </w:rPr>
              <w:t>(in Years)</w:t>
            </w:r>
          </w:p>
        </w:tc>
        <w:tc>
          <w:tcPr>
            <w:tcW w:w="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Notional Amount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Rate</w:t>
            </w:r>
          </w:p>
        </w:tc>
        <w:tc>
          <w:tcPr>
            <w:tcW w:w="1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May 4, 2006</w:t>
            </w:r>
          </w:p>
        </w:tc>
        <w:tc>
          <w:tcPr>
            <w:tcW w:w="8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August 3, 2006</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420" w:type="dxa"/>
            <w:vAlign w:val="bottom"/>
          </w:tcPr>
          <w:p>
            <w:pPr>
              <w:jc w:val="right"/>
              <w:ind w:right="25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525,000</w:t>
            </w:r>
          </w:p>
        </w:tc>
        <w:tc>
          <w:tcPr>
            <w:tcW w:w="22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5.57%</w:t>
            </w:r>
          </w:p>
        </w:tc>
      </w:tr>
      <w:tr>
        <w:trPr>
          <w:trHeight w:val="206"/>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August 10, 2010</w:t>
            </w: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2.73%</w:t>
            </w: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July 25, 2011</w:t>
            </w:r>
          </w:p>
        </w:tc>
        <w:tc>
          <w:tcPr>
            <w:tcW w:w="3020" w:type="dxa"/>
            <w:vAlign w:val="bottom"/>
            <w:gridSpan w:val="2"/>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50,000</w:t>
            </w: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2.00%</w:t>
            </w:r>
          </w:p>
        </w:tc>
      </w:tr>
      <w:tr>
        <w:trPr>
          <w:trHeight w:val="206"/>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July 25, 2011</w:t>
            </w: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2.45%</w:t>
            </w: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September 19, 2011</w:t>
            </w:r>
          </w:p>
        </w:tc>
        <w:tc>
          <w:tcPr>
            <w:tcW w:w="3020" w:type="dxa"/>
            <w:vAlign w:val="bottom"/>
            <w:gridSpan w:val="2"/>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25,000</w:t>
            </w: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1.05%</w:t>
            </w:r>
          </w:p>
        </w:tc>
      </w:tr>
      <w:tr>
        <w:trPr>
          <w:trHeight w:val="206"/>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September 19, 2011</w:t>
            </w: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r>
      <w:tr>
        <w:trPr>
          <w:trHeight w:val="217"/>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December 7, 2011</w:t>
            </w:r>
          </w:p>
        </w:tc>
        <w:tc>
          <w:tcPr>
            <w:tcW w:w="3020" w:type="dxa"/>
            <w:vAlign w:val="bottom"/>
            <w:gridSpan w:val="2"/>
          </w:tcPr>
          <w:p>
            <w:pPr>
              <w:ind w:left="80"/>
              <w:spacing w:after="0"/>
              <w:rPr>
                <w:sz w:val="20"/>
                <w:szCs w:val="20"/>
                <w:color w:val="auto"/>
              </w:rPr>
            </w:pPr>
            <w:r>
              <w:rPr>
                <w:rFonts w:ascii="Arial" w:cs="Arial" w:eastAsia="Arial" w:hAnsi="Arial"/>
                <w:sz w:val="17"/>
                <w:szCs w:val="17"/>
                <w:color w:val="auto"/>
              </w:rPr>
              <w:t>May 3, 2013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50,000</w:t>
            </w:r>
          </w:p>
        </w:tc>
        <w:tc>
          <w:tcPr>
            <w:tcW w:w="1520" w:type="dxa"/>
            <w:vAlign w:val="bottom"/>
            <w:gridSpan w:val="3"/>
          </w:tcPr>
          <w:p>
            <w:pPr>
              <w:jc w:val="right"/>
              <w:ind w:right="40"/>
              <w:spacing w:after="0"/>
              <w:rPr>
                <w:sz w:val="20"/>
                <w:szCs w:val="20"/>
                <w:color w:val="auto"/>
              </w:rPr>
            </w:pPr>
            <w:r>
              <w:rPr>
                <w:rFonts w:ascii="Arial" w:cs="Arial" w:eastAsia="Arial" w:hAnsi="Arial"/>
                <w:sz w:val="17"/>
                <w:szCs w:val="17"/>
                <w:color w:val="auto"/>
              </w:rPr>
              <w:t>1.40%</w:t>
            </w:r>
          </w:p>
        </w:tc>
      </w:tr>
    </w:tbl>
    <w:p>
      <w:pPr>
        <w:spacing w:after="0" w:line="20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fair values of the Company’s derivative instruments as of November 2, 2012 and August 3,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7"/>
                <w:szCs w:val="17"/>
                <w:color w:val="auto"/>
                <w:w w:val="90"/>
              </w:rPr>
              <w:t>Balance Sheet Location</w:t>
            </w:r>
          </w:p>
        </w:tc>
        <w:tc>
          <w:tcPr>
            <w:tcW w:w="1620" w:type="dxa"/>
            <w:vAlign w:val="bottom"/>
            <w:gridSpan w:val="4"/>
          </w:tcPr>
          <w:p>
            <w:pPr>
              <w:ind w:left="100"/>
              <w:spacing w:after="0"/>
              <w:rPr>
                <w:sz w:val="20"/>
                <w:szCs w:val="20"/>
                <w:color w:val="auto"/>
              </w:rPr>
            </w:pPr>
            <w:r>
              <w:rPr>
                <w:rFonts w:ascii="Arial" w:cs="Arial" w:eastAsia="Arial" w:hAnsi="Arial"/>
                <w:sz w:val="17"/>
                <w:szCs w:val="17"/>
                <w:color w:val="auto"/>
              </w:rPr>
              <w:t>November 2, 2012</w:t>
            </w:r>
          </w:p>
        </w:tc>
        <w:tc>
          <w:tcPr>
            <w:tcW w:w="1220" w:type="dxa"/>
            <w:vAlign w:val="bottom"/>
            <w:gridSpan w:val="3"/>
          </w:tcPr>
          <w:p>
            <w:pPr>
              <w:ind w:left="20"/>
              <w:spacing w:after="0"/>
              <w:rPr>
                <w:sz w:val="20"/>
                <w:szCs w:val="20"/>
                <w:color w:val="auto"/>
              </w:rPr>
            </w:pPr>
            <w:r>
              <w:rPr>
                <w:rFonts w:ascii="Arial" w:cs="Arial" w:eastAsia="Arial" w:hAnsi="Arial"/>
                <w:sz w:val="17"/>
                <w:szCs w:val="17"/>
                <w:color w:val="auto"/>
              </w:rPr>
              <w:t>August 3, 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w:t>
            </w:r>
          </w:p>
        </w:tc>
        <w:tc>
          <w:tcPr>
            <w:tcW w:w="4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Current interest rate swap liability</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13,799</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Interest rate swaps</w:t>
            </w:r>
          </w:p>
        </w:tc>
        <w:tc>
          <w:tcPr>
            <w:tcW w:w="4300" w:type="dxa"/>
            <w:vAlign w:val="bottom"/>
          </w:tcPr>
          <w:p>
            <w:pPr>
              <w:jc w:val="center"/>
              <w:spacing w:after="0"/>
              <w:rPr>
                <w:sz w:val="20"/>
                <w:szCs w:val="20"/>
                <w:color w:val="auto"/>
              </w:rPr>
            </w:pPr>
            <w:r>
              <w:rPr>
                <w:rFonts w:ascii="Arial" w:cs="Arial" w:eastAsia="Arial" w:hAnsi="Arial"/>
                <w:sz w:val="17"/>
                <w:szCs w:val="17"/>
                <w:color w:val="auto"/>
                <w:w w:val="94"/>
              </w:rPr>
              <w:t>Long-term interest rate swap liability</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15,081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 (See Note 2)</w:t>
            </w:r>
          </w:p>
        </w:tc>
        <w:tc>
          <w:tcPr>
            <w:tcW w:w="43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28,880</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260" w:type="dxa"/>
            <w:vAlign w:val="bottom"/>
            <w:tcBorders>
              <w:top w:val="single" w:sz="8" w:color="CCEEFF"/>
            </w:tcBorders>
          </w:tcPr>
          <w:p>
            <w:pPr>
              <w:spacing w:after="0"/>
              <w:rPr>
                <w:sz w:val="24"/>
                <w:szCs w:val="24"/>
                <w:color w:val="auto"/>
              </w:rPr>
            </w:pPr>
          </w:p>
        </w:tc>
        <w:tc>
          <w:tcPr>
            <w:tcW w:w="4300" w:type="dxa"/>
            <w:vAlign w:val="bottom"/>
            <w:tcBorders>
              <w:top w:val="single" w:sz="8" w:color="CCEEFF"/>
            </w:tcBorders>
          </w:tcPr>
          <w:p>
            <w:pPr>
              <w:jc w:val="right"/>
              <w:ind w:right="271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liabilities incorporates the Company’s non-performance risk (see Note 2). The adjustment related to the Company’s non-performance risk at November 2, 2012 and August 3, 2012 resulted in reductions of $662 and $851,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November 2, 2012, the estimated pre-tax portion of AOCL that is expected to be reclassified into earnings over the next twelve months is $15,937.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AOCL for the quarter ended November 2, 2012 and the year ended August 3,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Arial" w:cs="Arial" w:eastAsia="Arial" w:hAnsi="Arial"/>
                <w:sz w:val="17"/>
                <w:szCs w:val="17"/>
                <w:color w:val="auto"/>
                <w:w w:val="95"/>
              </w:rPr>
              <w:t>Amount of Income Recognized in AOCL on</w:t>
            </w:r>
          </w:p>
        </w:tc>
      </w:tr>
      <w:tr>
        <w:trPr>
          <w:trHeight w:val="225"/>
        </w:trPr>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6"/>
          </w:tcPr>
          <w:p>
            <w:pPr>
              <w:jc w:val="right"/>
              <w:ind w:right="54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8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7"/>
                <w:szCs w:val="17"/>
                <w:color w:val="auto"/>
                <w:w w:val="91"/>
              </w:rPr>
              <w:t>Quarter Ended</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830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November 2, 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August 3, 2012</w:t>
            </w:r>
          </w:p>
        </w:tc>
        <w:tc>
          <w:tcPr>
            <w:tcW w:w="100" w:type="dxa"/>
            <w:vAlign w:val="bottom"/>
          </w:tcPr>
          <w:p>
            <w:pPr>
              <w:spacing w:after="0"/>
              <w:rPr>
                <w:sz w:val="18"/>
                <w:szCs w:val="18"/>
                <w:color w:val="auto"/>
              </w:rPr>
            </w:pPr>
          </w:p>
        </w:tc>
      </w:tr>
      <w:tr>
        <w:trPr>
          <w:trHeight w:val="205"/>
        </w:trPr>
        <w:tc>
          <w:tcPr>
            <w:tcW w:w="8300" w:type="dxa"/>
            <w:vAlign w:val="bottom"/>
          </w:tcPr>
          <w:p>
            <w:pPr>
              <w:spacing w:after="0"/>
              <w:rPr>
                <w:sz w:val="20"/>
                <w:szCs w:val="20"/>
                <w:color w:val="auto"/>
              </w:rPr>
            </w:pPr>
            <w:r>
              <w:rPr>
                <w:rFonts w:ascii="Arial" w:cs="Arial" w:eastAsia="Arial" w:hAnsi="Arial"/>
                <w:sz w:val="17"/>
                <w:szCs w:val="17"/>
                <w:color w:val="auto"/>
              </w:rPr>
              <w:t>Cash flow hedges: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17,223</w:t>
            </w:r>
          </w:p>
        </w:tc>
      </w:tr>
      <w:tr>
        <w:trPr>
          <w:trHeight w:val="20"/>
        </w:trPr>
        <w:tc>
          <w:tcPr>
            <w:tcW w:w="8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ind w:firstLine="31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income for the quarters ended November 2, 2012 and October 28,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3"/>
              </w:rPr>
              <w:t>Location of Loss Reclassified from</w:t>
            </w:r>
          </w:p>
        </w:tc>
        <w:tc>
          <w:tcPr>
            <w:tcW w:w="100" w:type="dxa"/>
            <w:vAlign w:val="bottom"/>
          </w:tcPr>
          <w:p>
            <w:pPr>
              <w:spacing w:after="0"/>
              <w:rPr>
                <w:sz w:val="17"/>
                <w:szCs w:val="17"/>
                <w:color w:val="auto"/>
              </w:rPr>
            </w:pPr>
          </w:p>
        </w:tc>
        <w:tc>
          <w:tcPr>
            <w:tcW w:w="3280" w:type="dxa"/>
            <w:vAlign w:val="bottom"/>
            <w:gridSpan w:val="7"/>
          </w:tcPr>
          <w:p>
            <w:pPr>
              <w:jc w:val="center"/>
              <w:ind w:right="80"/>
              <w:spacing w:after="0"/>
              <w:rPr>
                <w:sz w:val="20"/>
                <w:szCs w:val="20"/>
                <w:color w:val="auto"/>
              </w:rPr>
            </w:pPr>
            <w:r>
              <w:rPr>
                <w:rFonts w:ascii="Arial" w:cs="Arial" w:eastAsia="Arial" w:hAnsi="Arial"/>
                <w:sz w:val="17"/>
                <w:szCs w:val="17"/>
                <w:color w:val="auto"/>
                <w:w w:val="95"/>
              </w:rPr>
              <w:t>Amount of Loss Reclassified from AOCL into</w:t>
            </w:r>
          </w:p>
        </w:tc>
      </w:tr>
      <w:tr>
        <w:trPr>
          <w:trHeight w:val="225"/>
        </w:trPr>
        <w:tc>
          <w:tcPr>
            <w:tcW w:w="400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7"/>
                <w:szCs w:val="17"/>
                <w:color w:val="auto"/>
                <w:w w:val="96"/>
              </w:rPr>
              <w:t>AOCL into Income (Effective Portion)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00" w:type="dxa"/>
            <w:vAlign w:val="bottom"/>
            <w:gridSpan w:val="6"/>
          </w:tcPr>
          <w:p>
            <w:pPr>
              <w:jc w:val="center"/>
              <w:ind w:right="480"/>
              <w:spacing w:after="0"/>
              <w:rPr>
                <w:sz w:val="20"/>
                <w:szCs w:val="20"/>
                <w:color w:val="auto"/>
              </w:rPr>
            </w:pPr>
            <w:r>
              <w:rPr>
                <w:rFonts w:ascii="Arial" w:cs="Arial" w:eastAsia="Arial" w:hAnsi="Arial"/>
                <w:sz w:val="17"/>
                <w:szCs w:val="17"/>
                <w:color w:val="auto"/>
                <w:w w:val="95"/>
              </w:rPr>
              <w:t>Income (Effective Portion)</w:t>
            </w:r>
          </w:p>
        </w:tc>
      </w:tr>
      <w:tr>
        <w:trPr>
          <w:trHeight w:val="212"/>
        </w:trPr>
        <w:tc>
          <w:tcPr>
            <w:tcW w:w="4000" w:type="dxa"/>
            <w:vAlign w:val="bottom"/>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5"/>
          </w:tcPr>
          <w:p>
            <w:pPr>
              <w:jc w:val="center"/>
              <w:ind w:right="274"/>
              <w:spacing w:after="0"/>
              <w:rPr>
                <w:sz w:val="20"/>
                <w:szCs w:val="20"/>
                <w:color w:val="auto"/>
              </w:rPr>
            </w:pPr>
            <w:r>
              <w:rPr>
                <w:rFonts w:ascii="Arial" w:cs="Arial" w:eastAsia="Arial" w:hAnsi="Arial"/>
                <w:sz w:val="17"/>
                <w:szCs w:val="17"/>
                <w:color w:val="auto"/>
                <w:w w:val="89"/>
              </w:rPr>
              <w:t>Quarter Ended</w:t>
            </w:r>
          </w:p>
        </w:tc>
        <w:tc>
          <w:tcPr>
            <w:tcW w:w="100" w:type="dxa"/>
            <w:vAlign w:val="bottom"/>
          </w:tcPr>
          <w:p>
            <w:pPr>
              <w:spacing w:after="0"/>
              <w:rPr>
                <w:sz w:val="18"/>
                <w:szCs w:val="18"/>
                <w:color w:val="auto"/>
              </w:rPr>
            </w:pPr>
          </w:p>
        </w:tc>
      </w:tr>
      <w:tr>
        <w:trPr>
          <w:trHeight w:val="212"/>
        </w:trPr>
        <w:tc>
          <w:tcPr>
            <w:tcW w:w="4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7"/>
                <w:szCs w:val="17"/>
                <w:color w:val="auto"/>
              </w:rPr>
              <w:t>November 2, 2012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7"/>
                <w:szCs w:val="17"/>
                <w:color w:val="auto"/>
                <w:w w:val="98"/>
              </w:rPr>
              <w:t>October 28, 2011</w:t>
            </w:r>
          </w:p>
        </w:tc>
        <w:tc>
          <w:tcPr>
            <w:tcW w:w="100" w:type="dxa"/>
            <w:vAlign w:val="bottom"/>
          </w:tcPr>
          <w:p>
            <w:pPr>
              <w:spacing w:after="0"/>
              <w:rPr>
                <w:sz w:val="18"/>
                <w:szCs w:val="18"/>
                <w:color w:val="auto"/>
              </w:rPr>
            </w:pPr>
          </w:p>
        </w:tc>
      </w:tr>
      <w:tr>
        <w:trPr>
          <w:trHeight w:val="205"/>
        </w:trPr>
        <w:tc>
          <w:tcPr>
            <w:tcW w:w="4000" w:type="dxa"/>
            <w:vAlign w:val="bottom"/>
          </w:tcPr>
          <w:p>
            <w:pPr>
              <w:spacing w:after="0"/>
              <w:rPr>
                <w:sz w:val="20"/>
                <w:szCs w:val="20"/>
                <w:color w:val="auto"/>
              </w:rPr>
            </w:pPr>
            <w:r>
              <w:rPr>
                <w:rFonts w:ascii="Arial" w:cs="Arial" w:eastAsia="Arial" w:hAnsi="Arial"/>
                <w:sz w:val="17"/>
                <w:szCs w:val="17"/>
                <w:color w:val="auto"/>
              </w:rPr>
              <w:t>Cash flow hedges:</w:t>
            </w: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4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 expense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7,445</w:t>
            </w: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the quarters ended November 2, 2012 and October 28, 2011.</w:t>
      </w:r>
    </w:p>
    <w:p>
      <w:pPr>
        <w:spacing w:after="0" w:line="18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During the quarter ended November 2, 2012, the Company received proceeds of $2,322 from the exercise of share-based compensation awards and the corresponding issuance of 203,956 shares of its common stock. The Company did not repurchase any shares during the quarter ended November 2, 2012.</w:t>
      </w:r>
    </w:p>
    <w:p>
      <w:pPr>
        <w:spacing w:after="0" w:line="167"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Company paid dividends on August 6, 2012 of $0.40 per share of its common stock. In addition, the Company declared a regular dividend of $0.50 per share of its common stock that was paid on November 5, 2012 to shareholders of record on October 19, 2012.</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unrealized loss, net of tax, on the Company’s interest rate swaps decreased by $3,414 to $17,744 and is recorded in AOCL (see Notes 2 and 5).</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Total share-based compensation expense was $1,869. The excess tax benefit realized upon exercise of share-based compensation awards was $1,274.</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much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7"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 Total revenue was comprised of the following at:</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7"/>
                <w:szCs w:val="17"/>
                <w:color w:val="auto"/>
              </w:rPr>
              <w:t>Quarter Ended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November 2, 2012</w:t>
            </w:r>
          </w:p>
        </w:tc>
        <w:tc>
          <w:tcPr>
            <w:tcW w:w="22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94"/>
              </w:rPr>
              <w:t>October 28, 2011</w:t>
            </w:r>
          </w:p>
        </w:tc>
        <w:tc>
          <w:tcPr>
            <w:tcW w:w="100" w:type="dxa"/>
            <w:vAlign w:val="bottom"/>
          </w:tcPr>
          <w:p>
            <w:pPr>
              <w:spacing w:after="0"/>
              <w:rPr>
                <w:sz w:val="18"/>
                <w:szCs w:val="18"/>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294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504,314</w:t>
            </w:r>
          </w:p>
        </w:tc>
        <w:tc>
          <w:tcPr>
            <w:tcW w:w="80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481,509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7"/>
                <w:szCs w:val="17"/>
                <w:color w:val="auto"/>
              </w:rPr>
              <w:t>Retail</w:t>
            </w:r>
          </w:p>
        </w:tc>
        <w:tc>
          <w:tcPr>
            <w:tcW w:w="2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123,137</w:t>
            </w:r>
          </w:p>
        </w:tc>
        <w:tc>
          <w:tcPr>
            <w:tcW w:w="2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116,928</w:t>
            </w:r>
          </w:p>
        </w:tc>
        <w:tc>
          <w:tcPr>
            <w:tcW w:w="10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294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627,451</w:t>
            </w:r>
          </w:p>
        </w:tc>
        <w:tc>
          <w:tcPr>
            <w:tcW w:w="80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598,437</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Share-based compensation is recorded in general and administrative expenses in the accompanying Condensed Consolidated Statements of Income. Total share-based compensation was comprised of the following at:</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7"/>
                <w:szCs w:val="17"/>
                <w:color w:val="auto"/>
              </w:rPr>
              <w:t>Quarter Ended</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November 2, 2012</w:t>
            </w:r>
          </w:p>
        </w:tc>
        <w:tc>
          <w:tcPr>
            <w:tcW w:w="22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94"/>
              </w:rPr>
              <w:t>October 28, 2011</w:t>
            </w:r>
          </w:p>
        </w:tc>
        <w:tc>
          <w:tcPr>
            <w:tcW w:w="1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Nonvested stock awards</w:t>
            </w:r>
          </w:p>
        </w:tc>
        <w:tc>
          <w:tcPr>
            <w:tcW w:w="520" w:type="dxa"/>
            <w:vAlign w:val="bottom"/>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880" w:type="dxa"/>
            <w:vAlign w:val="bottom"/>
            <w:gridSpan w:val="2"/>
            <w:shd w:val="clear" w:color="auto" w:fill="CCEEFF"/>
          </w:tcPr>
          <w:p>
            <w:pPr>
              <w:jc w:val="right"/>
              <w:ind w:right="4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Arial" w:cs="Arial" w:eastAsia="Arial" w:hAnsi="Arial"/>
                <w:sz w:val="17"/>
                <w:szCs w:val="17"/>
                <w:color w:val="auto"/>
              </w:rPr>
              <w:t>Performance-based market stock units (“MSU Grants”)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options</w:t>
            </w: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020" w:type="dxa"/>
            <w:vAlign w:val="bottom"/>
          </w:tcPr>
          <w:p>
            <w:pPr>
              <w:ind w:left="140"/>
              <w:spacing w:after="0"/>
              <w:rPr>
                <w:sz w:val="20"/>
                <w:szCs w:val="20"/>
                <w:color w:val="auto"/>
              </w:rPr>
            </w:pPr>
            <w:r>
              <w:rPr>
                <w:rFonts w:ascii="Arial" w:cs="Arial" w:eastAsia="Arial" w:hAnsi="Arial"/>
                <w:sz w:val="17"/>
                <w:szCs w:val="17"/>
                <w:color w:val="auto"/>
              </w:rPr>
              <w:t>Total</w:t>
            </w:r>
          </w:p>
        </w:tc>
        <w:tc>
          <w:tcPr>
            <w:tcW w:w="520" w:type="dxa"/>
            <w:vAlign w:val="bottom"/>
          </w:tcPr>
          <w:p>
            <w:pPr>
              <w:jc w:val="right"/>
              <w:ind w:right="36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1,869</w:t>
            </w:r>
          </w:p>
        </w:tc>
        <w:tc>
          <w:tcPr>
            <w:tcW w:w="880" w:type="dxa"/>
            <w:vAlign w:val="bottom"/>
            <w:gridSpan w:val="2"/>
          </w:tcPr>
          <w:p>
            <w:pPr>
              <w:jc w:val="right"/>
              <w:ind w:right="49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2,547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Company’s outstanding stock options, nonvested stock awards and MSU Grants issued by the Company represent the only dilutive effects on diluted consolidated net income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86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340" w:type="dxa"/>
            <w:vAlign w:val="bottom"/>
          </w:tcPr>
          <w:p>
            <w:pPr>
              <w:ind w:left="320"/>
              <w:spacing w:after="0"/>
              <w:rPr>
                <w:sz w:val="20"/>
                <w:szCs w:val="20"/>
                <w:color w:val="auto"/>
              </w:rPr>
            </w:pPr>
            <w:r>
              <w:rPr>
                <w:rFonts w:ascii="Arial" w:cs="Arial" w:eastAsia="Arial" w:hAnsi="Arial"/>
                <w:sz w:val="17"/>
                <w:szCs w:val="17"/>
                <w:color w:val="auto"/>
              </w:rPr>
              <w:t>The following table reconciles the components of diluted earnings per share computations: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color w:val="auto"/>
                <w:w w:val="91"/>
              </w:rPr>
              <w:t>Quarter Ended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November 2, 2012</w:t>
            </w: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October 28, 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23,192</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23,802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3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gridSpan w:val="2"/>
          </w:tcPr>
          <w:p>
            <w:pPr>
              <w:ind w:left="140"/>
              <w:spacing w:after="0"/>
              <w:rPr>
                <w:sz w:val="20"/>
                <w:szCs w:val="20"/>
                <w:color w:val="auto"/>
              </w:rPr>
            </w:pPr>
            <w:r>
              <w:rPr>
                <w:rFonts w:ascii="Arial" w:cs="Arial" w:eastAsia="Arial" w:hAnsi="Arial"/>
                <w:sz w:val="17"/>
                <w:szCs w:val="17"/>
                <w:color w:val="auto"/>
              </w:rPr>
              <w:t>Basic weighted average shares outstanding</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23,577,574</w:t>
            </w:r>
          </w:p>
        </w:tc>
        <w:tc>
          <w:tcPr>
            <w:tcW w:w="3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22,870,934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tcPr>
          <w:p>
            <w:pPr>
              <w:ind w:left="20"/>
              <w:spacing w:after="0"/>
              <w:rPr>
                <w:sz w:val="20"/>
                <w:szCs w:val="20"/>
                <w:color w:val="auto"/>
              </w:rPr>
            </w:pPr>
            <w:r>
              <w:rPr>
                <w:rFonts w:ascii="Arial" w:cs="Arial" w:eastAsia="Arial" w:hAnsi="Arial"/>
                <w:sz w:val="17"/>
                <w:szCs w:val="17"/>
                <w:color w:val="auto"/>
              </w:rPr>
              <w:t>Stock options, nonvested stock awards and MSU Grants</w:t>
            </w:r>
          </w:p>
        </w:tc>
        <w:tc>
          <w:tcPr>
            <w:tcW w:w="3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210,051</w:t>
            </w:r>
          </w:p>
        </w:tc>
        <w:tc>
          <w:tcPr>
            <w:tcW w:w="3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274,849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 weighted average shares outstanding</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23,787,625</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23,145,783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November 2, 2012, the Company had $28,171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310"/>
        <w:spacing w:after="0" w:line="318" w:lineRule="auto"/>
        <w:rPr>
          <w:sz w:val="20"/>
          <w:szCs w:val="20"/>
          <w:color w:val="auto"/>
        </w:rPr>
      </w:pPr>
      <w:r>
        <w:rPr>
          <w:rFonts w:ascii="Arial" w:cs="Arial" w:eastAsia="Arial" w:hAnsi="Arial"/>
          <w:sz w:val="15"/>
          <w:szCs w:val="15"/>
          <w:color w:val="auto"/>
        </w:rPr>
        <w:t>At November 2, 2012,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third parties.</w:t>
      </w:r>
    </w:p>
    <w:p>
      <w:pPr>
        <w:spacing w:after="0" w:line="16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Condensed Consolidated Balance Sheets.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right="4260"/>
        <w:spacing w:after="0" w:line="287" w:lineRule="auto"/>
        <w:rPr>
          <w:sz w:val="20"/>
          <w:szCs w:val="20"/>
          <w:color w:val="auto"/>
        </w:rPr>
      </w:pPr>
      <w:r>
        <w:rPr>
          <w:rFonts w:ascii="Arial" w:cs="Arial" w:eastAsia="Arial" w:hAnsi="Arial"/>
          <w:sz w:val="17"/>
          <w:szCs w:val="17"/>
          <w:b w:val="1"/>
          <w:bCs w:val="1"/>
          <w:color w:val="auto"/>
        </w:rPr>
        <w:t>ITEM Management's Discussion and Analysis of Financial Condition and Results of Operations 2.</w:t>
      </w:r>
    </w:p>
    <w:p>
      <w:pPr>
        <w:spacing w:after="0" w:line="184"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November 2, 2012, we operated 620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3, 2012 (the “2012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2012 Form 10-K, which is incorporated herein by this reference, as well as the factors described under “Critical Accounting Estimates” on pages 21-25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leverage that strength to grow guest traffic, sales and profits. Our strategy includes the following:</w:t>
      </w:r>
    </w:p>
    <w:p>
      <w:pPr>
        <w:spacing w:after="0" w:line="189"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Enhancing the core business with a focus on increasing sales and profitability within our stores;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Expanding the footprint with new store openings; and</w:t>
      </w:r>
    </w:p>
    <w:p>
      <w:pPr>
        <w:spacing w:after="0" w:line="243" w:lineRule="exact"/>
        <w:rPr>
          <w:rFonts w:ascii="Arial" w:cs="Arial" w:eastAsia="Arial" w:hAnsi="Arial"/>
          <w:sz w:val="17"/>
          <w:szCs w:val="17"/>
          <w:color w:val="auto"/>
        </w:rPr>
      </w:pPr>
    </w:p>
    <w:p>
      <w:pPr>
        <w:ind w:left="620" w:right="5640" w:hanging="307"/>
        <w:spacing w:after="0" w:line="538"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Extending the brand beyond our physical stores with new revenue streams. Our six priorities for 2013 are: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Refresh select menu categories that will reinforce our value and provide healthier options to our guests;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Grow retail sales with unique merchandise;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on the successful “Handcrafted by Cracker Barrel” advertising campaign;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 in and leverage technology and equipment to support operations and reduce costs;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Continued focus on shareholder return;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the brand through e-commerce and licensing.</w:t>
      </w:r>
    </w:p>
    <w:p>
      <w:pPr>
        <w:spacing w:after="0" w:line="24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believe that our results for the first quarter of 2013 reflect our initial success in implementing these six priorities. We achieved positive comparable store traffic, restaurant sales and retail sales for the fourth consecutive quarter, and our comparable store traffic and restaurant sales outperformed the Knapp-Track™ Casual Dining Index for the fourth consecutive quarter.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ended November 2, 2012 as compared to the quarter ended October 28,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180" w:type="dxa"/>
            <w:vAlign w:val="bottom"/>
            <w:gridSpan w:val="5"/>
          </w:tcPr>
          <w:p>
            <w:pPr>
              <w:jc w:val="right"/>
              <w:ind w:right="1140"/>
              <w:spacing w:after="0"/>
              <w:rPr>
                <w:sz w:val="20"/>
                <w:szCs w:val="20"/>
                <w:color w:val="auto"/>
              </w:rPr>
            </w:pPr>
            <w:r>
              <w:rPr>
                <w:rFonts w:ascii="Arial" w:cs="Arial" w:eastAsia="Arial" w:hAnsi="Arial"/>
                <w:sz w:val="17"/>
                <w:szCs w:val="17"/>
                <w:color w:val="auto"/>
              </w:rPr>
              <w:t>Quarter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7"/>
                <w:szCs w:val="17"/>
                <w:color w:val="auto"/>
                <w:w w:val="94"/>
              </w:rPr>
              <w:t>November 2, 2012</w:t>
            </w:r>
          </w:p>
        </w:tc>
        <w:tc>
          <w:tcPr>
            <w:tcW w:w="138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7"/>
                <w:szCs w:val="17"/>
                <w:color w:val="auto"/>
                <w:w w:val="94"/>
              </w:rPr>
              <w:t>October 28, 2011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40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Cost of goods sold</w:t>
            </w:r>
          </w:p>
        </w:tc>
        <w:tc>
          <w:tcPr>
            <w:tcW w:w="24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Labor and related expenses</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rPr>
              <w:t>37.1</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37.0</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24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Store operating income</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rPr>
              <w:t>12.9</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4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Operating income</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386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4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7"/>
                <w:szCs w:val="17"/>
                <w:color w:val="auto"/>
              </w:rPr>
              <w:t>Net income</w:t>
            </w:r>
          </w:p>
        </w:tc>
        <w:tc>
          <w:tcPr>
            <w:tcW w:w="4060" w:type="dxa"/>
            <w:vAlign w:val="bottom"/>
            <w:gridSpan w:val="3"/>
          </w:tcPr>
          <w:p>
            <w:pPr>
              <w:jc w:val="right"/>
              <w:ind w:right="60"/>
              <w:spacing w:after="0"/>
              <w:rPr>
                <w:sz w:val="20"/>
                <w:szCs w:val="20"/>
                <w:color w:val="auto"/>
              </w:rPr>
            </w:pPr>
            <w:r>
              <w:rPr>
                <w:rFonts w:ascii="Arial" w:cs="Arial" w:eastAsia="Arial" w:hAnsi="Arial"/>
                <w:sz w:val="17"/>
                <w:szCs w:val="17"/>
                <w:color w:val="auto"/>
              </w:rPr>
              <w:t>3.7%</w:t>
            </w:r>
          </w:p>
        </w:tc>
        <w:tc>
          <w:tcPr>
            <w:tcW w:w="1560" w:type="dxa"/>
            <w:vAlign w:val="bottom"/>
            <w:gridSpan w:val="3"/>
          </w:tcPr>
          <w:p>
            <w:pPr>
              <w:jc w:val="right"/>
              <w:ind w:right="40"/>
              <w:spacing w:after="0"/>
              <w:rPr>
                <w:sz w:val="20"/>
                <w:szCs w:val="20"/>
                <w:color w:val="auto"/>
              </w:rPr>
            </w:pPr>
            <w:r>
              <w:rPr>
                <w:rFonts w:ascii="Arial" w:cs="Arial" w:eastAsia="Arial" w:hAnsi="Arial"/>
                <w:sz w:val="17"/>
                <w:szCs w:val="17"/>
                <w:color w:val="auto"/>
              </w:rPr>
              <w:t>4.0%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40" w:type="dxa"/>
            <w:vAlign w:val="bottom"/>
            <w:vMerge w:val="restart"/>
          </w:tcPr>
          <w:p>
            <w:pPr>
              <w:jc w:val="right"/>
              <w:ind w:right="1236"/>
              <w:spacing w:after="0"/>
              <w:rPr>
                <w:sz w:val="20"/>
                <w:szCs w:val="20"/>
                <w:color w:val="auto"/>
              </w:rPr>
            </w:pPr>
            <w:r>
              <w:rPr>
                <w:rFonts w:ascii="Arial" w:cs="Arial" w:eastAsia="Arial" w:hAnsi="Arial"/>
                <w:sz w:val="14"/>
                <w:szCs w:val="14"/>
                <w:color w:val="auto"/>
              </w:rPr>
              <w:t>15</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6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highlights the key components of revenue for the quarter ended November 2, 2012 as compared to the quarter ended October 28,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2011:</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7"/>
                <w:szCs w:val="17"/>
                <w:color w:val="auto"/>
              </w:rPr>
              <w:t>Quarter Ended</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7"/>
                <w:szCs w:val="17"/>
                <w:color w:val="auto"/>
                <w:w w:val="94"/>
              </w:rPr>
              <w:t>November 2, 2012</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w w:val="92"/>
              </w:rPr>
              <w:t>October 28, 2011</w:t>
            </w:r>
          </w:p>
        </w:tc>
        <w:tc>
          <w:tcPr>
            <w:tcW w:w="220" w:type="dxa"/>
            <w:vAlign w:val="bottom"/>
          </w:tcPr>
          <w:p>
            <w:pPr>
              <w:spacing w:after="0"/>
              <w:rPr>
                <w:sz w:val="18"/>
                <w:szCs w:val="18"/>
                <w:color w:val="auto"/>
              </w:rPr>
            </w:pPr>
          </w:p>
        </w:tc>
      </w:tr>
      <w:tr>
        <w:trPr>
          <w:trHeight w:val="206"/>
        </w:trPr>
        <w:tc>
          <w:tcPr>
            <w:tcW w:w="4460" w:type="dxa"/>
            <w:vAlign w:val="bottom"/>
            <w:gridSpan w:val="2"/>
          </w:tcPr>
          <w:p>
            <w:pPr>
              <w:spacing w:after="0"/>
              <w:rPr>
                <w:sz w:val="20"/>
                <w:szCs w:val="20"/>
                <w:color w:val="auto"/>
              </w:rPr>
            </w:pPr>
            <w:r>
              <w:rPr>
                <w:rFonts w:ascii="Arial" w:cs="Arial" w:eastAsia="Arial" w:hAnsi="Arial"/>
                <w:sz w:val="17"/>
                <w:szCs w:val="17"/>
                <w:color w:val="auto"/>
              </w:rPr>
              <w:t>Revenue in dollars:</w:t>
            </w:r>
          </w:p>
        </w:tc>
        <w:tc>
          <w:tcPr>
            <w:tcW w:w="14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192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504,314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481,509</w:t>
            </w:r>
          </w:p>
        </w:tc>
        <w:tc>
          <w:tcPr>
            <w:tcW w:w="2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Retail</w:t>
            </w:r>
          </w:p>
        </w:tc>
        <w:tc>
          <w:tcPr>
            <w:tcW w:w="1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116,928</w:t>
            </w:r>
          </w:p>
        </w:tc>
        <w:tc>
          <w:tcPr>
            <w:tcW w:w="220" w:type="dxa"/>
            <w:vAlign w:val="bottom"/>
          </w:tcPr>
          <w:p>
            <w:pPr>
              <w:spacing w:after="0"/>
              <w:rPr>
                <w:sz w:val="18"/>
                <w:szCs w:val="18"/>
                <w:color w:val="auto"/>
              </w:rPr>
            </w:pPr>
          </w:p>
        </w:tc>
      </w:tr>
      <w:tr>
        <w:trPr>
          <w:trHeight w:val="246"/>
        </w:trPr>
        <w:tc>
          <w:tcPr>
            <w:tcW w:w="20" w:type="dxa"/>
            <w:vAlign w:val="bottom"/>
          </w:tcPr>
          <w:p>
            <w:pPr>
              <w:spacing w:after="0"/>
              <w:rPr>
                <w:sz w:val="21"/>
                <w:szCs w:val="21"/>
                <w:color w:val="auto"/>
              </w:rPr>
            </w:pPr>
          </w:p>
        </w:tc>
        <w:tc>
          <w:tcPr>
            <w:tcW w:w="4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1920" w:type="dxa"/>
            <w:vAlign w:val="bottom"/>
            <w:gridSpan w:val="2"/>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627,451</w:t>
            </w: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598,437</w:t>
            </w:r>
          </w:p>
        </w:tc>
        <w:tc>
          <w:tcPr>
            <w:tcW w:w="22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revenue by percentage relationships:</w:t>
            </w:r>
          </w:p>
        </w:tc>
        <w:tc>
          <w:tcPr>
            <w:tcW w:w="14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w:t>
            </w:r>
          </w:p>
        </w:tc>
      </w:tr>
      <w:tr>
        <w:trPr>
          <w:trHeight w:val="212"/>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Retail</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19.5%</w:t>
            </w: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spacing w:after="0" w:line="207" w:lineRule="exact"/>
              <w:rPr>
                <w:sz w:val="20"/>
                <w:szCs w:val="20"/>
                <w:color w:val="auto"/>
              </w:rPr>
            </w:pPr>
            <w:r>
              <w:rPr>
                <w:rFonts w:ascii="Arial" w:cs="Arial" w:eastAsia="Arial" w:hAnsi="Arial"/>
                <w:sz w:val="17"/>
                <w:szCs w:val="17"/>
                <w:color w:val="auto"/>
              </w:rPr>
              <w:t>Average unit volumes</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Restaurant</w:t>
            </w:r>
          </w:p>
        </w:tc>
        <w:tc>
          <w:tcPr>
            <w:tcW w:w="19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815.1</w:t>
            </w:r>
          </w:p>
        </w:tc>
        <w:tc>
          <w:tcPr>
            <w:tcW w:w="200" w:type="dxa"/>
            <w:vAlign w:val="bottom"/>
          </w:tcPr>
          <w:p>
            <w:pPr>
              <w:spacing w:after="0"/>
              <w:rPr>
                <w:sz w:val="17"/>
                <w:szCs w:val="17"/>
                <w:color w:val="auto"/>
              </w:rPr>
            </w:pPr>
          </w:p>
        </w:tc>
        <w:tc>
          <w:tcPr>
            <w:tcW w:w="620" w:type="dxa"/>
            <w:vAlign w:val="bottom"/>
            <w:gridSpan w:val="2"/>
          </w:tcPr>
          <w:p>
            <w:pPr>
              <w:jc w:val="right"/>
              <w:ind w:right="37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797.1</w:t>
            </w:r>
          </w:p>
        </w:tc>
        <w:tc>
          <w:tcPr>
            <w:tcW w:w="2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Retail</w:t>
            </w:r>
          </w:p>
        </w:tc>
        <w:tc>
          <w:tcPr>
            <w:tcW w:w="14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Total revenue</w:t>
            </w:r>
          </w:p>
        </w:tc>
        <w:tc>
          <w:tcPr>
            <w:tcW w:w="19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1,014.2</w:t>
            </w:r>
          </w:p>
        </w:tc>
        <w:tc>
          <w:tcPr>
            <w:tcW w:w="200" w:type="dxa"/>
            <w:vAlign w:val="bottom"/>
          </w:tcPr>
          <w:p>
            <w:pPr>
              <w:spacing w:after="0"/>
              <w:rPr>
                <w:sz w:val="17"/>
                <w:szCs w:val="17"/>
                <w:color w:val="auto"/>
              </w:rPr>
            </w:pPr>
          </w:p>
        </w:tc>
        <w:tc>
          <w:tcPr>
            <w:tcW w:w="620" w:type="dxa"/>
            <w:vAlign w:val="bottom"/>
            <w:gridSpan w:val="2"/>
          </w:tcPr>
          <w:p>
            <w:pPr>
              <w:jc w:val="right"/>
              <w:ind w:right="37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990.7</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increase (decrease):</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Restaurant</w:t>
            </w: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r>
      <w:tr>
        <w:trPr>
          <w:trHeight w:val="206"/>
        </w:trPr>
        <w:tc>
          <w:tcPr>
            <w:tcW w:w="20" w:type="dxa"/>
            <w:vAlign w:val="bottom"/>
          </w:tcPr>
          <w:p>
            <w:pPr>
              <w:spacing w:after="0"/>
              <w:rPr>
                <w:sz w:val="17"/>
                <w:szCs w:val="17"/>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r>
      <w:tr>
        <w:trPr>
          <w:trHeight w:val="206"/>
        </w:trPr>
        <w:tc>
          <w:tcPr>
            <w:tcW w:w="20" w:type="dxa"/>
            <w:vAlign w:val="bottom"/>
          </w:tcPr>
          <w:p>
            <w:pPr>
              <w:spacing w:after="0"/>
              <w:rPr>
                <w:sz w:val="17"/>
                <w:szCs w:val="17"/>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Restaurant and retail</w:t>
            </w: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8" w:lineRule="exact"/>
        <w:rPr>
          <w:sz w:val="20"/>
          <w:szCs w:val="20"/>
          <w:color w:val="auto"/>
        </w:rPr>
      </w:pPr>
    </w:p>
    <w:p>
      <w:pPr>
        <w:ind w:left="6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Average unit volumes include sales of all stores.</w:t>
      </w:r>
    </w:p>
    <w:p>
      <w:pPr>
        <w:spacing w:after="0" w:line="164"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sets forth the number of stores in operation at the beginning and end of the quarters ended November 2, 2012 and October 28, 2011, respectively:</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080" w:type="dxa"/>
            <w:vAlign w:val="bottom"/>
            <w:gridSpan w:val="4"/>
          </w:tcPr>
          <w:p>
            <w:pPr>
              <w:ind w:left="1020"/>
              <w:spacing w:after="0"/>
              <w:rPr>
                <w:sz w:val="20"/>
                <w:szCs w:val="20"/>
                <w:color w:val="auto"/>
              </w:rPr>
            </w:pPr>
            <w:r>
              <w:rPr>
                <w:rFonts w:ascii="Arial" w:cs="Arial" w:eastAsia="Arial" w:hAnsi="Arial"/>
                <w:sz w:val="17"/>
                <w:szCs w:val="17"/>
                <w:color w:val="auto"/>
              </w:rPr>
              <w:t>Quarter Ended</w:t>
            </w: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November 2, 2012</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October 28, 2011</w:t>
            </w:r>
          </w:p>
        </w:tc>
        <w:tc>
          <w:tcPr>
            <w:tcW w:w="10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Open during period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r>
      <w:tr>
        <w:trPr>
          <w:trHeight w:val="246"/>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Total revenue for the first quarter of 2013 increased 4.8% compared to the first quarter of 2012. For the first quarter of 2013, our comparable store restaurant sales increase consisted of a 2.5% average check increase for the quarter (including a 2.0% average menu price increase) and a 0.8% guest traffic increase. Our comparable store retail sales increase resulted from strong performance in certain retail merchandise categories and the increase in guest traffic. Sales from newly opened stores accounted for the balance of the total revenue increase in the first quarter of 2013 as compared to the first quarter of 2012.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49" w:lineRule="exact"/>
        <w:rPr>
          <w:sz w:val="20"/>
          <w:szCs w:val="20"/>
          <w:color w:val="auto"/>
        </w:rPr>
      </w:pPr>
    </w:p>
    <w:p>
      <w:pPr>
        <w:jc w:val="both"/>
        <w:ind w:firstLine="774"/>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and percentages for the quarter ended November 2, 2012 as compared to the quarter ended October 28, 2011: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color w:val="auto"/>
              </w:rPr>
              <w:t>Quarter Ended</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4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November 2, 2012</w:t>
            </w:r>
          </w:p>
        </w:tc>
        <w:tc>
          <w:tcPr>
            <w:tcW w:w="24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October 28, 2011</w:t>
            </w:r>
          </w:p>
        </w:tc>
        <w:tc>
          <w:tcPr>
            <w:tcW w:w="180" w:type="dxa"/>
            <w:vAlign w:val="bottom"/>
          </w:tcPr>
          <w:p>
            <w:pPr>
              <w:spacing w:after="0"/>
              <w:rPr>
                <w:sz w:val="18"/>
                <w:szCs w:val="18"/>
                <w:color w:val="auto"/>
              </w:rPr>
            </w:pPr>
          </w:p>
        </w:tc>
      </w:tr>
      <w:tr>
        <w:trPr>
          <w:trHeight w:val="206"/>
        </w:trPr>
        <w:tc>
          <w:tcPr>
            <w:tcW w:w="4660" w:type="dxa"/>
            <w:vAlign w:val="bottom"/>
          </w:tcPr>
          <w:p>
            <w:pPr>
              <w:spacing w:after="0"/>
              <w:rPr>
                <w:sz w:val="20"/>
                <w:szCs w:val="20"/>
                <w:color w:val="auto"/>
              </w:rPr>
            </w:pPr>
            <w:r>
              <w:rPr>
                <w:rFonts w:ascii="Arial" w:cs="Arial" w:eastAsia="Arial" w:hAnsi="Arial"/>
                <w:sz w:val="17"/>
                <w:szCs w:val="17"/>
                <w:color w:val="auto"/>
              </w:rPr>
              <w:t>Cost of Goods Sold in dollars:</w:t>
            </w: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7"/>
        </w:trPr>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30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135,183</w:t>
            </w:r>
          </w:p>
        </w:tc>
        <w:tc>
          <w:tcPr>
            <w:tcW w:w="76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127,696</w:t>
            </w:r>
          </w:p>
        </w:tc>
        <w:tc>
          <w:tcPr>
            <w:tcW w:w="180" w:type="dxa"/>
            <w:vAlign w:val="bottom"/>
            <w:shd w:val="clear" w:color="auto" w:fill="CCEEFF"/>
          </w:tcPr>
          <w:p>
            <w:pPr>
              <w:spacing w:after="0"/>
              <w:rPr>
                <w:sz w:val="18"/>
                <w:szCs w:val="18"/>
                <w:color w:val="auto"/>
              </w:rPr>
            </w:pPr>
          </w:p>
        </w:tc>
      </w:tr>
      <w:tr>
        <w:trPr>
          <w:trHeight w:val="212"/>
        </w:trPr>
        <w:tc>
          <w:tcPr>
            <w:tcW w:w="4660" w:type="dxa"/>
            <w:vAlign w:val="bottom"/>
          </w:tcPr>
          <w:p>
            <w:pPr>
              <w:ind w:left="160"/>
              <w:spacing w:after="0"/>
              <w:rPr>
                <w:sz w:val="20"/>
                <w:szCs w:val="20"/>
                <w:color w:val="auto"/>
              </w:rPr>
            </w:pPr>
            <w:r>
              <w:rPr>
                <w:rFonts w:ascii="Arial" w:cs="Arial" w:eastAsia="Arial" w:hAnsi="Arial"/>
                <w:sz w:val="17"/>
                <w:szCs w:val="17"/>
                <w:color w:val="auto"/>
              </w:rPr>
              <w:t>Retail</w:t>
            </w:r>
          </w:p>
        </w:tc>
        <w:tc>
          <w:tcPr>
            <w:tcW w:w="2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62,675</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58,611</w:t>
            </w:r>
          </w:p>
        </w:tc>
        <w:tc>
          <w:tcPr>
            <w:tcW w:w="180" w:type="dxa"/>
            <w:vAlign w:val="bottom"/>
          </w:tcPr>
          <w:p>
            <w:pPr>
              <w:spacing w:after="0"/>
              <w:rPr>
                <w:sz w:val="18"/>
                <w:szCs w:val="18"/>
                <w:color w:val="auto"/>
              </w:rPr>
            </w:pPr>
          </w:p>
        </w:tc>
      </w:tr>
      <w:tr>
        <w:trPr>
          <w:trHeight w:val="226"/>
        </w:trPr>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Cost of Goods Sold</w:t>
            </w:r>
          </w:p>
        </w:tc>
        <w:tc>
          <w:tcPr>
            <w:tcW w:w="302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197,858</w:t>
            </w:r>
          </w:p>
        </w:tc>
        <w:tc>
          <w:tcPr>
            <w:tcW w:w="76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186,307</w:t>
            </w:r>
          </w:p>
        </w:tc>
        <w:tc>
          <w:tcPr>
            <w:tcW w:w="180" w:type="dxa"/>
            <w:vAlign w:val="bottom"/>
            <w:shd w:val="clear" w:color="auto" w:fill="CCEEFF"/>
          </w:tcPr>
          <w:p>
            <w:pPr>
              <w:spacing w:after="0"/>
              <w:rPr>
                <w:sz w:val="19"/>
                <w:szCs w:val="19"/>
                <w:color w:val="auto"/>
              </w:rPr>
            </w:pP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gridSpan w:val="2"/>
          </w:tcPr>
          <w:p>
            <w:pPr>
              <w:ind w:left="580"/>
              <w:spacing w:after="0"/>
              <w:rPr>
                <w:sz w:val="20"/>
                <w:szCs w:val="20"/>
                <w:color w:val="auto"/>
              </w:rPr>
            </w:pPr>
            <w:r>
              <w:rPr>
                <w:rFonts w:ascii="Arial" w:cs="Arial" w:eastAsia="Arial" w:hAnsi="Arial"/>
                <w:sz w:val="17"/>
                <w:szCs w:val="17"/>
                <w:color w:val="auto"/>
              </w:rPr>
              <w:t>Cost of Goods Sold by percentage relationships:</w:t>
            </w:r>
          </w:p>
        </w:tc>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30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0" w:type="dxa"/>
            <w:vAlign w:val="bottom"/>
          </w:tcPr>
          <w:p>
            <w:pPr>
              <w:spacing w:after="0"/>
              <w:rPr>
                <w:sz w:val="17"/>
                <w:szCs w:val="17"/>
                <w:color w:val="auto"/>
              </w:rPr>
            </w:pPr>
          </w:p>
        </w:tc>
        <w:tc>
          <w:tcPr>
            <w:tcW w:w="4200" w:type="dxa"/>
            <w:vAlign w:val="bottom"/>
          </w:tcPr>
          <w:p>
            <w:pPr>
              <w:ind w:left="160"/>
              <w:spacing w:after="0"/>
              <w:rPr>
                <w:sz w:val="20"/>
                <w:szCs w:val="20"/>
                <w:color w:val="auto"/>
              </w:rPr>
            </w:pPr>
            <w:r>
              <w:rPr>
                <w:rFonts w:ascii="Arial" w:cs="Arial" w:eastAsia="Arial" w:hAnsi="Arial"/>
                <w:sz w:val="17"/>
                <w:szCs w:val="17"/>
                <w:color w:val="auto"/>
              </w:rPr>
              <w:t>Retail</w:t>
            </w:r>
          </w:p>
        </w:tc>
        <w:tc>
          <w:tcPr>
            <w:tcW w:w="306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50.9%</w:t>
            </w: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50.1%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60" w:type="dxa"/>
            <w:vAlign w:val="bottom"/>
            <w:vMerge w:val="restart"/>
          </w:tcPr>
          <w:p>
            <w:pPr>
              <w:jc w:val="right"/>
              <w:ind w:right="1991"/>
              <w:spacing w:after="0"/>
              <w:rPr>
                <w:sz w:val="20"/>
                <w:szCs w:val="20"/>
                <w:color w:val="auto"/>
              </w:rPr>
            </w:pPr>
            <w:r>
              <w:rPr>
                <w:rFonts w:ascii="Arial" w:cs="Arial" w:eastAsia="Arial" w:hAnsi="Arial"/>
                <w:sz w:val="14"/>
                <w:szCs w:val="14"/>
                <w:color w:val="auto"/>
              </w:rPr>
              <w:t>16</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808080"/>
            </w:tcBorders>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The increase in restaurant cost of goods sold as a percentage of restaurant revenue in the first quarter of 2013 as compared to the first quarter of 2012 was primarily the result of food commodity inflation and a shift to higher cost menu items. These increases were partially offset by our menu price increase referenced above and a reduction in food waste. Higher cost menu items accounted for a 0.3% increase in restaurant cost of goods sold as a percentage of restaurant revenue. The reduction in food waste accounted for a 0.2% decrease in restaurant cost of goods sold as a percentage of restaurant revenue. Commodity inflation was 2.4% in the first quarter of 2013. We presently expect the rate of commodity inflation to be approximately 5.0% to 6.0% for the current year.</w:t>
      </w:r>
    </w:p>
    <w:p>
      <w:pPr>
        <w:spacing w:after="0" w:line="18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increase in retail cost of goods sold as a percentage of retail revenue in the first quarter of 2013 as compared to the first quarter of 2012 resulted primarily from an increase in inventory reserves, higher markdowns and higher purchase costs for certain retail merchandise partially offset by lower freight costs.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First Quarter</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Retail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reserves</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Markdowns</w:t>
            </w:r>
          </w:p>
        </w:tc>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Cost of purchases</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Freight costs</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Labor and related expenses include all direct and indirect labor and related costs incurred in store operations. Labor and related expenses as a percentage of total revenue increased to 37.1% in the first quarter of 2013 as compared to 37.0% in the first quarter of 2012. This percentage change resulted from the following:</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First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Employee health care expenses</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Workers’ compensation expense</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r>
    </w:tbl>
    <w:p>
      <w:pPr>
        <w:spacing w:after="0" w:line="22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The increase in our employee health care expenses in the first quarter of 2013 as compared to the first quarter of 2012 resulted from the non-recurrence of reimbursements for certain health insurance premiums. Our fully-insured portion of our health insurance program contains a retrospective feature which could increase or decrease premiums based on actual claims experience. As a result, due to lower claims experience in calendar 2011, we recorded an approximate $2,500 receivable in the first quarter of 2012 for reimbursement of certain health insurance premiums paid in prior periods of calendar 2011. In contrast, due to higher claims experience in calendar 2012, we currently expect to incur additional expense for health insurance premiums in 2013.</w:t>
      </w:r>
    </w:p>
    <w:p>
      <w:pPr>
        <w:spacing w:after="0" w:line="19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On a quarterly basis, we perform limited scope actuarial studies on our workers’ compensation reserves. Although these actuarial reviews resulted in reductions in our workers’ compensation expense in both the first quarters of 2013 and 2012, we recorded a significantly larger reduction in the first quarter of 2012 as compared to the first quarter of 2013.</w:t>
      </w:r>
    </w:p>
    <w:p>
      <w:pPr>
        <w:spacing w:after="0" w:line="202"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decrease in store hourly labor costs as a percentage of total revenue for the first quarter of 2013 as compared to the first quarter of 2012 resulted from menu price increases being higher than wage inflation and improved productivity primarily due to our enhanced labor management system.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increased to 18.5% in the first quarter of 2013 as compared to 18.2% in the first quarter of 2012. This percentage change resulted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First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Advertising expense</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Utilities expense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r>
    </w:tbl>
    <w:p>
      <w:pPr>
        <w:spacing w:after="0" w:line="220"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The increase in other store operating expenses in the first quarter of 2013 as compared to the first quarter of 2012 resulted primarily from a litigation settlement received in the first quarter of 2012. Additionally, in the first quarter of 2013 as compared to the first quarter of 2012, higher advertising expense was offset by lower utilities expense. The increase in advertising expense resulted primarily from an increase in billboard production costs related to new billboard creative and higher media spending on radio. Lower utilities expense resulted primarily from lower electricity costs.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5.7% in the first quarter of 2013 as compared to 6.2% in the first quarter of 2012.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First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(Decrease) Increase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Manager conference expense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Incentive compensation</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Legal expenses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r>
        <w:trPr>
          <w:trHeight w:val="21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Proxy contest expenses</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decrease in general and administrative expenses in the first quarter of 2013 as compared to the first quarter of 2012 resulted from the non-recurrence of expenses associated with a manager conference which was held in the first quarter of 2012, lower incentive compensation and lower legal expenses. Lower incentive compensation resulted primarily from the non-recurrence of expenses related to vested share-based awards.</w:t>
      </w:r>
    </w:p>
    <w:p>
      <w:pPr>
        <w:spacing w:after="0" w:line="202"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These decreases were partially offset by higher proxy contest expenses. Due to the timing of the annual shareholders’ meeting, which was held in late December in the prior year and in mid-November in the current year, proxy contest expenses were higher in the first quarter of 2013 as compared to the first quarter of 2012. We currently expect proxy contest expenses in the range of $4,000 to $4,500 in 2013.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Interest expense for the first quarter of 2013 was $10,712 as compared to $11,135 in the first quarter of 2012. The decrease resulted primarily from lower debt outstanding. We presently expect a reduction in interest expense of approximately $8,000 to $9,000 in 2013 primarily because of the expiration of a seven-year interest rate swap on May 3, 2013 with a fixed interest rate of 5.57% plus our current credit spread.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33.0% and 28.9%, respectively, in the first quarters of 2013 and 2012. The increase in the effective tax rate from the first quarter of 2012 as compared to the first quarter of 2013 resulted primarily from the expiration of the Work Opportunity Tax Credit. We presently expect our effective tax rate for 2013 to be approximately 32% to 33% because of the expiration of the Work Opportunity Tax Credit partially offset by lower state taxes.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49" w:lineRule="exact"/>
        <w:rPr>
          <w:sz w:val="20"/>
          <w:szCs w:val="20"/>
          <w:color w:val="auto"/>
        </w:rPr>
      </w:pPr>
    </w:p>
    <w:p>
      <w:pPr>
        <w:jc w:val="both"/>
        <w:ind w:firstLine="310"/>
        <w:spacing w:after="0" w:line="318" w:lineRule="auto"/>
        <w:rPr>
          <w:sz w:val="20"/>
          <w:szCs w:val="20"/>
          <w:color w:val="auto"/>
        </w:rPr>
      </w:pPr>
      <w:r>
        <w:rPr>
          <w:rFonts w:ascii="Arial" w:cs="Arial" w:eastAsia="Arial" w:hAnsi="Arial"/>
          <w:sz w:val="15"/>
          <w:szCs w:val="15"/>
          <w:color w:val="auto"/>
        </w:rPr>
        <w:t>Our primary sources of liquidity are cash generated from our operations and our borrowing capacity under our $500,000 revolving credit facility (the “Revolving Credit Facility”). Our internally generated cash, along with cash on hand at August 3, 2012 and proceeds from exercises of share-based compensation awards, were sufficient to finance all of our growth, dividend payments, working capital needs and other cash payment obligations in the first quarter of 2013.</w:t>
      </w:r>
    </w:p>
    <w:p>
      <w:pPr>
        <w:spacing w:after="0" w:line="166"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believe that cash at November 2, 2012, along with cash generated from our operating activities, the borrowing capacity under our Revolving Credit Facility and proceeds from exercises of share-based compensation awards will be sufficient to finance our continuing operations, our continuing expansion plans, our principal payments on our debt, our share repurchase plans and our expected dividend payments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(Used in) Generated from Operations</w:t>
      </w:r>
    </w:p>
    <w:p>
      <w:pPr>
        <w:spacing w:after="0" w:line="24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operating activities used net cash of $13,628 for the first quarter of 2013, which represented a decrease from the $20,244 net cash provided during the first quarter of 2012. This decrease reflected higher retail inventories and higher annual and long-term incentive bonus payments made this year as a result of the prior year’s performance. Higher retail inventories resulted from the timing of receipts and an increase in purchases in certain retail merchandise categories.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$750,000 credit facility (the “Credit Facility”) consists of a term loan (aggregate outstanding at November 2, 2012 was $212,500) and our Revolving Credit Facility. At November 2, 2012, we had $312,500 of outstanding borrowings under the Revolving Credit Facility and we had $28,171 of standby letters of credit related to securing reserved claims under workers’ compensation insurance which reduce our borrowing availability under the Revolving Credit Facility. At November 2, 2012, we had $159,329 in borrowing availability under our Revolving Credit Facility. See Note 4 to our Condensed Consolidated Financial Statements for further information on our long-term debt.</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$13,310 for the first quarter of 2013 as compared to $18,712 in the first quarter of 2012. Our capital expenditures consisted primarily of costs of new store locations and capital expenditures for maintenance programs. The decrease in capital expenditures in the first quarter of 2013 as compared to the first quarter of 2012 is primarily the result of fewer new locations under construction as compared to the prior year. We estimate that our capital expenditures during 2013 will be between $90,000 and $100,000. This estimate includes certain costs related to the acquisition of sites and construction of new stores that have opened or are expected to open during 2013,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Dividends and Proceeds from the Exercise of Share-Based Compensation Awards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Subject to a maximum amount of $100,000, we have been authorized by our Board of Directors to repurchase shares from time to time during 2013 through a combination of open market purchases, privately negotiated acquisitions, accelerated share repurchase transactions and/or other derivative transactions at the discretion of management. We did not repurchase any shares during the first quarter of 2013.</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Credit Facility imposes restrictions on the amount of dividends we are permitted to pay and the amount of shares we are permitted to repurchase. If there is no default existing and the total of our availability under our Revolving Credit Facility plus our cash and cash equivalents on hand is at least $100,000 (the “liquidity requirements”), we may declare and pay cash dividends on shares of our common stock if the aggregate amount of dividends paid during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quarter of 2013, we paid dividends of $0.40 per share. During the first quarter of 2013, we declared a dividend of $0.50 per share that was paid on November 5, 2012 to shareholders of record on October 19, 2012.</w:t>
      </w:r>
    </w:p>
    <w:p>
      <w:pPr>
        <w:spacing w:after="0" w:line="189" w:lineRule="exact"/>
        <w:rPr>
          <w:sz w:val="20"/>
          <w:szCs w:val="20"/>
          <w:color w:val="auto"/>
        </w:rPr>
      </w:pPr>
    </w:p>
    <w:p>
      <w:pPr>
        <w:ind w:right="180" w:firstLine="620"/>
        <w:spacing w:after="0" w:line="280" w:lineRule="auto"/>
        <w:rPr>
          <w:sz w:val="20"/>
          <w:szCs w:val="20"/>
          <w:color w:val="auto"/>
        </w:rPr>
      </w:pPr>
      <w:r>
        <w:rPr>
          <w:rFonts w:ascii="Arial" w:cs="Arial" w:eastAsia="Arial" w:hAnsi="Arial"/>
          <w:sz w:val="17"/>
          <w:szCs w:val="17"/>
          <w:color w:val="auto"/>
        </w:rPr>
        <w:t>During the first quarter of 2013, we received proceeds of $2,322 from the exercise of share-based compensation awards and the corresponding issuance of 203,956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We had working capital of $35,078 at November 2, 2012 versus working capital of $18,249 at August 3, 2012. Working capital increased from August 3, 2012 primarily because of higher retail inventories and lower incentive compensation accruals partially offset by a decrease in cash. Lower incentive compensation accruals resulted from the payment of annual and long-term incentive bonuses in the first quarter of 2013.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2012 Form 10-K for additional information regarding our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2012. Refer to the sub-section entitled “Material Commitments” under the section entitled “Liquidity and Capital Resources” presented in the MD&amp;A of our 2012 Form 10-K for additional information regarding our material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Adopted and Not Yet Adopted</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None of the accounting guidance discussed in Note 1 either had or is expected to have a significant impact on our consolidated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right="20"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contained in the 2012 Form 10-K. Judgments and uncertainties affecting the application of those policies may result in materially different amounts being reported under different conditions or using different assumptions.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Critical accounting estimates are those that:</w:t>
      </w:r>
    </w:p>
    <w:p>
      <w:pPr>
        <w:spacing w:after="0" w:line="243" w:lineRule="exact"/>
        <w:rPr>
          <w:sz w:val="20"/>
          <w:szCs w:val="20"/>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21" w:lineRule="exact"/>
        <w:rPr>
          <w:rFonts w:ascii="Arial" w:cs="Arial" w:eastAsia="Arial" w:hAnsi="Arial"/>
          <w:sz w:val="17"/>
          <w:szCs w:val="17"/>
          <w:color w:val="auto"/>
        </w:rPr>
      </w:pPr>
    </w:p>
    <w:p>
      <w:pPr>
        <w:ind w:left="940" w:right="20" w:hanging="304"/>
        <w:spacing w:after="0" w:line="267"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right="20"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940" w:hanging="30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quarter of 2013 and we do not believe that there is a reasonable likelihood that there will be a material change in the estimates or assumptions used by us in the future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210"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 significant portion of our health insurance program is self-insured.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The fully-insured portion of our health insurance program contains a retrospective feature which could increase or decrease premiums based on actual claims experience.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2013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2013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2012 Form 10-K for additional information).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 Share-based compensation expense for awards with performance conditions is recorded when it is probable that the performance criteria will be met.</w:t>
      </w:r>
    </w:p>
    <w:p>
      <w:pPr>
        <w:spacing w:after="0" w:line="206"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Our nonvested stock awards are time vested except for awards under our long-term incentive plans which also contain performance conditions. At each reporting period, we reassess the probability of achieving the performance targets under our long-term incentive plans. Determining whether the performance targets will be achieved involves judgment, and the estimate of expense for nonvested stock awards may be revised periodically based on the probability of achieving the performance targets. Revisions are reflected in the period in which the estimate is changed. If any performance goals are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Generally, the fair value of each nonvested stock grant is equal to the market price of our common stock at the date of grant reduced by the present value of expected dividends to be paid prior to the vesting period, discounted using an appropriate risk-free interest rate.</w:t>
      </w:r>
    </w:p>
    <w:p>
      <w:pPr>
        <w:spacing w:after="0" w:line="189" w:lineRule="exact"/>
        <w:rPr>
          <w:sz w:val="20"/>
          <w:szCs w:val="20"/>
          <w:color w:val="auto"/>
        </w:rPr>
      </w:pPr>
    </w:p>
    <w:p>
      <w:pPr>
        <w:jc w:val="both"/>
        <w:ind w:right="20" w:firstLine="310"/>
        <w:spacing w:after="0" w:line="257" w:lineRule="auto"/>
        <w:rPr>
          <w:sz w:val="20"/>
          <w:szCs w:val="20"/>
          <w:color w:val="auto"/>
        </w:rPr>
      </w:pPr>
      <w:r>
        <w:rPr>
          <w:rFonts w:ascii="Arial" w:cs="Arial" w:eastAsia="Arial" w:hAnsi="Arial"/>
          <w:sz w:val="17"/>
          <w:szCs w:val="17"/>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update the historical and implied components of the expected volatility assumption when new grants are made.</w:t>
      </w:r>
    </w:p>
    <w:p>
      <w:pPr>
        <w:spacing w:after="0" w:line="243" w:lineRule="exact"/>
        <w:rPr>
          <w:sz w:val="20"/>
          <w:szCs w:val="20"/>
          <w:color w:val="auto"/>
        </w:rPr>
      </w:pPr>
    </w:p>
    <w:p>
      <w:pPr>
        <w:jc w:val="both"/>
        <w:ind w:right="20" w:firstLine="620"/>
        <w:spacing w:after="0" w:line="258" w:lineRule="auto"/>
        <w:rPr>
          <w:sz w:val="20"/>
          <w:szCs w:val="20"/>
          <w:color w:val="auto"/>
        </w:rPr>
      </w:pPr>
      <w:r>
        <w:rPr>
          <w:rFonts w:ascii="Arial" w:cs="Arial" w:eastAsia="Arial" w:hAnsi="Arial"/>
          <w:sz w:val="17"/>
          <w:szCs w:val="17"/>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The expected life is a by-product of the lattice model and is updated when new grants are made. No stock options were granted in 2012 and 2013.</w:t>
      </w:r>
    </w:p>
    <w:p>
      <w:pPr>
        <w:spacing w:after="0" w:line="210"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quarter of 2013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19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w:t>
      </w:r>
    </w:p>
    <w:p>
      <w:pPr>
        <w:spacing w:after="0" w:line="233"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2012 Form 10-K is incorporated in this item of this Quarterly Report on Form 10-Q by this reference. There have been no material changes in our quantitative and qualitative market risks since August 3, 2012.</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w:t>
      </w:r>
    </w:p>
    <w:p>
      <w:pPr>
        <w:spacing w:after="0" w:line="233"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November 2, 2012, our disclosure controls and procedures were effective for the purposes set forth in the definition thereof in Exchange Act Rule 13a-15(e).</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November 2, 2012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risk factor updates and should be considered in addition to the risk factors set forth in Part I, Item 1A of the 2012 Form 10-K: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Tennessee law and our shareholder rights plan may discourage potential acquirers of our company.</w:t>
      </w:r>
    </w:p>
    <w:p>
      <w:pPr>
        <w:spacing w:after="0" w:line="243" w:lineRule="exact"/>
        <w:rPr>
          <w:sz w:val="20"/>
          <w:szCs w:val="20"/>
          <w:color w:val="auto"/>
        </w:rPr>
      </w:pPr>
    </w:p>
    <w:p>
      <w:pPr>
        <w:jc w:val="both"/>
        <w:ind w:firstLine="310"/>
        <w:spacing w:after="0" w:line="257"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2015.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us on terms that do not satisfy the requirements of a qualifying offer under the shareholder rights plan or are otherwise not approved by our board of directors.</w:t>
      </w:r>
    </w:p>
    <w:p>
      <w:pPr>
        <w:spacing w:after="0" w:line="210" w:lineRule="exact"/>
        <w:rPr>
          <w:sz w:val="20"/>
          <w:szCs w:val="20"/>
          <w:color w:val="auto"/>
        </w:rPr>
      </w:pPr>
    </w:p>
    <w:p>
      <w:pPr>
        <w:jc w:val="both"/>
        <w:ind w:firstLine="310"/>
        <w:spacing w:after="0" w:line="262" w:lineRule="auto"/>
        <w:rPr>
          <w:sz w:val="20"/>
          <w:szCs w:val="20"/>
          <w:color w:val="auto"/>
        </w:rPr>
      </w:pPr>
      <w:r>
        <w:rPr>
          <w:rFonts w:ascii="Arial" w:cs="Arial" w:eastAsia="Arial" w:hAnsi="Arial"/>
          <w:sz w:val="17"/>
          <w:szCs w:val="17"/>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19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Exhibits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00" w:lineRule="exact"/>
        <w:rPr>
          <w:sz w:val="20"/>
          <w:szCs w:val="20"/>
          <w:color w:val="auto"/>
        </w:rPr>
      </w:pPr>
    </w:p>
    <w:p>
      <w:pPr>
        <w:spacing w:after="0" w:line="230" w:lineRule="exact"/>
        <w:rPr>
          <w:sz w:val="20"/>
          <w:szCs w:val="20"/>
          <w:color w:val="auto"/>
        </w:rPr>
      </w:pPr>
    </w:p>
    <w:p>
      <w:pPr>
        <w:spacing w:after="0"/>
        <w:tabs>
          <w:tab w:leader="none" w:pos="4560" w:val="left"/>
          <w:tab w:leader="none" w:pos="514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11/29/12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/s/Lawrence E. Hyatt</w:t>
      </w:r>
    </w:p>
    <w:p>
      <w:pPr>
        <w:spacing w:after="0" w:line="3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Lawrence E. Hyatt, Senior Vice President and</w:t>
      </w:r>
    </w:p>
    <w:p>
      <w:pPr>
        <w:spacing w:after="0" w:line="2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Chief Financial Officer</w:t>
      </w:r>
    </w:p>
    <w:p>
      <w:pPr>
        <w:spacing w:after="0" w:line="207" w:lineRule="exact"/>
        <w:rPr>
          <w:sz w:val="20"/>
          <w:szCs w:val="20"/>
          <w:color w:val="auto"/>
        </w:rPr>
      </w:pPr>
    </w:p>
    <w:p>
      <w:pPr>
        <w:spacing w:after="0"/>
        <w:tabs>
          <w:tab w:leader="none" w:pos="4560" w:val="left"/>
          <w:tab w:leader="none" w:pos="514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11/29/12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u w:val="single" w:color="auto"/>
          <w:color w:val="auto"/>
        </w:rPr>
        <w:t>/s/P. Douglas Couvillion</w:t>
      </w:r>
    </w:p>
    <w:p>
      <w:pPr>
        <w:spacing w:after="0" w:line="3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P. Douglas Couvillion, Vice President, Corporate Controller and</w:t>
      </w:r>
    </w:p>
    <w:p>
      <w:pPr>
        <w:spacing w:after="0" w:line="22"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Principal Accounting Officer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 xml:space="preserve">Cracker Barrel Old Country Store, Inc. and Subsidiaries FY 2013 Annual Bonus Plan </w:t>
            </w:r>
            <w:r>
              <w:rPr>
                <w:rFonts w:ascii="Arial" w:cs="Arial" w:eastAsia="Arial" w:hAnsi="Arial"/>
                <w:sz w:val="24"/>
                <w:szCs w:val="24"/>
                <w:color w:val="auto"/>
                <w:w w:val="97"/>
                <w:vertAlign w:val="superscript"/>
              </w:rPr>
              <w:t>†</w:t>
            </w:r>
            <w:r>
              <w:rPr>
                <w:rFonts w:ascii="Arial" w:cs="Arial" w:eastAsia="Arial" w:hAnsi="Arial"/>
                <w:sz w:val="17"/>
                <w:szCs w:val="17"/>
                <w:color w:val="auto"/>
                <w:w w:val="97"/>
              </w:rPr>
              <w:t xml:space="preserve">  (incorporated by reference to Exhibit 10.1 to the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Company’s Current Report on Form 8-K filed on October 3, 2012)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0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10.2</w:t>
            </w:r>
          </w:p>
        </w:tc>
        <w:tc>
          <w:tcPr>
            <w:tcW w:w="10340" w:type="dxa"/>
            <w:vAlign w:val="bottom"/>
            <w:shd w:val="clear" w:color="auto" w:fill="CCEEFF"/>
          </w:tcPr>
          <w:p>
            <w:pPr>
              <w:ind w:left="420"/>
              <w:spacing w:after="0" w:line="194" w:lineRule="exact"/>
              <w:rPr>
                <w:sz w:val="20"/>
                <w:szCs w:val="20"/>
                <w:color w:val="auto"/>
              </w:rPr>
            </w:pPr>
            <w:r>
              <w:rPr>
                <w:rFonts w:ascii="Arial" w:cs="Arial" w:eastAsia="Arial" w:hAnsi="Arial"/>
                <w:sz w:val="16"/>
                <w:szCs w:val="16"/>
                <w:color w:val="auto"/>
                <w:w w:val="99"/>
              </w:rPr>
              <w:t>Cracker Barrel Old Country Store, Inc. and Subsidiaries FY 2013 Long-Term Incentive Program</w:t>
            </w:r>
            <w:r>
              <w:rPr>
                <w:rFonts w:ascii="Arial" w:cs="Arial" w:eastAsia="Arial" w:hAnsi="Arial"/>
                <w:sz w:val="22"/>
                <w:szCs w:val="22"/>
                <w:color w:val="auto"/>
                <w:w w:val="99"/>
                <w:vertAlign w:val="superscript"/>
              </w:rPr>
              <w:t>†</w:t>
            </w:r>
            <w:r>
              <w:rPr>
                <w:rFonts w:ascii="Arial" w:cs="Arial" w:eastAsia="Arial" w:hAnsi="Arial"/>
                <w:sz w:val="16"/>
                <w:szCs w:val="16"/>
                <w:color w:val="auto"/>
                <w:w w:val="99"/>
              </w:rPr>
              <w:t xml:space="preserve"> (incorporated by reference to Exhibit 10.2 to</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the Company’s Current Report on Form 8-K filed on October 3, 2012)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06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1034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06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1034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06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1034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06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1034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0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101.INS</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Instance Document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Taxonomy Extension Schema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101.CAL</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Taxonomy Extension Calculation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101.LAB</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Taxonomy Extension Label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Taxonomy Extension Presentation Linkbase (filed herewith)</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XBRL Taxonomy Extension Definition Linkbase (filed herewith)</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†Denotes management contract or compensatory plan, contract or arrangement.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732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1480" w:hanging="457"/>
        <w:spacing w:after="0"/>
        <w:tabs>
          <w:tab w:leader="none" w:pos="14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57"/>
        <w:spacing w:after="0" w:line="266" w:lineRule="auto"/>
        <w:tabs>
          <w:tab w:leader="none" w:pos="14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57"/>
        <w:spacing w:after="0" w:line="312"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57"/>
        <w:spacing w:after="0" w:line="294" w:lineRule="auto"/>
        <w:tabs>
          <w:tab w:leader="none" w:pos="14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29,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1480" w:hanging="457"/>
        <w:spacing w:after="0"/>
        <w:tabs>
          <w:tab w:leader="none" w:pos="14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57"/>
        <w:spacing w:after="0" w:line="266" w:lineRule="auto"/>
        <w:tabs>
          <w:tab w:leader="none" w:pos="14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57"/>
        <w:spacing w:after="0" w:line="312"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57"/>
        <w:spacing w:after="0" w:line="294"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November 29, 2012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EXECUTIVE OFFICER</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jc w:val="both"/>
        <w:ind w:right="340"/>
        <w:spacing w:after="0" w:line="291"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November 2, 2012,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83"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gridSpan w:val="2"/>
          </w:tcPr>
          <w:p>
            <w:pPr>
              <w:spacing w:after="0"/>
              <w:rPr>
                <w:sz w:val="20"/>
                <w:szCs w:val="20"/>
                <w:color w:val="auto"/>
              </w:rPr>
            </w:pPr>
            <w:r>
              <w:rPr>
                <w:rFonts w:ascii="Arial" w:cs="Arial" w:eastAsia="Arial" w:hAnsi="Arial"/>
                <w:sz w:val="17"/>
                <w:szCs w:val="17"/>
                <w:color w:val="auto"/>
                <w:w w:val="90"/>
              </w:rPr>
              <w:t>Date: November 29, 2012</w:t>
            </w:r>
          </w:p>
        </w:tc>
        <w:tc>
          <w:tcPr>
            <w:tcW w:w="9680" w:type="dxa"/>
            <w:vAlign w:val="bottom"/>
            <w:gridSpan w:val="3"/>
          </w:tcPr>
          <w:p>
            <w:pPr>
              <w:ind w:left="3020"/>
              <w:spacing w:after="0"/>
              <w:rPr>
                <w:sz w:val="20"/>
                <w:szCs w:val="20"/>
                <w:color w:val="auto"/>
              </w:rPr>
            </w:pPr>
            <w:r>
              <w:rPr>
                <w:rFonts w:ascii="Arial" w:cs="Arial" w:eastAsia="Arial" w:hAnsi="Arial"/>
                <w:sz w:val="17"/>
                <w:szCs w:val="17"/>
                <w:color w:val="auto"/>
              </w:rPr>
              <w:t>By: /s/Sandra B. Cochran</w:t>
            </w:r>
          </w:p>
        </w:tc>
      </w:tr>
      <w:tr>
        <w:trPr>
          <w:trHeight w:val="20"/>
        </w:trPr>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80" w:type="dxa"/>
            <w:vAlign w:val="bottom"/>
            <w:gridSpan w:val="3"/>
          </w:tcPr>
          <w:p>
            <w:pPr>
              <w:ind w:left="3380"/>
              <w:spacing w:after="0"/>
              <w:rPr>
                <w:sz w:val="20"/>
                <w:szCs w:val="20"/>
                <w:color w:val="auto"/>
              </w:rPr>
            </w:pPr>
            <w:r>
              <w:rPr>
                <w:rFonts w:ascii="Arial" w:cs="Arial" w:eastAsia="Arial" w:hAnsi="Arial"/>
                <w:sz w:val="17"/>
                <w:szCs w:val="17"/>
                <w:color w:val="auto"/>
              </w:rPr>
              <w:t>Sandra B. Cochran</w:t>
            </w:r>
          </w:p>
        </w:tc>
      </w:tr>
      <w:tr>
        <w:trPr>
          <w:trHeight w:val="217"/>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80" w:type="dxa"/>
            <w:vAlign w:val="bottom"/>
            <w:gridSpan w:val="3"/>
          </w:tcPr>
          <w:p>
            <w:pPr>
              <w:ind w:left="3380"/>
              <w:spacing w:after="0"/>
              <w:rPr>
                <w:sz w:val="20"/>
                <w:szCs w:val="20"/>
                <w:color w:val="auto"/>
              </w:rPr>
            </w:pPr>
            <w:r>
              <w:rPr>
                <w:rFonts w:ascii="Arial" w:cs="Arial" w:eastAsia="Arial" w:hAnsi="Arial"/>
                <w:sz w:val="17"/>
                <w:szCs w:val="17"/>
                <w:color w:val="auto"/>
              </w:rPr>
              <w:t>President and Chief Executive Officer</w:t>
            </w:r>
          </w:p>
        </w:tc>
      </w:tr>
      <w:tr>
        <w:trPr>
          <w:trHeight w:val="579"/>
        </w:trPr>
        <w:tc>
          <w:tcPr>
            <w:tcW w:w="4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282" w:right="19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November 2, 2012,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83"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gridSpan w:val="2"/>
          </w:tcPr>
          <w:p>
            <w:pPr>
              <w:spacing w:after="0"/>
              <w:rPr>
                <w:sz w:val="20"/>
                <w:szCs w:val="20"/>
                <w:color w:val="auto"/>
              </w:rPr>
            </w:pPr>
            <w:r>
              <w:rPr>
                <w:rFonts w:ascii="Arial" w:cs="Arial" w:eastAsia="Arial" w:hAnsi="Arial"/>
                <w:sz w:val="17"/>
                <w:szCs w:val="17"/>
                <w:color w:val="auto"/>
                <w:w w:val="90"/>
              </w:rPr>
              <w:t>Date: November 29, 2012</w:t>
            </w:r>
          </w:p>
        </w:tc>
        <w:tc>
          <w:tcPr>
            <w:tcW w:w="9680" w:type="dxa"/>
            <w:vAlign w:val="bottom"/>
            <w:gridSpan w:val="3"/>
          </w:tcPr>
          <w:p>
            <w:pPr>
              <w:ind w:left="3020"/>
              <w:spacing w:after="0"/>
              <w:rPr>
                <w:sz w:val="20"/>
                <w:szCs w:val="20"/>
                <w:color w:val="auto"/>
              </w:rPr>
            </w:pPr>
            <w:r>
              <w:rPr>
                <w:rFonts w:ascii="Arial" w:cs="Arial" w:eastAsia="Arial" w:hAnsi="Arial"/>
                <w:sz w:val="17"/>
                <w:szCs w:val="17"/>
                <w:color w:val="auto"/>
              </w:rPr>
              <w:t>By: /s/Lawrence E. Hyatt</w:t>
            </w:r>
          </w:p>
        </w:tc>
      </w:tr>
      <w:tr>
        <w:trPr>
          <w:trHeight w:val="20"/>
        </w:trPr>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80" w:type="dxa"/>
            <w:vAlign w:val="bottom"/>
            <w:gridSpan w:val="3"/>
          </w:tcPr>
          <w:p>
            <w:pPr>
              <w:ind w:left="3380"/>
              <w:spacing w:after="0"/>
              <w:rPr>
                <w:sz w:val="20"/>
                <w:szCs w:val="20"/>
                <w:color w:val="auto"/>
              </w:rPr>
            </w:pPr>
            <w:r>
              <w:rPr>
                <w:rFonts w:ascii="Arial" w:cs="Arial" w:eastAsia="Arial" w:hAnsi="Arial"/>
                <w:sz w:val="17"/>
                <w:szCs w:val="17"/>
                <w:color w:val="auto"/>
              </w:rPr>
              <w:t>Lawrence E. Hyatt,</w:t>
            </w:r>
          </w:p>
        </w:tc>
      </w:tr>
      <w:tr>
        <w:trPr>
          <w:trHeight w:val="217"/>
        </w:trPr>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80" w:type="dxa"/>
            <w:vAlign w:val="bottom"/>
            <w:gridSpan w:val="3"/>
          </w:tcPr>
          <w:p>
            <w:pPr>
              <w:ind w:left="3380"/>
              <w:spacing w:after="0"/>
              <w:rPr>
                <w:sz w:val="20"/>
                <w:szCs w:val="20"/>
                <w:color w:val="auto"/>
              </w:rPr>
            </w:pPr>
            <w:r>
              <w:rPr>
                <w:rFonts w:ascii="Arial" w:cs="Arial" w:eastAsia="Arial" w:hAnsi="Arial"/>
                <w:sz w:val="17"/>
                <w:szCs w:val="17"/>
                <w:color w:val="auto"/>
              </w:rPr>
              <w:t>Senior Vice President and Chief Financial Officer</w:t>
            </w:r>
          </w:p>
        </w:tc>
      </w:tr>
      <w:tr>
        <w:trPr>
          <w:trHeight w:val="579"/>
        </w:trPr>
        <w:tc>
          <w:tcPr>
            <w:tcW w:w="4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8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2019-12-09T12:51:27Z</dcterms:created>
  <dcterms:modified xsi:type="dcterms:W3CDTF">2019-12-09T12:51:27Z</dcterms:modified>
</cp:coreProperties>
</file>