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w:t>
      </w:r>
      <w:r>
        <w:rPr>
          <w:rFonts w:ascii="Times New Roman" w:cs="Times New Roman" w:eastAsia="Times New Roman" w:hAnsi="Times New Roman"/>
          <w:sz w:val="18"/>
          <w:szCs w:val="18"/>
          <w:color w:val="auto"/>
        </w:rPr>
        <w:t>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57" w:lineRule="exact"/>
        <w:rPr>
          <w:sz w:val="24"/>
          <w:szCs w:val="24"/>
          <w:color w:val="auto"/>
        </w:rPr>
      </w:pPr>
    </w:p>
    <w:p>
      <w:pPr>
        <w:jc w:val="center"/>
        <w:ind w:right="-19"/>
        <w:spacing w:after="0" w:line="368" w:lineRule="exact"/>
        <w:rPr>
          <w:sz w:val="20"/>
          <w:szCs w:val="20"/>
          <w:color w:val="auto"/>
        </w:rPr>
      </w:pPr>
      <w:r>
        <w:rPr>
          <w:rFonts w:ascii="Times New Roman" w:cs="Times New Roman" w:eastAsia="Times New Roman" w:hAnsi="Times New Roman"/>
          <w:sz w:val="32"/>
          <w:szCs w:val="32"/>
          <w:color w:val="auto"/>
        </w:rPr>
        <w:t>FORM 10</w:t>
      </w:r>
      <w:r>
        <w:rPr>
          <w:rFonts w:ascii="MS PGothic" w:cs="MS PGothic" w:eastAsia="MS PGothic" w:hAnsi="MS PGothic"/>
          <w:sz w:val="32"/>
          <w:szCs w:val="32"/>
          <w:color w:val="auto"/>
        </w:rPr>
        <w:t>‑</w:t>
      </w:r>
      <w:r>
        <w:rPr>
          <w:rFonts w:ascii="Times New Roman" w:cs="Times New Roman" w:eastAsia="Times New Roman" w:hAnsi="Times New Roman"/>
          <w:sz w:val="32"/>
          <w:szCs w:val="32"/>
          <w:color w:val="auto"/>
        </w:rPr>
        <w:t>Q</w:t>
      </w:r>
    </w:p>
    <w:p>
      <w:pPr>
        <w:spacing w:after="0" w:line="3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980" w:right="4040" w:hanging="324"/>
        <w:spacing w:after="0" w:line="266" w:lineRule="auto"/>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January 30, 2015</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4"/>
          <w:szCs w:val="24"/>
          <w:color w:val="auto"/>
        </w:rPr>
      </w:pPr>
    </w:p>
    <w:p>
      <w:pPr>
        <w:ind w:left="980" w:right="4060" w:hanging="324"/>
        <w:spacing w:after="0" w:line="282" w:lineRule="auto"/>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________from to_____________</w:t>
      </w:r>
    </w:p>
    <w:p>
      <w:pPr>
        <w:spacing w:after="0" w:line="159" w:lineRule="exact"/>
        <w:rPr>
          <w:sz w:val="24"/>
          <w:szCs w:val="24"/>
          <w:color w:val="auto"/>
        </w:rPr>
      </w:pPr>
    </w:p>
    <w:p>
      <w:pPr>
        <w:jc w:val="center"/>
        <w:ind w:right="-19"/>
        <w:spacing w:after="0" w:line="253" w:lineRule="exact"/>
        <w:rPr>
          <w:sz w:val="20"/>
          <w:szCs w:val="20"/>
          <w:color w:val="auto"/>
        </w:rPr>
      </w:pPr>
      <w:r>
        <w:rPr>
          <w:rFonts w:ascii="Times New Roman" w:cs="Times New Roman" w:eastAsia="Times New Roman" w:hAnsi="Times New Roman"/>
          <w:sz w:val="22"/>
          <w:szCs w:val="22"/>
          <w:color w:val="auto"/>
        </w:rPr>
        <w:t>Commission file number: 001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253365</wp:posOffset>
            </wp:positionV>
            <wp:extent cx="147066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Cracker Barrel Old Country Store,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47" w:lineRule="exact"/>
        <w:rPr>
          <w:sz w:val="24"/>
          <w:szCs w:val="24"/>
          <w:color w:val="auto"/>
        </w:rPr>
      </w:pPr>
    </w:p>
    <w:tbl>
      <w:tblPr>
        <w:tblLayout w:type="fixed"/>
        <w:tblInd w:w="660" w:type="dxa"/>
        <w:tblCellMar>
          <w:top w:w="0" w:type="dxa"/>
          <w:left w:w="0" w:type="dxa"/>
          <w:bottom w:w="0" w:type="dxa"/>
          <w:right w:w="0" w:type="dxa"/>
        </w:tblCellMar>
      </w:tblPr>
      <w:tr>
        <w:trPr>
          <w:trHeight w:val="245"/>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Tennessee</w:t>
            </w:r>
          </w:p>
        </w:tc>
        <w:tc>
          <w:tcPr>
            <w:tcW w:w="4040" w:type="dxa"/>
            <w:vAlign w:val="bottom"/>
          </w:tcPr>
          <w:p>
            <w:pPr>
              <w:jc w:val="center"/>
              <w:ind w:left="990"/>
              <w:spacing w:after="0" w:line="207" w:lineRule="exact"/>
              <w:rPr>
                <w:sz w:val="20"/>
                <w:szCs w:val="20"/>
                <w:color w:val="auto"/>
              </w:rPr>
            </w:pPr>
            <w:r>
              <w:rPr>
                <w:rFonts w:ascii="Times New Roman" w:cs="Times New Roman" w:eastAsia="Times New Roman" w:hAnsi="Times New Roman"/>
                <w:sz w:val="18"/>
                <w:szCs w:val="18"/>
                <w:color w:val="auto"/>
              </w:rPr>
              <w:t>62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0812904</w:t>
            </w:r>
          </w:p>
        </w:tc>
      </w:tr>
      <w:tr>
        <w:trPr>
          <w:trHeight w:val="234"/>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0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14"/>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305 Hartmann Drive</w:t>
            </w:r>
          </w:p>
        </w:tc>
        <w:tc>
          <w:tcPr>
            <w:tcW w:w="4040" w:type="dxa"/>
            <w:vAlign w:val="bottom"/>
          </w:tcPr>
          <w:p>
            <w:pPr>
              <w:spacing w:after="0"/>
              <w:rPr>
                <w:sz w:val="24"/>
                <w:szCs w:val="24"/>
                <w:color w:val="auto"/>
              </w:rPr>
            </w:pPr>
          </w:p>
        </w:tc>
      </w:tr>
      <w:tr>
        <w:trPr>
          <w:trHeight w:val="216"/>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Lebanon, Tennessee</w:t>
            </w:r>
          </w:p>
        </w:tc>
        <w:tc>
          <w:tcPr>
            <w:tcW w:w="40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37087-4779</w:t>
            </w:r>
          </w:p>
        </w:tc>
      </w:tr>
      <w:tr>
        <w:trPr>
          <w:trHeight w:val="234"/>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Registrant's telephone number, including area code: (615) 444-5533</w:t>
      </w:r>
    </w:p>
    <w:p>
      <w:pPr>
        <w:spacing w:after="0" w:line="24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35" w:right="239" w:bottom="1440" w:gutter="0" w:footer="0" w:header="0"/>
        </w:sectPr>
      </w:pPr>
    </w:p>
    <w:p>
      <w:pPr>
        <w:spacing w:after="0" w:line="160" w:lineRule="exact"/>
        <w:rPr>
          <w:sz w:val="24"/>
          <w:szCs w:val="24"/>
          <w:color w:val="auto"/>
        </w:rPr>
      </w:pPr>
    </w:p>
    <w:p>
      <w:pPr>
        <w:ind w:left="10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3">
            <w:col w:w="5920" w:space="720"/>
            <w:col w:w="1200" w:space="100"/>
            <w:col w:w="3480"/>
          </w:cols>
          <w:pgMar w:left="240" w:top="535" w:right="239" w:bottom="1440" w:gutter="0" w:footer="0" w:header="0"/>
          <w:type w:val="continuous"/>
        </w:sectPr>
      </w:pPr>
    </w:p>
    <w:p>
      <w:pPr>
        <w:spacing w:after="0" w:line="3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4">
            <w:col w:w="2580" w:space="180"/>
            <w:col w:w="3160" w:space="720"/>
            <w:col w:w="1960" w:space="100"/>
            <w:col w:w="2720"/>
          </w:cols>
          <w:pgMar w:left="240" w:top="535"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2" w:lineRule="exact"/>
        <w:rPr>
          <w:sz w:val="24"/>
          <w:szCs w:val="24"/>
          <w:color w:val="auto"/>
        </w:rPr>
      </w:pPr>
    </w:p>
    <w:p>
      <w:pPr>
        <w:ind w:left="260"/>
        <w:spacing w:after="0" w:line="207" w:lineRule="exact"/>
        <w:tabs>
          <w:tab w:leader="none" w:pos="8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registrant’s classes of common stock, as of the latest practicable date.</w:t>
      </w:r>
    </w:p>
    <w:p>
      <w:pPr>
        <w:spacing w:after="0" w:line="23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23,923,881 Shares of Common Stock</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Outstanding as of February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720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300" w:type="dxa"/>
            <w:vAlign w:val="bottom"/>
            <w:gridSpan w:val="8"/>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CRACKER BARREL OLD COUNTRY STORE, INC.</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740" w:type="dxa"/>
            <w:vAlign w:val="bottom"/>
            <w:gridSpan w:val="6"/>
          </w:tcPr>
          <w:p>
            <w:pPr>
              <w:jc w:val="center"/>
              <w:ind w:right="47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00" w:type="dxa"/>
            <w:vAlign w:val="bottom"/>
            <w:gridSpan w:val="8"/>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For the Quarter Ended January 30, 2015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740" w:type="dxa"/>
            <w:vAlign w:val="bottom"/>
            <w:gridSpan w:val="6"/>
          </w:tcPr>
          <w:p>
            <w:pPr>
              <w:jc w:val="center"/>
              <w:ind w:right="47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9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53"/>
        </w:trPr>
        <w:tc>
          <w:tcPr>
            <w:tcW w:w="109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 Condensed Consolidated Balance Sheets as of January 30, 2015 and August 1, 2014</w:t>
              </w:r>
            </w:hyperlink>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 Condensed Consolidated Statements of Income for the Quarters and Six Months Ended January 30, 2015 and January 31, 2014</w:t>
              </w:r>
            </w:hyperlink>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 Condensed Consolidated Statements of Comprehensive Income for the Quarters and Six Months Ended January 30, 2015 and January 31, 2014</w:t>
              </w:r>
            </w:hyperlink>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d) Condensed Consolidated Statements of Cash Flows for the Six Months Ended January 30, 2015 and January 31, 2014</w:t>
              </w:r>
            </w:hyperlink>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e) Notes to Condensed Consolidated Financial Statements</w:t>
              </w:r>
            </w:hyperlink>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7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7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3. Quantitative and Qualitative Disclosures About Market Risk</w:t>
              </w:r>
            </w:hyperlink>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7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4. Controls and Procedures</w:t>
              </w:r>
            </w:hyperlink>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9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7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1. Legal Proceedings</w:t>
              </w:r>
            </w:hyperlink>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7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1A. Risk Factor</w:t>
              </w:r>
            </w:hyperlink>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7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6. Exhibits</w:t>
              </w:r>
            </w:hyperlink>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920" w:type="dxa"/>
            <w:vAlign w:val="bottom"/>
            <w:gridSpan w:val="15"/>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SIGNATURES</w:t>
              </w:r>
            </w:hyperlink>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20" w:type="dxa"/>
            <w:vAlign w:val="bottom"/>
          </w:tcPr>
          <w:p>
            <w:pPr>
              <w:spacing w:after="0"/>
              <w:rPr>
                <w:sz w:val="24"/>
                <w:szCs w:val="24"/>
                <w:color w:val="auto"/>
              </w:rPr>
            </w:pPr>
          </w:p>
        </w:tc>
        <w:tc>
          <w:tcPr>
            <w:tcW w:w="1140" w:type="dxa"/>
            <w:vAlign w:val="bottom"/>
            <w:tcBorders>
              <w:top w:val="single" w:sz="8" w:color="0000EE"/>
            </w:tcBorders>
            <w:gridSpan w:val="3"/>
          </w:tcPr>
          <w:p>
            <w:pPr>
              <w:spacing w:after="0"/>
              <w:rPr>
                <w:sz w:val="24"/>
                <w:szCs w:val="24"/>
                <w:color w:val="auto"/>
              </w:rPr>
            </w:pPr>
          </w:p>
        </w:tc>
        <w:tc>
          <w:tcPr>
            <w:tcW w:w="5420" w:type="dxa"/>
            <w:vAlign w:val="bottom"/>
            <w:tcBorders>
              <w:top w:val="single" w:sz="8" w:color="CCEEFF"/>
            </w:tcBorders>
            <w:gridSpan w:val="7"/>
          </w:tcPr>
          <w:p>
            <w:pPr>
              <w:jc w:val="center"/>
              <w:ind w:left="3608"/>
              <w:spacing w:after="0"/>
              <w:rPr>
                <w:sz w:val="20"/>
                <w:szCs w:val="20"/>
                <w:color w:val="auto"/>
              </w:rPr>
            </w:pPr>
            <w:r>
              <w:rPr>
                <w:rFonts w:ascii="Times New Roman" w:cs="Times New Roman" w:eastAsia="Times New Roman" w:hAnsi="Times New Roman"/>
                <w:sz w:val="14"/>
                <w:szCs w:val="14"/>
                <w:color w:val="auto"/>
                <w:w w:val="85"/>
              </w:rPr>
              <w:t>2</w:t>
            </w:r>
          </w:p>
        </w:tc>
        <w:tc>
          <w:tcPr>
            <w:tcW w:w="740" w:type="dxa"/>
            <w:vAlign w:val="bottom"/>
            <w:tcBorders>
              <w:top w:val="single" w:sz="8" w:color="CCEEFF"/>
            </w:tcBorders>
          </w:tcPr>
          <w:p>
            <w:pPr>
              <w:spacing w:after="0"/>
              <w:rPr>
                <w:sz w:val="24"/>
                <w:szCs w:val="24"/>
                <w:color w:val="auto"/>
              </w:rPr>
            </w:pPr>
          </w:p>
        </w:tc>
        <w:tc>
          <w:tcPr>
            <w:tcW w:w="170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Financial Statements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CRACKER BARREL OLD COUNTRY STORE, INC.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9"/>
              </w:rPr>
              <w:t>(In thousands, except share data)</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8"/>
              </w:rPr>
              <w:t>(Unaudited)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January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August 1,</w:t>
            </w:r>
          </w:p>
        </w:tc>
        <w:tc>
          <w:tcPr>
            <w:tcW w:w="0" w:type="dxa"/>
            <w:vAlign w:val="bottom"/>
          </w:tcPr>
          <w:p>
            <w:pPr>
              <w:spacing w:after="0"/>
              <w:rPr>
                <w:sz w:val="1"/>
                <w:szCs w:val="1"/>
                <w:color w:val="auto"/>
              </w:rPr>
            </w:pPr>
          </w:p>
        </w:tc>
      </w:tr>
      <w:tr>
        <w:trPr>
          <w:trHeight w:val="241"/>
        </w:trPr>
        <w:tc>
          <w:tcPr>
            <w:tcW w:w="8820" w:type="dxa"/>
            <w:vAlign w:val="bottom"/>
            <w:gridSpan w:val="3"/>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182,609</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366,155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1,892,182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1,867,121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 and amortization of capital leases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851,707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1,470,478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1,432,248</w:t>
            </w:r>
          </w:p>
        </w:tc>
        <w:tc>
          <w:tcPr>
            <w:tcW w:w="0" w:type="dxa"/>
            <w:vAlign w:val="bottom"/>
          </w:tcPr>
          <w:p>
            <w:pPr>
              <w:spacing w:after="0"/>
              <w:rPr>
                <w:sz w:val="1"/>
                <w:szCs w:val="1"/>
                <w:color w:val="auto"/>
              </w:rPr>
            </w:pPr>
          </w:p>
        </w:tc>
      </w:tr>
      <w:tr>
        <w:trPr>
          <w:trHeight w:val="21"/>
        </w:trPr>
        <w:tc>
          <w:tcPr>
            <w:tcW w:w="8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82,902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79,628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interest rate swap liability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314,720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interest rate swap liability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 100,000,000 shares of $.01 par value authorized; 300,000 shares designated as Series A Junior</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Participating Preferred Stock; no shares issued</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400,000,000 shares of $.01 par value authorized; 23,923,881 shares issued and outstanding at January</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 2015, and 23,821,227 shares issued and outstanding at August 1, 2014</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44,177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1,470,478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1,432,248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ind w:right="160" w:firstLine="8"/>
        <w:spacing w:after="0" w:line="282" w:lineRule="auto"/>
        <w:tabs>
          <w:tab w:leader="none" w:pos="1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Condensed Consolidated Balance Sheet has been derived from the audited Consolidated Balance Sheet as of August 1, 2014, as filed with the Securities and Exchange Commission in the Company’s Annual Report on Form 10-K for the fiscal year ended August 1, 2014.</w:t>
      </w:r>
    </w:p>
    <w:p>
      <w:pPr>
        <w:sectPr>
          <w:pgSz w:w="11900" w:h="16838" w:orient="portrait"/>
          <w:cols w:equalWidth="0" w:num="1">
            <w:col w:w="11420"/>
          </w:cols>
          <w:pgMar w:left="240" w:top="114"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755,966</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698,491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1,439,394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1,347,632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262,155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484,450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448,944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954,944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898,688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238,742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133,726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263,898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169,758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29,928</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71,221</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58,706</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37,055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81,187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64,215</w:t>
            </w:r>
          </w:p>
        </w:tc>
        <w:tc>
          <w:tcPr>
            <w:tcW w:w="0" w:type="dxa"/>
            <w:vAlign w:val="bottom"/>
          </w:tcPr>
          <w:p>
            <w:pPr>
              <w:spacing w:after="0"/>
              <w:rPr>
                <w:sz w:val="1"/>
                <w:szCs w:val="1"/>
                <w:color w:val="auto"/>
              </w:rPr>
            </w:pPr>
          </w:p>
        </w:tc>
      </w:tr>
      <w:tr>
        <w:trPr>
          <w:trHeight w:val="21"/>
        </w:trPr>
        <w:tc>
          <w:tcPr>
            <w:tcW w:w="5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
        </w:trPr>
        <w:tc>
          <w:tcPr>
            <w:tcW w:w="5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23,914,797</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23,812,777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23,888,496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23,815,107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24,032,389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23,970,611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24,016,913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23,947,850</w:t>
            </w:r>
          </w:p>
        </w:tc>
        <w:tc>
          <w:tcPr>
            <w:tcW w:w="0" w:type="dxa"/>
            <w:vAlign w:val="bottom"/>
          </w:tcPr>
          <w:p>
            <w:pPr>
              <w:spacing w:after="0"/>
              <w:rPr>
                <w:sz w:val="1"/>
                <w:szCs w:val="1"/>
                <w:color w:val="auto"/>
              </w:rPr>
            </w:pPr>
          </w:p>
        </w:tc>
      </w:tr>
      <w:tr>
        <w:trPr>
          <w:trHeight w:val="21"/>
        </w:trPr>
        <w:tc>
          <w:tcPr>
            <w:tcW w:w="5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5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CRACKER BARREL OLD COUNTRY STORE, INC. CONDENSED CONSOLIDATED STATEMENTS OF COMPREHENSIVE INCOME </w:t>
      </w:r>
      <w:r>
        <w:rPr>
          <w:rFonts w:ascii="Times New Roman" w:cs="Times New Roman" w:eastAsia="Times New Roman" w:hAnsi="Times New Roman"/>
          <w:sz w:val="18"/>
          <w:szCs w:val="18"/>
          <w:color w:val="auto"/>
        </w:rPr>
        <w:t>(Unaudited and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47,163</w:t>
            </w:r>
          </w:p>
        </w:tc>
        <w:tc>
          <w:tcPr>
            <w:tcW w:w="1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81,187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income tax (benefit) expense: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(Unaudited and 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8"/>
          </w:tcPr>
          <w:p>
            <w:pPr>
              <w:jc w:val="right"/>
              <w:ind w:right="68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4"/>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81,187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disposition of 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(2,299)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24,606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(15,575)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(13,922)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assets and liabilities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153,066</w:t>
            </w: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(37,788)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insurance recoveries of 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(36,330)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406,250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withheld) and proceeds from issuance of share-based compensation awards,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(4,420)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under long-term debt and other long-term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(406,250)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on common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(47,830)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(53,488)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63,248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119,361</w:t>
            </w:r>
          </w:p>
        </w:tc>
        <w:tc>
          <w:tcPr>
            <w:tcW w:w="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182,609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91,353</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27,264</w:t>
            </w: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Capital expenditures accrued in accounts payable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40" w:type="dxa"/>
            <w:vAlign w:val="bottom"/>
            <w:tcBorders>
              <w:bottom w:val="single" w:sz="8" w:color="CCEEFF"/>
            </w:tcBorders>
            <w:gridSpan w:val="3"/>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deferred tax asset for interest rate swaps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declared but not yet paid</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6" w:name="page7"/>
    <w:bookmarkEnd w:id="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(In thousands, except percentages, share and per share data) (Unaudited)</w:t>
      </w:r>
    </w:p>
    <w:p>
      <w:pPr>
        <w:spacing w:after="0" w:line="19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sheets at January 30, 2015 and August 1, 2014 and the related condensed consolidated statements of income, comprehensive income and cash flows for the quarters and six months ended January 30, 2015 and January 31, 2014, respectively, have been prepared by the Company in accordance with accounting principles generally accepted in the United States of America (“GAAP”) and pursuant to the rules and regulations of the Securities and Exchange Commission (the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notes thereto contained in the Company's Annual Report on Form 10-K for the year ended August 1, 2014 (the “2014 Form 10-K”). The accounting policies used in preparing these condensed consolidated financial statements are the same as described in the 2014 Form 10-K. References to a year in these Notes to Condensed Consolidated Financial Statements are to the Company’s fiscal year unless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Adopted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Reporting Discontinued Operations and Disclosures of Disposals of Components of an Entity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2014, the Financial Accounting Standards Board (“FASB”) issued accounting guidance which changes the criteria for disposals to qualify as discontinued operations and requires new disclosures about disposals of both discontinued operations and certain other disposals that do not meet the new definition. This accounting guidance is effective for fiscal years beginning on or after December 15, 2014 and interim periods within those years on a prospective basis. The Company is currently evaluating the impact of adopting this accounting guidance, but it is not expected to have a significant impact on the Company’s consolidated financial position or results of operations upon adoption in the first quarter of 2016.</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a company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2016 and interim periods within those years. Early application is not permitted. A company may apply this accounting guidance either retrospectively or using the cumulative effect transition method. The Company is currently evaluating the impact of adopting this accounting guidance in the first quarter of 2018.</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assets and liabilities measured at fair value on a recurring basis at January 30, 2015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Observable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asset (see Note 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136,081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136,081</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liability (see Note 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14,590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August 1, 2014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Observable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asset (see Note 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88,630</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liability (see Note 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7,943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money market fund investments.</w:t>
      </w:r>
    </w:p>
    <w:p>
      <w:pPr>
        <w:spacing w:after="0" w:line="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**Represents plan assets invested in mutual funds established under a rabbi trust for the Company’s non-qualified savings plan and is included in the Consolidated Balance Sheets as other assets.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money market fund investments and deferred compensation plan assets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January 30, 2015 and August 1, 2014.</w:t>
      </w:r>
    </w:p>
    <w:p>
      <w:pPr>
        <w:spacing w:after="0" w:line="17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were comprised of the following at: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January 30, 2015</w:t>
            </w:r>
          </w:p>
        </w:tc>
        <w:tc>
          <w:tcPr>
            <w:tcW w:w="10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1, 2014</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40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Restaurant</w:t>
            </w: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22,371</w:t>
            </w:r>
          </w:p>
        </w:tc>
      </w:tr>
      <w:tr>
        <w:trPr>
          <w:trHeight w:val="223"/>
        </w:trPr>
        <w:tc>
          <w:tcPr>
            <w:tcW w:w="20" w:type="dxa"/>
            <w:vAlign w:val="bottom"/>
          </w:tcPr>
          <w:p>
            <w:pPr>
              <w:spacing w:after="0"/>
              <w:rPr>
                <w:sz w:val="19"/>
                <w:szCs w:val="19"/>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140,820</w:t>
            </w:r>
          </w:p>
        </w:tc>
        <w:tc>
          <w:tcPr>
            <w:tcW w:w="8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165,426</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660" w:type="dxa"/>
            <w:vAlign w:val="bottom"/>
            <w:gridSpan w:val="2"/>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45"/>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340" w:type="dxa"/>
            <w:vAlign w:val="bottom"/>
          </w:tcPr>
          <w:p>
            <w:pPr>
              <w:spacing w:after="0"/>
              <w:rPr>
                <w:sz w:val="24"/>
                <w:szCs w:val="24"/>
                <w:color w:val="auto"/>
              </w:rPr>
            </w:pPr>
          </w:p>
        </w:tc>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50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consisted of the following at:</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January 30, 2015</w:t>
            </w:r>
          </w:p>
        </w:tc>
        <w:tc>
          <w:tcPr>
            <w:tcW w:w="18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1, 2014</w:t>
            </w: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expiring on January 8, 2020</w:t>
            </w:r>
          </w:p>
        </w:tc>
        <w:tc>
          <w:tcPr>
            <w:tcW w:w="40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 expiring on July 8, 2016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100" w:type="dxa"/>
            <w:vAlign w:val="bottom"/>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payable on or before July 8, 2016</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Pr>
          <w:p>
            <w:pPr>
              <w:spacing w:after="0"/>
              <w:rPr>
                <w:sz w:val="18"/>
                <w:szCs w:val="18"/>
                <w:color w:val="auto"/>
              </w:rPr>
            </w:pPr>
          </w:p>
        </w:tc>
      </w:tr>
      <w:tr>
        <w:trPr>
          <w:trHeight w:val="21"/>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8, 2015, the Company entered into a five-year $750,000 revolving credit facility (the “2015 Revolving Credit Facility”). The 2015 Revolving Credit Facility replaced a term loan totaling $181,250 and a $218,750 revolving credit facility (“Prior Credit Facility”). In the second quarter of 2015, loan acquisition costs associated with the 2015 Revolving Credit Facility were capitalized in the amount of $3,537 and will be amortized over the five-year term of the 2015 Revolving Credit Facility. Loan acquisition costs of $412 associated with the Prior Credit Facility were written off in the second quarter of 2015 and are recorded in interest expense in the Condensed Consolidated Statement of Income.</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January 30, 2015, the Company had $400,000 of outstanding borrowings under the 2015 Revolving Credit Facility and $11,530 of standby letters of credit, which reduce the Company’s borrowing availability under the 2015 Revolving Credit Facility (see Note 11 for more information on the Company’s standby letters of credit). At January 30, 2015, the Company had $338,470 in borrowing availability under the 2015 Revolving Credit Facility.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2015 Revolving Credit Facility, outstanding borrowings bear interest, at the Company’s election, either at LIBOR or prime plus a percentage point spread based on certain specified financial ratios under the Credit Facility. As of January 30, 2015, the Company’s outstanding borrowings were swapped at a weighted average interest rate of 3.48% (see Note 5 for information on the Company’s interest rate swaps).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Similar to the Prior Credit Facility, the 2015 Revolving Credit Facility contains customary financial covenants, which include maintenance of a maximum consolidated total leverage ratio and a minimum consolidated interest coverage ratio. At January 30, 2015, the Company was in compliance with all debt covenants.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Both the Prior Credit Facility and the 2015 Revolving Credit Facility also impose restrictions on the amount of dividends the Company is permitted to pay and the amount of shares the Company is permitted to repurchase. Under the Prior Credit Facility, if there was no default existing and the total of the Company’s availability under the revolving credit facility plus the Company’s cash and cash equivalents on hand was at least $100,000 (the “liquidity requirements”), the Company could declare and pay cash dividends on shares of its common stock and repurchase shares of its common stock if the aggregate amount of dividends paid and shares repurchased in any fiscal year was less than the sum of (1) 20% of Consolidated EBITDA from continuing operations (as defined in the Prior Credit Facility) (the “20% limitation”) during the immediately preceding fiscal year and (2) provided the Company’s consolidated total leverage ratio was 3.25 to 1.00 or less, $100,000 (less the amount of any share repurchases during the current fiscal year). In any event, as long as the liquidity requirements were met, dividends could be declared and paid in any fiscal year up to the amount of dividends permitted and paid in the preceding fiscal year without regard to the 20% limitation.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2015 Revolving Credit Facility, provided there is no default existing and the total of the Company’s availability under the 2015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18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25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The Company has interest rate risk relative to its outstanding borrowings (see Note 4). The Company’s policy has been to manage interest cost using a mix of fixed and variable rate debt. To manage this risk in a cost efficient manner, the Company uses derivative instruments, specifically interest rate swaps.</w:t>
      </w:r>
    </w:p>
    <w:p>
      <w:pPr>
        <w:spacing w:after="0" w:line="3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January 30, 2015 was 1.25%. All of the Company’s interest rate swaps are accounted for as cash flow hedges.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interest rate swaps at January 30, 2015 is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Term</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Notional</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3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Trade Date</w:t>
            </w:r>
          </w:p>
        </w:tc>
        <w:tc>
          <w:tcPr>
            <w:tcW w:w="100" w:type="dxa"/>
            <w:vAlign w:val="bottom"/>
          </w:tcPr>
          <w:p>
            <w:pPr>
              <w:spacing w:after="0"/>
              <w:rPr>
                <w:sz w:val="20"/>
                <w:szCs w:val="20"/>
                <w:color w:val="auto"/>
              </w:rPr>
            </w:pPr>
          </w:p>
        </w:tc>
        <w:tc>
          <w:tcPr>
            <w:tcW w:w="36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Effective Date</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(in Years)</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Fixed Rate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10, 2010</w:t>
            </w:r>
          </w:p>
        </w:tc>
        <w:tc>
          <w:tcPr>
            <w:tcW w:w="1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July 25, 2011</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25, 2011</w:t>
            </w:r>
          </w:p>
        </w:tc>
        <w:tc>
          <w:tcPr>
            <w:tcW w:w="3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September 19, 2011</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19, 2011</w:t>
            </w:r>
          </w:p>
        </w:tc>
        <w:tc>
          <w:tcPr>
            <w:tcW w:w="3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December 7, 2011</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18, 2013</w:t>
            </w:r>
          </w:p>
        </w:tc>
        <w:tc>
          <w:tcPr>
            <w:tcW w:w="3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April 8, 2013</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15, 2013</w:t>
            </w:r>
          </w:p>
        </w:tc>
        <w:tc>
          <w:tcPr>
            <w:tcW w:w="3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April 22, 2013</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25, 2013</w:t>
            </w:r>
          </w:p>
        </w:tc>
        <w:tc>
          <w:tcPr>
            <w:tcW w:w="3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June 18, 2014</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24, 2014</w:t>
            </w:r>
          </w:p>
        </w:tc>
        <w:tc>
          <w:tcPr>
            <w:tcW w:w="3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5, 2015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3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3, 2019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3, 2019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3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4, 2021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3, 2019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3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4, 2021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notional amount for the interest rate swap entered into on June 18, 2014 increases by $40,000 each May over the four-year term of the interest rate swap beginning in May 2016 until the notional amount reaches $160,000 in May 2018. The notional amounts for the interest rate swaps entered into on June 24, 2014 and July 1, 2014 increase by $30,000 each May over the four-year terms of the interest rate swaps beginning in May 2016 until the notional amounts each reach $120,000 in May 2018.</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values of the Company’s derivative instruments as of January 30, 2015 and August 1, 2014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2)</w:t>
            </w:r>
          </w:p>
        </w:tc>
        <w:tc>
          <w:tcPr>
            <w:tcW w:w="120" w:type="dxa"/>
            <w:vAlign w:val="bottom"/>
          </w:tcPr>
          <w:p>
            <w:pPr>
              <w:spacing w:after="0"/>
              <w:rPr>
                <w:sz w:val="20"/>
                <w:szCs w:val="20"/>
                <w:color w:val="auto"/>
              </w:rPr>
            </w:pPr>
          </w:p>
        </w:tc>
        <w:tc>
          <w:tcPr>
            <w:tcW w:w="43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Balance Sheet Location</w:t>
            </w:r>
          </w:p>
        </w:tc>
        <w:tc>
          <w:tcPr>
            <w:tcW w:w="10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 2014</w:t>
            </w:r>
          </w:p>
        </w:tc>
        <w:tc>
          <w:tcPr>
            <w:tcW w:w="0" w:type="dxa"/>
            <w:vAlign w:val="bottom"/>
          </w:tcPr>
          <w:p>
            <w:pPr>
              <w:spacing w:after="0"/>
              <w:rPr>
                <w:sz w:val="1"/>
                <w:szCs w:val="1"/>
                <w:color w:val="auto"/>
              </w:rPr>
            </w:pPr>
          </w:p>
        </w:tc>
      </w:tr>
      <w:tr>
        <w:trPr>
          <w:trHeight w:val="257"/>
        </w:trPr>
        <w:tc>
          <w:tcPr>
            <w:tcW w:w="20" w:type="dxa"/>
            <w:vAlign w:val="bottom"/>
            <w:tcBorders>
              <w:top w:val="single" w:sz="8" w:color="auto"/>
            </w:tcBorders>
          </w:tcPr>
          <w:p>
            <w:pPr>
              <w:spacing w:after="0"/>
              <w:rPr>
                <w:sz w:val="22"/>
                <w:szCs w:val="22"/>
                <w:color w:val="auto"/>
              </w:rPr>
            </w:pPr>
          </w:p>
        </w:tc>
        <w:tc>
          <w:tcPr>
            <w:tcW w:w="4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442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interest rate swap liability</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Long-term interest rate swap liability</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offsetting of the Company’s derivative assets in the Condensed Consolidated Balance Sheets at January 30, 2015 and August 1,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Net Asset Amount Presented</w:t>
            </w:r>
          </w:p>
        </w:tc>
      </w:tr>
      <w:tr>
        <w:trPr>
          <w:trHeight w:val="24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Gross Asset Amounts</w:t>
            </w:r>
          </w:p>
        </w:tc>
        <w:tc>
          <w:tcPr>
            <w:tcW w:w="120" w:type="dxa"/>
            <w:vAlign w:val="bottom"/>
          </w:tcPr>
          <w:p>
            <w:pPr>
              <w:spacing w:after="0"/>
              <w:rPr>
                <w:sz w:val="20"/>
                <w:szCs w:val="20"/>
                <w:color w:val="auto"/>
              </w:rPr>
            </w:pPr>
          </w:p>
        </w:tc>
        <w:tc>
          <w:tcPr>
            <w:tcW w:w="2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Liability Amount Offset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the Balance Sheets</w:t>
            </w:r>
          </w:p>
        </w:tc>
      </w:tr>
      <w:tr>
        <w:trPr>
          <w:trHeight w:val="198"/>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top w:val="single" w:sz="8" w:color="auto"/>
            </w:tcBorders>
          </w:tcPr>
          <w:p>
            <w:pPr>
              <w:jc w:val="center"/>
              <w:ind w:left="51"/>
              <w:spacing w:after="0" w:line="198" w:lineRule="exact"/>
              <w:rPr>
                <w:sz w:val="20"/>
                <w:szCs w:val="20"/>
                <w:color w:val="auto"/>
              </w:rPr>
            </w:pPr>
            <w:r>
              <w:rPr>
                <w:rFonts w:ascii="Times New Roman" w:cs="Times New Roman" w:eastAsia="Times New Roman" w:hAnsi="Times New Roman"/>
                <w:sz w:val="18"/>
                <w:szCs w:val="18"/>
                <w:color w:val="auto"/>
                <w:w w:val="98"/>
              </w:rPr>
              <w:t>January 30,</w:t>
            </w: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August 1,</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left="92"/>
              <w:spacing w:after="0" w:line="198" w:lineRule="exact"/>
              <w:rPr>
                <w:sz w:val="20"/>
                <w:szCs w:val="20"/>
                <w:color w:val="auto"/>
              </w:rPr>
            </w:pPr>
            <w:r>
              <w:rPr>
                <w:rFonts w:ascii="Times New Roman" w:cs="Times New Roman" w:eastAsia="Times New Roman" w:hAnsi="Times New Roman"/>
                <w:sz w:val="18"/>
                <w:szCs w:val="18"/>
                <w:color w:val="auto"/>
                <w:w w:val="99"/>
              </w:rPr>
              <w:t>August 1,</w:t>
            </w:r>
          </w:p>
        </w:tc>
        <w:tc>
          <w:tcPr>
            <w:tcW w:w="1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top w:val="single" w:sz="8" w:color="auto"/>
            </w:tcBorders>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8"/>
              </w:rPr>
              <w:t>January 30,</w:t>
            </w: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August 1,</w:t>
            </w:r>
          </w:p>
        </w:tc>
        <w:tc>
          <w:tcPr>
            <w:tcW w:w="100" w:type="dxa"/>
            <w:vAlign w:val="bottom"/>
          </w:tcPr>
          <w:p>
            <w:pPr>
              <w:spacing w:after="0"/>
              <w:rPr>
                <w:sz w:val="17"/>
                <w:szCs w:val="17"/>
                <w:color w:val="auto"/>
              </w:rPr>
            </w:pPr>
          </w:p>
        </w:tc>
      </w:tr>
      <w:tr>
        <w:trPr>
          <w:trHeight w:val="241"/>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2)</w:t>
            </w: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10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2014</w:t>
            </w:r>
          </w:p>
        </w:tc>
        <w:tc>
          <w:tcPr>
            <w:tcW w:w="13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offsetting of the Company’s derivative liabilities in the Condensed Consolidated Balance Sheets at January 30, 2015 and August 1,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Net Liability Amount Presented</w:t>
            </w:r>
          </w:p>
        </w:tc>
      </w:tr>
      <w:tr>
        <w:trPr>
          <w:trHeight w:val="24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Gross Liability Amounts</w:t>
            </w:r>
          </w:p>
        </w:tc>
        <w:tc>
          <w:tcPr>
            <w:tcW w:w="120" w:type="dxa"/>
            <w:vAlign w:val="bottom"/>
          </w:tcPr>
          <w:p>
            <w:pPr>
              <w:spacing w:after="0"/>
              <w:rPr>
                <w:sz w:val="20"/>
                <w:szCs w:val="20"/>
                <w:color w:val="auto"/>
              </w:rPr>
            </w:pPr>
          </w:p>
        </w:tc>
        <w:tc>
          <w:tcPr>
            <w:tcW w:w="25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Asset Amount Offset</w:t>
            </w:r>
          </w:p>
        </w:tc>
        <w:tc>
          <w:tcPr>
            <w:tcW w:w="10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 the Balance Sheets</w:t>
            </w:r>
          </w:p>
        </w:tc>
      </w:tr>
      <w:tr>
        <w:trPr>
          <w:trHeight w:val="198"/>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August 1,</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3"/>
          </w:tcPr>
          <w:p>
            <w:pPr>
              <w:jc w:val="center"/>
              <w:ind w:right="415"/>
              <w:spacing w:after="0" w:line="198" w:lineRule="exact"/>
              <w:rPr>
                <w:sz w:val="20"/>
                <w:szCs w:val="20"/>
                <w:color w:val="auto"/>
              </w:rPr>
            </w:pPr>
            <w:r>
              <w:rPr>
                <w:rFonts w:ascii="Times New Roman" w:cs="Times New Roman" w:eastAsia="Times New Roman" w:hAnsi="Times New Roman"/>
                <w:sz w:val="18"/>
                <w:szCs w:val="18"/>
                <w:color w:val="auto"/>
                <w:w w:val="98"/>
              </w:rPr>
              <w:t>January 30,</w:t>
            </w:r>
          </w:p>
        </w:tc>
        <w:tc>
          <w:tcPr>
            <w:tcW w:w="980" w:type="dxa"/>
            <w:vAlign w:val="bottom"/>
            <w:tcBorders>
              <w:top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August 1,</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8"/>
              </w:rPr>
              <w:t>January 30,</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August 1,</w:t>
            </w:r>
          </w:p>
        </w:tc>
        <w:tc>
          <w:tcPr>
            <w:tcW w:w="100" w:type="dxa"/>
            <w:vAlign w:val="bottom"/>
          </w:tcPr>
          <w:p>
            <w:pPr>
              <w:spacing w:after="0"/>
              <w:rPr>
                <w:sz w:val="17"/>
                <w:szCs w:val="17"/>
                <w:color w:val="auto"/>
              </w:rPr>
            </w:pPr>
          </w:p>
        </w:tc>
      </w:tr>
      <w:tr>
        <w:trPr>
          <w:trHeight w:val="241"/>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2)</w:t>
            </w:r>
          </w:p>
        </w:tc>
        <w:tc>
          <w:tcPr>
            <w:tcW w:w="120" w:type="dxa"/>
            <w:vAlign w:val="bottom"/>
          </w:tcPr>
          <w:p>
            <w:pPr>
              <w:spacing w:after="0"/>
              <w:rPr>
                <w:sz w:val="20"/>
                <w:szCs w:val="20"/>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estimated fair value of the Company’s interest rate swap assets and liabilities incorporates the Company’s non-performance risk (see Note 2). The adjustment related to the Company’s non-performance risk at January 30, 2015 and August 1, 2014 resulted in reductions of $741 and $62, respectively, in the fair value of the interest rate swap assets and liabilities. The offset to the interest rate swap assets and liabilities is recorded in accumulated other comprehensive loss (“AOCL”), net of the deferred tax asset, and will be reclassified into earnings over the term of the underlying debt. As of January 30, 2015, the estimated pre-tax portion of AOCL that is expected to be reclassified into earnings over the next twelve months is $4,802. Cash flows related to the interest rate swap are included in interest expense and in operating activities.</w:t>
      </w:r>
    </w:p>
    <w:p>
      <w:pPr>
        <w:spacing w:after="0" w:line="32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pre-tax effects of the Company’s derivative instruments on AOCL for the six months ended January 30, 2015 and the year ended August 1,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Amount of (Loss) Income Recognized in</w:t>
            </w:r>
          </w:p>
        </w:tc>
      </w:tr>
      <w:tr>
        <w:trPr>
          <w:trHeight w:val="241"/>
        </w:trPr>
        <w:tc>
          <w:tcPr>
            <w:tcW w:w="35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AOCL on Derivatives (Effective Portion)</w:t>
            </w:r>
          </w:p>
        </w:tc>
      </w:tr>
      <w:tr>
        <w:trPr>
          <w:trHeight w:val="223"/>
        </w:trPr>
        <w:tc>
          <w:tcPr>
            <w:tcW w:w="35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Six Months Ended</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Year Ended</w:t>
            </w:r>
          </w:p>
        </w:tc>
        <w:tc>
          <w:tcPr>
            <w:tcW w:w="100" w:type="dxa"/>
            <w:vAlign w:val="bottom"/>
          </w:tcPr>
          <w:p>
            <w:pPr>
              <w:spacing w:after="0"/>
              <w:rPr>
                <w:sz w:val="19"/>
                <w:szCs w:val="19"/>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48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532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3,058</w:t>
            </w:r>
          </w:p>
        </w:tc>
      </w:tr>
      <w:tr>
        <w:trPr>
          <w:trHeight w:val="564"/>
        </w:trPr>
        <w:tc>
          <w:tcPr>
            <w:tcW w:w="3500" w:type="dxa"/>
            <w:vAlign w:val="bottom"/>
            <w:tcBorders>
              <w:top w:val="single" w:sz="8" w:color="CCEEFF"/>
            </w:tcBorders>
          </w:tcPr>
          <w:p>
            <w:pPr>
              <w:spacing w:after="0"/>
              <w:rPr>
                <w:sz w:val="24"/>
                <w:szCs w:val="24"/>
                <w:color w:val="auto"/>
              </w:rPr>
            </w:pPr>
          </w:p>
        </w:tc>
        <w:tc>
          <w:tcPr>
            <w:tcW w:w="4820" w:type="dxa"/>
            <w:vAlign w:val="bottom"/>
            <w:tcBorders>
              <w:top w:val="single" w:sz="8" w:color="CCEEFF"/>
            </w:tcBorders>
          </w:tcPr>
          <w:p>
            <w:pPr>
              <w:jc w:val="right"/>
              <w:ind w:right="2459"/>
              <w:spacing w:after="0"/>
              <w:rPr>
                <w:sz w:val="20"/>
                <w:szCs w:val="20"/>
                <w:color w:val="auto"/>
              </w:rPr>
            </w:pPr>
            <w:r>
              <w:rPr>
                <w:rFonts w:ascii="Times New Roman" w:cs="Times New Roman" w:eastAsia="Times New Roman" w:hAnsi="Times New Roman"/>
                <w:sz w:val="14"/>
                <w:szCs w:val="14"/>
                <w:color w:val="auto"/>
              </w:rPr>
              <w:t>11</w:t>
            </w:r>
          </w:p>
        </w:tc>
        <w:tc>
          <w:tcPr>
            <w:tcW w:w="5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3500" w:type="dxa"/>
            <w:vAlign w:val="bottom"/>
            <w:tcBorders>
              <w:bottom w:val="single" w:sz="8" w:color="auto"/>
            </w:tcBorders>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pre-tax effects of the Company’s derivative instruments on income for the quarters and six-month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2015 and January 31,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9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Location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Reclassified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from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8"/>
              </w:rPr>
              <w:t>AOCL into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(Effective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13"/>
          </w:tcPr>
          <w:p>
            <w:pPr>
              <w:jc w:val="center"/>
              <w:ind w:right="240"/>
              <w:spacing w:after="0"/>
              <w:rPr>
                <w:sz w:val="20"/>
                <w:szCs w:val="20"/>
                <w:color w:val="auto"/>
              </w:rPr>
            </w:pPr>
            <w:r>
              <w:rPr>
                <w:rFonts w:ascii="Times New Roman" w:cs="Times New Roman" w:eastAsia="Times New Roman" w:hAnsi="Times New Roman"/>
                <w:sz w:val="18"/>
                <w:szCs w:val="18"/>
                <w:color w:val="auto"/>
              </w:rPr>
              <w:t>Amount of Loss Reclassified from AOCL into Income</w:t>
            </w:r>
          </w:p>
        </w:tc>
      </w:tr>
      <w:tr>
        <w:trPr>
          <w:trHeight w:val="241"/>
        </w:trPr>
        <w:tc>
          <w:tcPr>
            <w:tcW w:w="2980" w:type="dxa"/>
            <w:vAlign w:val="bottom"/>
          </w:tcPr>
          <w:p>
            <w:pPr>
              <w:spacing w:after="0"/>
              <w:rPr>
                <w:sz w:val="20"/>
                <w:szCs w:val="20"/>
                <w:color w:val="auto"/>
              </w:rPr>
            </w:pPr>
          </w:p>
        </w:tc>
        <w:tc>
          <w:tcPr>
            <w:tcW w:w="2980" w:type="dxa"/>
            <w:vAlign w:val="bottom"/>
            <w:tcBorders>
              <w:bottom w:val="single" w:sz="8" w:color="auto"/>
            </w:tcBorders>
          </w:tcPr>
          <w:p>
            <w:pPr>
              <w:jc w:val="center"/>
              <w:ind w:left="1730"/>
              <w:spacing w:after="0"/>
              <w:rPr>
                <w:sz w:val="20"/>
                <w:szCs w:val="20"/>
                <w:color w:val="auto"/>
              </w:rPr>
            </w:pPr>
            <w:r>
              <w:rPr>
                <w:rFonts w:ascii="Times New Roman" w:cs="Times New Roman" w:eastAsia="Times New Roman" w:hAnsi="Times New Roman"/>
                <w:sz w:val="18"/>
                <w:szCs w:val="18"/>
                <w:color w:val="auto"/>
              </w:rPr>
              <w:t>Portion)</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8"/>
              </w:rPr>
              <w:t>(Effective Portion)</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19"/>
                <w:szCs w:val="19"/>
                <w:color w:val="auto"/>
              </w:rPr>
            </w:pPr>
          </w:p>
        </w:tc>
        <w:tc>
          <w:tcPr>
            <w:tcW w:w="238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19"/>
                <w:szCs w:val="19"/>
                <w:color w:val="auto"/>
              </w:rPr>
            </w:pPr>
          </w:p>
        </w:tc>
      </w:tr>
      <w:tr>
        <w:trPr>
          <w:trHeight w:val="198"/>
        </w:trPr>
        <w:tc>
          <w:tcPr>
            <w:tcW w:w="29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8"/>
              </w:rPr>
              <w:t>January 30,</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January 30,</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100" w:type="dxa"/>
            <w:vAlign w:val="bottom"/>
          </w:tcPr>
          <w:p>
            <w:pPr>
              <w:spacing w:after="0"/>
              <w:rPr>
                <w:sz w:val="17"/>
                <w:szCs w:val="17"/>
                <w:color w:val="auto"/>
              </w:rPr>
            </w:pPr>
          </w:p>
        </w:tc>
      </w:tr>
      <w:tr>
        <w:trPr>
          <w:trHeight w:val="241"/>
        </w:trPr>
        <w:tc>
          <w:tcPr>
            <w:tcW w:w="2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9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2,005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4,026</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portion of the fair value of the swaps determined to be ineffective will be recognized currently in earnings. No ineffectiveness has been recorded in the six-month periods ended January 30, 2015 and January 31, 2014.</w:t>
      </w:r>
    </w:p>
    <w:p>
      <w:pPr>
        <w:spacing w:after="0" w:line="15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Shareholders’ Equity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January 30, 2015, the Company issued 102,654 shares of its common stock resulting from the vesting of share-based compensation awards and stock option exercises. Related tax withholding payments on certain share-based compensation awards exceeded proceeds received from the exercise of stock options, which resulted in a net reduction to shareholders’ equity of $4,420.</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January 30, 2015, total share-based compensation expense was $6,330. The excess tax benefit realized upon exercise of share-based compensation awards was $2,299.</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January 30, 2015, the Company paid dividends of $2.00 per share of its common stock and declared a regular dividend of $1.00 per share of its common stock that was paid on February 5, 2015 to shareholders of record on January 16, 2015.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AOCL, net of tax, related to the Company’s interest rate swaps for the six-month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2015 (see Notes 2 and 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AOCL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balance at August 1, 2014</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7"/>
              </w:rPr>
              <w:t>(4,733)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48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9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480" w:type="dxa"/>
            <w:vAlign w:val="bottom"/>
          </w:tcPr>
          <w:p>
            <w:pPr>
              <w:spacing w:after="0"/>
              <w:rPr>
                <w:sz w:val="19"/>
                <w:szCs w:val="19"/>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balance at January 30, 2015</w:t>
            </w: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7"/>
              </w:rPr>
              <w:t>(8,964)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reclassified out of AOCL related to the Company’s interest rate swaps for the quarter and six-month period ended January 30,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w w:val="99"/>
              </w:rPr>
              <w:t>Amount Reclassified from AOCL</w:t>
            </w:r>
          </w:p>
        </w:tc>
        <w:tc>
          <w:tcPr>
            <w:tcW w:w="42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Affected Line Item in the</w:t>
            </w: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Six Months Ended</w:t>
            </w:r>
          </w:p>
        </w:tc>
        <w:tc>
          <w:tcPr>
            <w:tcW w:w="120" w:type="dxa"/>
            <w:vAlign w:val="bottom"/>
          </w:tcPr>
          <w:p>
            <w:pPr>
              <w:spacing w:after="0"/>
              <w:rPr>
                <w:sz w:val="19"/>
                <w:szCs w:val="19"/>
                <w:color w:val="auto"/>
              </w:rPr>
            </w:pPr>
          </w:p>
        </w:tc>
        <w:tc>
          <w:tcPr>
            <w:tcW w:w="42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Condensed Consolidated</w:t>
            </w:r>
          </w:p>
        </w:tc>
      </w:tr>
      <w:tr>
        <w:trPr>
          <w:trHeight w:val="216"/>
        </w:trPr>
        <w:tc>
          <w:tcPr>
            <w:tcW w:w="2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on cash flow hedges: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(2,005)</w:t>
            </w:r>
          </w:p>
        </w:tc>
        <w:tc>
          <w:tcPr>
            <w:tcW w:w="60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(4,016)</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1,549</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57"/>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r>
      <w:tr>
        <w:trPr>
          <w:trHeight w:val="59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312"/>
              <w:spacing w:after="0"/>
              <w:rPr>
                <w:sz w:val="20"/>
                <w:szCs w:val="20"/>
                <w:color w:val="auto"/>
              </w:rPr>
            </w:pPr>
            <w:r>
              <w:rPr>
                <w:rFonts w:ascii="Times New Roman" w:cs="Times New Roman" w:eastAsia="Times New Roman" w:hAnsi="Times New Roman"/>
                <w:sz w:val="14"/>
                <w:szCs w:val="14"/>
                <w:color w:val="auto"/>
              </w:rPr>
              <w:t>12</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21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for the specified periods: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198"/>
        </w:trPr>
        <w:tc>
          <w:tcPr>
            <w:tcW w:w="3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100" w:type="dxa"/>
            <w:vAlign w:val="bottom"/>
          </w:tcPr>
          <w:p>
            <w:pPr>
              <w:spacing w:after="0"/>
              <w:rPr>
                <w:sz w:val="17"/>
                <w:szCs w:val="17"/>
                <w:color w:val="auto"/>
              </w:rPr>
            </w:pPr>
          </w:p>
        </w:tc>
      </w:tr>
      <w:tr>
        <w:trPr>
          <w:trHeight w:val="241"/>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577,558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528,391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1,124,265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1,050,338</w:t>
            </w:r>
          </w:p>
        </w:tc>
      </w:tr>
      <w:tr>
        <w:trPr>
          <w:trHeight w:val="22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178,408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170,100</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315,129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297,294</w:t>
            </w:r>
          </w:p>
        </w:tc>
      </w:tr>
      <w:tr>
        <w:trPr>
          <w:trHeight w:val="257"/>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755,966</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698,491</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1,347,632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compensation is recorded in general and administrative expenses in the accompanying Condensed Consolidated Statements of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was comprised of the following for the specified periods: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market stock units (“MSU Grants”)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MSU Grants issued by the Company are calculated using the treasury stock method. The outstanding stock options, nonvested stock awards and MSU Grants issued by the Company represent the only dilutive effects on diluted consolidated net income per share.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0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reconciles the components of diluted earnings per share computations: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4"/>
                <w:szCs w:val="24"/>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numerator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denominator: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 average shares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23,914,797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23,812,777</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23,888,496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23,815,107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potential dilution: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nonvested stock awards and MSU Grants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157,834</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128,417</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132,743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24,032,389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23,970,611</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24,016,913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23,947,850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2014 and through September 25, 2014, the Company was served with several claims filed as a putative collective action alleging violations of the Fair Labor Standards Act (“FLSA”). The Company believes it has meritorious defenses to these claims and intends to vigorously defend these lawsuits. These proceedings remain in the early stages and include attempts to resolve through mediation. The Company recorded a provision of $600 at October 31, 2014 related to certain claims in one of the lawsuits. At January 30, 2015, the Company recorded an additional provision of $2,150, for a total provision of $2,750, to reflect potential liability related to these lawsuits. No other provision for any potential liability has been made in the condensed consolidated financial statements of the Company related to these proceedings though an adverse outcome could be material to the Company’s results of operations or financial position. See “Item 1. Legal Proceedings” of Part II of this Quarterly Report on Form 10-Q for further information related to these claims.</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Related to its workers’ compensation insurance coverage, the Company is contingently liable pursuant to standby letters of credit as credit guarantees to certain insurers. As of January 30, 2015, the Company had $11,530 of standby letters of credit related to securing reserved claims under workers’ compensation insurance. All standby letters of credit are renewable annually and reduce the Company’s borrowing availability under its 2015 Revolving Credit Facility (see Note 4).</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January 30, 2015, the Company is secondarily liable for lease payments associated with one property. The Company is not aware of any non-performance under this lease arrangement that would result in the Company having to perform in accordance with the terms of this guarantee; and therefore, no provision has been recorded in the Condensed Consolidated Balance Sheets for amounts to be paid in case of non-performance by the primary obligor under such lease arrangement.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enters into certain indemnification agreements in favor of third parties in the ordinary course of business. At January 30, 2015 and January 31, 2014, the Company recorded a liability in the Condensed Consolidated Balance Sheets related to legal costs. The Company believes that the amount recorded is immaterial to the Company’s consolidated results of operations and financial position and that the probability of incurring an actual liability under other indemnification agreements is sufficiently remote so that no additional liability has been recorded in the Condensed Consolidated Balance Sheets.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right="3940"/>
        <w:spacing w:after="0" w:line="286" w:lineRule="auto"/>
        <w:rPr>
          <w:sz w:val="20"/>
          <w:szCs w:val="20"/>
          <w:color w:val="auto"/>
        </w:rPr>
      </w:pPr>
      <w:r>
        <w:rPr>
          <w:rFonts w:ascii="Times New Roman" w:cs="Times New Roman" w:eastAsia="Times New Roman" w:hAnsi="Times New Roman"/>
          <w:sz w:val="18"/>
          <w:szCs w:val="18"/>
          <w:b w:val="1"/>
          <w:bCs w:val="1"/>
          <w:color w:val="auto"/>
        </w:rPr>
        <w:t>ITEM Management's Discussion and Analysis of Financial Condition and Results of Operations 2.</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Cracker Barrel Old Country Store, Inc. and its subsidiaries (collectively, the “Company,” “our” or “we”) are principally engaged in the operation and development in the United States of the Cracker Barrel Old Country StoreÒ (“Cracker Barrel”) concept. At January 30, 2015, we operated 634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1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financial statements and the notes thereto included in the Company’s Annual Report on Form 10-K for the fiscal year ended August 1, 2014 (the “2014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2014 Form 10-K, which is incorporated herein by this reference, as well as the factors described under “Critical Accounting Estimates” on pages 23-26 of this report or, from time to time, in our filings with the Securities and Exchange Commission (“SEC”), press releases and other communications.</w:t>
      </w:r>
    </w:p>
    <w:p>
      <w:pPr>
        <w:spacing w:after="0" w:line="21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the Cracker Barrel brand remains one of the strongest and most differentiated brands in the restaurant industry, and we plan to continue to leverage that strength in 2015 to grow guest sales and profits. Our long-term strategy includes the following:</w:t>
      </w:r>
    </w:p>
    <w:p>
      <w:pPr>
        <w:spacing w:after="0" w:line="189"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core business by increasing our brand’s relevance to customers in order to drive guest traffic and sales in both restaurant and retail, implementing geographic pricing tiers to optimize average check and re-engineering store processes to increase operating margin;</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footprint through continued use of our proven site selection tools, introducing a new and more efficient building and equipment prototype and the selective entry into new markets;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brand by building on the initial success of our licensing business, leveraging our brand strengths into a new fast casual concept and growing our retail business into an omni-channel business.</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four priorities for 2015 are to: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reach of the brand to drive traffic and sales in both our restaurant and retail businesses;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average guest check through the implementation of geographic pricing tiers;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technology and process enhancements to drive store operating margins;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grow our store base with the opening of six new stores.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maintained our focus on the execution of these priorities in the second quarter of 2015. In the second quarter of 2015, we outperformed traffic and restaurant sales of our peers in the Knapp-Track™ Casual Dining Index for the thirteenth consecutive quarter and our comparable store retail sales increased over 3%. We continue to realize the benefits of the new plate presentation initiative which has reduced the number of dishes used in our operations and reduced our labor costs. During the second quarter of 2015, we continued to improve operating margins, opened one new store and commenced construction of our new building and equipment prototype.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our operating results by percentage relationships to total revenue for the quarter and six-month period ended January 30, 2015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72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color w:val="auto"/>
              </w:rPr>
              <w:t>Quarter Ended</w:t>
            </w:r>
          </w:p>
        </w:tc>
        <w:tc>
          <w:tcPr>
            <w:tcW w:w="27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Pr>
          <w:p>
            <w:pPr>
              <w:spacing w:after="0"/>
              <w:rPr>
                <w:sz w:val="20"/>
                <w:szCs w:val="20"/>
                <w:color w:val="auto"/>
              </w:rPr>
            </w:pPr>
          </w:p>
        </w:tc>
      </w:tr>
      <w:tr>
        <w:trPr>
          <w:trHeight w:val="198"/>
        </w:trPr>
        <w:tc>
          <w:tcPr>
            <w:tcW w:w="58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1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16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41"/>
        </w:trPr>
        <w:tc>
          <w:tcPr>
            <w:tcW w:w="5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1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tcPr>
          <w:p>
            <w:pPr>
              <w:spacing w:after="0"/>
              <w:rPr>
                <w:sz w:val="18"/>
                <w:szCs w:val="18"/>
                <w:color w:val="auto"/>
              </w:rPr>
            </w:pPr>
          </w:p>
        </w:tc>
      </w:tr>
      <w:tr>
        <w:trPr>
          <w:trHeight w:val="21"/>
        </w:trPr>
        <w:tc>
          <w:tcPr>
            <w:tcW w:w="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64"/>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0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
        </w:trPr>
        <w:tc>
          <w:tcPr>
            <w:tcW w:w="580" w:type="dxa"/>
            <w:vAlign w:val="bottom"/>
            <w:tcBorders>
              <w:bottom w:val="single" w:sz="8" w:color="auto"/>
            </w:tcBorders>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stores in operation at the beginning and end of the quarters and six-month periods ended January 30, 2015 and January 31, 2014,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Quarter Ended</w:t>
            </w:r>
          </w:p>
        </w:tc>
        <w:tc>
          <w:tcPr>
            <w:tcW w:w="22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1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00" w:type="dxa"/>
            <w:vAlign w:val="bottom"/>
          </w:tcPr>
          <w:p>
            <w:pPr>
              <w:spacing w:after="0"/>
              <w:rPr>
                <w:sz w:val="17"/>
                <w:szCs w:val="17"/>
                <w:color w:val="auto"/>
              </w:rPr>
            </w:pPr>
          </w:p>
        </w:tc>
        <w:tc>
          <w:tcPr>
            <w:tcW w:w="11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220" w:type="dxa"/>
            <w:vAlign w:val="bottom"/>
          </w:tcPr>
          <w:p>
            <w:pPr>
              <w:spacing w:after="0"/>
              <w:rPr>
                <w:sz w:val="17"/>
                <w:szCs w:val="17"/>
                <w:color w:val="auto"/>
              </w:rPr>
            </w:pPr>
          </w:p>
        </w:tc>
        <w:tc>
          <w:tcPr>
            <w:tcW w:w="11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20" w:type="dxa"/>
            <w:vAlign w:val="bottom"/>
          </w:tcPr>
          <w:p>
            <w:pPr>
              <w:spacing w:after="0"/>
              <w:rPr>
                <w:sz w:val="17"/>
                <w:szCs w:val="17"/>
                <w:color w:val="auto"/>
              </w:rPr>
            </w:pPr>
          </w:p>
        </w:tc>
        <w:tc>
          <w:tcPr>
            <w:tcW w:w="11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3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3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3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at beginning of period</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Opened during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at the end of period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 for the second quarter and first six months of 2015 increased 8.2% and 6.8%, respectively, compared to the same periods in the prior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34" w:lineRule="exact"/>
        <w:rPr>
          <w:sz w:val="20"/>
          <w:szCs w:val="20"/>
          <w:color w:val="auto"/>
        </w:rPr>
      </w:pPr>
    </w:p>
    <w:p>
      <w:pPr>
        <w:jc w:val="both"/>
        <w:ind w:right="20" w:firstLine="661"/>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key components of revenue for the quarter and six-month period ended January 30, 2015 as compared to the quarter and six-month period ended January 31,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6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in dollars: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577,558</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528,391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1,124,265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178,408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170,100</w:t>
            </w: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315,129</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297,294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755,966</w:t>
            </w:r>
          </w:p>
        </w:tc>
        <w:tc>
          <w:tcPr>
            <w:tcW w:w="2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698,491</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1,439,394</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1,347,632</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by percentage relationships: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Average unit volumes</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1,775.4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272.2</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497.7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2,273.1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sales increase (decrease):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Restaurant and retail</w:t>
            </w: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Average unit volumes include sales of all stores.</w:t>
      </w:r>
    </w:p>
    <w:p>
      <w:pPr>
        <w:spacing w:after="0" w:line="1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second quarter of 2015, our comparable store restaurant sales increase consisted of a 4.7% guest traffic increase and a 3.2% average check increase for the quarter (including a 2.5% average menu price increase). We believe the increase in guest traffic resulted from the milder winter weather as compared to prior year second quarter, the positive impact of lower gasoline prices on consumer spending and travel and the success of our national advertising. For the second quarter of 2015, our comparable store retail sales increase resulted primarily from strong performance in apparel and accessories and décor merchandise categories and the increase in guest traffic.</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first six months of 2015, our comparable store restaurant sales increase consisted of a 2.8% guest traffic increase and a 2.8% average check increase for the quarter (including a 2.3% average menu price increase). We believe the increase in guest traffic resulted from seasonal menu promotions, the milder winter weather as compared to prior year, the positive impact of lower gasoline prices on consumer spending and travel and the success of our national advertising. For the first six months of 2015, our comparable store retail sales increase resulted primarily from strong performance in apparel and accessories, décor, and bed and bath merchandise categories and the increase in guest traffic.</w:t>
      </w:r>
    </w:p>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Restaurant and retail sales from newly opened stores accounted for the balance of the total revenue increases in the second quarter and first six months of 2015 as compared to the same periods in the prior year.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256" w:lineRule="exact"/>
        <w:rPr>
          <w:sz w:val="20"/>
          <w:szCs w:val="20"/>
          <w:color w:val="auto"/>
        </w:rPr>
      </w:pPr>
    </w:p>
    <w:p>
      <w:pPr>
        <w:jc w:val="both"/>
        <w:ind w:firstLine="664"/>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components of cost of goods sold in dollar amounts and as percentages of revenues for the second quarter and first six months of 2015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color w:val="auto"/>
              </w:rPr>
              <w:t>Quarter Ended</w:t>
            </w:r>
          </w:p>
        </w:tc>
        <w:tc>
          <w:tcPr>
            <w:tcW w:w="240" w:type="dxa"/>
            <w:vAlign w:val="bottom"/>
          </w:tcPr>
          <w:p>
            <w:pPr>
              <w:spacing w:after="0"/>
              <w:rPr>
                <w:sz w:val="20"/>
                <w:szCs w:val="20"/>
                <w:color w:val="auto"/>
              </w:rPr>
            </w:pPr>
          </w:p>
        </w:tc>
        <w:tc>
          <w:tcPr>
            <w:tcW w:w="24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198"/>
        </w:trPr>
        <w:tc>
          <w:tcPr>
            <w:tcW w:w="4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280" w:type="dxa"/>
            <w:vAlign w:val="bottom"/>
          </w:tcPr>
          <w:p>
            <w:pPr>
              <w:spacing w:after="0"/>
              <w:rPr>
                <w:sz w:val="17"/>
                <w:szCs w:val="17"/>
                <w:color w:val="auto"/>
              </w:rPr>
            </w:pPr>
          </w:p>
        </w:tc>
        <w:tc>
          <w:tcPr>
            <w:tcW w:w="1260" w:type="dxa"/>
            <w:vAlign w:val="bottom"/>
            <w:tcBorders>
              <w:top w:val="single" w:sz="8" w:color="auto"/>
            </w:tcBorders>
            <w:gridSpan w:val="3"/>
          </w:tcPr>
          <w:p>
            <w:pPr>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31,</w:t>
            </w:r>
          </w:p>
        </w:tc>
        <w:tc>
          <w:tcPr>
            <w:tcW w:w="160" w:type="dxa"/>
            <w:vAlign w:val="bottom"/>
          </w:tcPr>
          <w:p>
            <w:pPr>
              <w:spacing w:after="0"/>
              <w:rPr>
                <w:sz w:val="17"/>
                <w:szCs w:val="17"/>
                <w:color w:val="auto"/>
              </w:rPr>
            </w:pPr>
          </w:p>
        </w:tc>
      </w:tr>
      <w:tr>
        <w:trPr>
          <w:trHeight w:val="241"/>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 dollars: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317,160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290,978</w:t>
            </w:r>
          </w:p>
        </w:tc>
      </w:tr>
      <w:tr>
        <w:trPr>
          <w:trHeight w:val="22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94,633</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167,290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157,966</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262,155</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243,015</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448,944</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by percentage of revenue: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w:t>
            </w:r>
          </w:p>
        </w:tc>
      </w:tr>
      <w:tr>
        <w:trPr>
          <w:trHeight w:val="21"/>
        </w:trPr>
        <w:tc>
          <w:tcPr>
            <w:tcW w:w="5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increases in restaurant cost of goods sold as a percentage of restaurant revenue in the second quarter and first six months of 2015 as compared to the same periods in the prior year were primarily due to commodity inflation and a shift to higher cost menu items partially offset by our menu price increase referenced above and lower food waste. Higher cost menu items accounted for increases of 0.4% and 0.3%, respectively, in restaurant cost of goods sold as a percentage of restaurant revenue for the second quarter and first six months of 2015 as compared to the same periods in the prior year. Lower food waste accounted for decreases of 0.5% and 0.2%, respectively, in restaurant cost of goods sold as a percentage of restaurant revenue for the second quarter and first six months of 2015 as compared to the same periods in the prior year. Commodity inflation was 4.0% and 3.8%, respectively, in the second quarter and first six months of 2015.</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presently expect the rate of commodity inflation to be approximately 3.5% to 4.0% for 2015.</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retail cost of goods sold as a percentage of retail revenue in the second quarter of 2015 as compared to the prior year quarter resulted from lower markdowns, lower freight and lower damages and vendor allowances partially offset by lower initial markup on merchandise and an increase in the provision for obsolete inventory.</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Second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(Decrease) Increase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98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Percentage of Retail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Markdowns</w:t>
            </w:r>
          </w:p>
        </w:tc>
        <w:tc>
          <w:tcPr>
            <w:tcW w:w="25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Freight</w:t>
            </w:r>
          </w:p>
        </w:tc>
        <w:tc>
          <w:tcPr>
            <w:tcW w:w="4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Damages and vendor allowances</w:t>
            </w:r>
          </w:p>
        </w:tc>
        <w:tc>
          <w:tcPr>
            <w:tcW w:w="4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Lower initial markup on merchandise</w:t>
            </w:r>
          </w:p>
        </w:tc>
        <w:tc>
          <w:tcPr>
            <w:tcW w:w="4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4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retail cost of goods sold as a percentage of retail revenue in the first six months of 2015 remained flat as compared to the same period in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and Related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Labor and related expenses include all direct and indirect labor and related costs incurred in store operations. Labor and related expenses as a percentage of total revenue decreased to 33.3% in the second quarter of 2015 as compared to 34.2% in the second quarter of 2014. This percentage change resulted primarily from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Second Quarter</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(Decrease) Increase as a</w:t>
            </w:r>
          </w:p>
        </w:tc>
        <w:tc>
          <w:tcPr>
            <w:tcW w:w="56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hourly labor</w:t>
            </w:r>
          </w:p>
        </w:tc>
        <w:tc>
          <w:tcPr>
            <w:tcW w:w="404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Store management compensation</w:t>
            </w:r>
          </w:p>
        </w:tc>
        <w:tc>
          <w:tcPr>
            <w:tcW w:w="6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 expense</w:t>
            </w:r>
          </w:p>
        </w:tc>
        <w:tc>
          <w:tcPr>
            <w:tcW w:w="6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Store incentive compensation expense</w:t>
            </w:r>
          </w:p>
        </w:tc>
        <w:tc>
          <w:tcPr>
            <w:tcW w:w="6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560" w:type="dxa"/>
            <w:vAlign w:val="bottom"/>
          </w:tcPr>
          <w:p>
            <w:pPr>
              <w:spacing w:after="0"/>
              <w:rPr>
                <w:sz w:val="20"/>
                <w:szCs w:val="20"/>
                <w:color w:val="auto"/>
              </w:rPr>
            </w:pPr>
          </w:p>
        </w:tc>
      </w:tr>
      <w:tr>
        <w:trPr>
          <w:trHeight w:val="579"/>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40" w:type="dxa"/>
            <w:vAlign w:val="bottom"/>
          </w:tcPr>
          <w:p>
            <w:pPr>
              <w:jc w:val="right"/>
              <w:ind w:right="2654"/>
              <w:spacing w:after="0"/>
              <w:rPr>
                <w:sz w:val="20"/>
                <w:szCs w:val="20"/>
                <w:color w:val="auto"/>
              </w:rPr>
            </w:pPr>
            <w:r>
              <w:rPr>
                <w:rFonts w:ascii="Times New Roman" w:cs="Times New Roman" w:eastAsia="Times New Roman" w:hAnsi="Times New Roman"/>
                <w:sz w:val="14"/>
                <w:szCs w:val="14"/>
                <w:color w:val="auto"/>
              </w:rPr>
              <w:t>18</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
        </w:trPr>
        <w:tc>
          <w:tcPr>
            <w:tcW w:w="580" w:type="dxa"/>
            <w:vAlign w:val="bottom"/>
            <w:tcBorders>
              <w:bottom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40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Labor and related expenses as a percentage of total revenue decreased to 34.3% in the first six months of 2015 as compared to 35.3% in the same period in the prior year. This percentage change resulted primarily from the following:</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First Six Months</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(Decrease) Increase as a</w:t>
            </w:r>
          </w:p>
        </w:tc>
      </w:t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hourly labor</w:t>
            </w:r>
          </w:p>
        </w:tc>
        <w:tc>
          <w:tcPr>
            <w:tcW w:w="26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Store management compensation</w:t>
            </w:r>
          </w:p>
        </w:tc>
        <w:tc>
          <w:tcPr>
            <w:tcW w:w="4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 expense</w:t>
            </w:r>
          </w:p>
        </w:tc>
        <w:tc>
          <w:tcPr>
            <w:tcW w:w="4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Store incentive compensation expense</w:t>
            </w:r>
          </w:p>
        </w:tc>
        <w:tc>
          <w:tcPr>
            <w:tcW w:w="4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r>
    </w:tbl>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decreases in store hourly labor costs as a percentage of total revenue for the second quarter and first six months of 2015 as compared to the same periods in the prior year resulted from menu price increases being higher than wage inflation and improved productivity driven by the successful implementation of labor savings initiatives in the first quarter of 2015.</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decreases in store management compensation expense as a percentage of total revenue for the second quarter and first six months of 2015 as compared to the same periods in the prior year resulted primarily from the increases in revenue in the second quarter and first six months of 2015 as compared to the prior year periods.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decreases in payroll tax expense as a percentage of total revenue for the second quarter and first six months of 2015 as compared to the same periods in the prior year resulted primarily from lower unemployment tax rates.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increases in store incentive compensation expense as a percentage of total revenue for the second quarter and first six months of 2015 as compared to the same periods in the prior year reflected better performance against financial objectives in 2015 as compared to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Store Operating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store manager conference.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store operating expenses as a percentage of total revenue decreased to 17.7% in the second quarter of 2015 as compared to 18.3% in the second quarter of 2014. This percentage change resulted primarily from the following:</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Second Quarter</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(Decrease) Increase as a</w:t>
            </w:r>
          </w:p>
        </w:tc>
      </w:tr>
      <w:tr>
        <w:trPr>
          <w:trHeight w:val="24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expense</w:t>
            </w:r>
          </w:p>
        </w:tc>
        <w:tc>
          <w:tcPr>
            <w:tcW w:w="32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Utilities expense</w:t>
            </w:r>
          </w:p>
        </w:tc>
        <w:tc>
          <w:tcPr>
            <w:tcW w:w="5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 expense</w:t>
            </w:r>
          </w:p>
        </w:tc>
        <w:tc>
          <w:tcPr>
            <w:tcW w:w="5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w:t>
            </w:r>
          </w:p>
        </w:tc>
        <w:tc>
          <w:tcPr>
            <w:tcW w:w="5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r>
    </w:tbl>
    <w:p>
      <w:pPr>
        <w:spacing w:after="0" w:line="2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Other store operating expenses as a percentage of total revenue decreased to 18.3% in the first six months of 2015 as compared to 18.8% in the same period in the prior year. This percentage change resulted primarily from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First Six Months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6500" w:type="dxa"/>
            <w:vAlign w:val="bottom"/>
            <w:gridSpan w:val="3"/>
          </w:tcPr>
          <w:p>
            <w:pPr>
              <w:jc w:val="center"/>
              <w:ind w:left="3956"/>
              <w:spacing w:after="0"/>
              <w:rPr>
                <w:sz w:val="20"/>
                <w:szCs w:val="20"/>
                <w:color w:val="auto"/>
              </w:rPr>
            </w:pPr>
            <w:r>
              <w:rPr>
                <w:rFonts w:ascii="Times New Roman" w:cs="Times New Roman" w:eastAsia="Times New Roman" w:hAnsi="Times New Roman"/>
                <w:sz w:val="18"/>
                <w:szCs w:val="18"/>
                <w:color w:val="auto"/>
              </w:rPr>
              <w:t>(Decrease) as a Percentage</w:t>
            </w:r>
          </w:p>
        </w:tc>
        <w:tc>
          <w:tcPr>
            <w:tcW w:w="56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Total Revenue</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expense</w:t>
            </w:r>
          </w:p>
        </w:tc>
        <w:tc>
          <w:tcPr>
            <w:tcW w:w="4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Store manager conference expense</w:t>
            </w:r>
          </w:p>
        </w:tc>
        <w:tc>
          <w:tcPr>
            <w:tcW w:w="6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20"/>
                <w:szCs w:val="20"/>
                <w:color w:val="auto"/>
              </w:rPr>
            </w:pPr>
          </w:p>
        </w:tc>
      </w:tr>
      <w:tr>
        <w:trPr>
          <w:trHeight w:val="579"/>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00" w:type="dxa"/>
            <w:vAlign w:val="bottom"/>
          </w:tcPr>
          <w:p>
            <w:pPr>
              <w:jc w:val="right"/>
              <w:ind w:right="2796"/>
              <w:spacing w:after="0"/>
              <w:rPr>
                <w:sz w:val="20"/>
                <w:szCs w:val="20"/>
                <w:color w:val="auto"/>
              </w:rPr>
            </w:pPr>
            <w:r>
              <w:rPr>
                <w:rFonts w:ascii="Times New Roman" w:cs="Times New Roman" w:eastAsia="Times New Roman" w:hAnsi="Times New Roman"/>
                <w:sz w:val="14"/>
                <w:szCs w:val="14"/>
                <w:color w:val="auto"/>
              </w:rPr>
              <w:t>19</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
        </w:trPr>
        <w:tc>
          <w:tcPr>
            <w:tcW w:w="58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43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decreases in maintenance expense as a percentage of total revenue for the second quarter and first six months of 2015 as compared to the same periods in the prior year resulted primarily from reductions in snow removal costs and lighting related maintenance.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utilities expense as a percentage of total revenue for the second quarter of 2015 as compared to the same period in the prior year resulted primarily from lower gas costs due to milder winter weather.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supplies expense as a percentage of total revenue for the second quarter of 2015 as compared to the same period in the prior year resulted primarily from the increase in revenue partially offset by increases in to-go supplies resulting from an increase in the volume of to-go revenue and disposable supplies.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advertising expense as a percentage of total revenue for the second quarter of 2015 as compared to the same period in the prior year resulted from an increase in online media spending. We plan to spend approximately 2.5% of our total revenue on advertising in 2015 as compared to 2.4% of total revenue in 2014.</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2014, we held a manager conference which was attended by our store operations management team. We did not hold a manager’s conference in the first six months of 2015 and we expect to hold our next conference in the first quarter of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as a percentage of total revenue increased to 4.9% in the second quarter of 2015 as compared to 4.3% in the second quarter of 2014. This percentage change resulted primarily from the following:</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Second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Increase (Decrease)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5120" w:type="dxa"/>
            <w:vAlign w:val="bottom"/>
            <w:gridSpan w:val="3"/>
          </w:tcPr>
          <w:p>
            <w:pPr>
              <w:jc w:val="center"/>
              <w:ind w:left="2510"/>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compensation expense</w:t>
            </w:r>
          </w:p>
        </w:tc>
        <w:tc>
          <w:tcPr>
            <w:tcW w:w="28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Litigation accrual</w:t>
            </w:r>
          </w:p>
        </w:tc>
        <w:tc>
          <w:tcPr>
            <w:tcW w:w="5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5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as a percentage of total revenue decreased to 4.9% in the first six months of 2015 as compared to 5.0% in the same period in the prior year. This percentage change resulted primarily from the following:</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First 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(Decrease) Increase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4840" w:type="dxa"/>
            <w:vAlign w:val="bottom"/>
            <w:gridSpan w:val="3"/>
          </w:tcPr>
          <w:p>
            <w:pPr>
              <w:jc w:val="center"/>
              <w:ind w:left="2230"/>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contest expenses in the prior year</w:t>
            </w:r>
          </w:p>
        </w:tc>
        <w:tc>
          <w:tcPr>
            <w:tcW w:w="25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4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accrual</w:t>
            </w:r>
          </w:p>
        </w:tc>
        <w:tc>
          <w:tcPr>
            <w:tcW w:w="4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Incentive compensation expense</w:t>
            </w:r>
          </w:p>
        </w:tc>
        <w:tc>
          <w:tcPr>
            <w:tcW w:w="4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Higher incentive compensation in the second quarter and first six months of 2015 as compared to the same periods in the prior year resulted primarily from better performance against financial objectives as compared to the prior year and an increase in the price of our common stock in 2015.</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an accrual of an additional $2,150 provision in the second quarter of 2015, for a total of $2,750 for the first six months of 2015, related to the potential liability associated with the previously disclosed Fair Labor Standards Act (“FLSA”) litigation. See Note 11 to our Condensed Consolidated Financial Statements and “Item 1. Legal Proceedings” of Part II of this Quarterly Report on Form 10-Q for further information related to the FLSA litigation.</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Lower payroll and related expenses in the second quarter and first six months of 2015 as compared to the same periods in the prior year resulted primarily from a reduction in employee health care costs and the increase in revenue.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first six months of 2014, we incurred $3,200 in costs related to our contested proxy.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for the second quarter of 2015 was $4,684 as compared to $4,471 in the second quarter of 2014. Interest expense for the first six months of 2015 was $9,108 as compared to $8,878 in the same period in the prior year. Both increases resulted primarily from costs related to our debt refinancing in the second quarter of 2015 partially offset by a reduction in our credit spread by 0.25% as a result of entering into the new credit facility. As part of our debt refinancing, we incurred additional interest expense of $412 related to the write-off of deferred financing costs. See the discussion below under “Borrowing Capacity and Debt Covenants” for further information on our debt refinancing.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Provision for income taxes as a percentage of income before income taxes (the “effective tax rate”) was 29.1% and 31.7%, respectively in the second quarters of 2015 and 2014. The effective tax rate was 30.9% and 31.7%, respectively, in the first six months of 2015 and 2014. The decreases in the effective tax rate from the second quarter and first six months of 2014 to the second quarter and first six months of 2015 resulted primarily from the impact of the retroactive reinstatement of the Work Opportunity Tax Credit through December 31, 2014. As a result, in the second quarter of 2015, we recorded a credit totaling $3,117. Of this amount, $2,319 related to credits for the period from January 1, 2014 through August 1, 2014 and $798 related to 2015. We presently expect our effective tax rate for 2015 to be between 31% and 32%.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operations and our borrowing capacity under our $750,000 revolving credit facility (the “2015 Revolving Credit Facility”). Our internally generated cash, along with cash on hand at August 1, 2014, was sufficient to finance all of our growth, dividend payments, working capital needs and other cash payment obligations in the second quarter of 2015.</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cash on hand at January 30, 2015, along with cash generated from our operating activities and the borrowing capacity under our Revolving Credit Facility will be sufficient to finance our continuing operations, our continuing expansion plans, our share repurchase plans and our expected dividend payments for at least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Generated From Operations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activities provided net cash of $153,066 for the second quarter of 2015, which represented an increase from the $62,905 net cash provided during the second quarter of 2014. This increase primarily reflected lower retail inventory, higher net income, the timing of payments for estimated income taxes and lower accounts payable disbursements.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Capacity and Debt Covenants</w:t>
      </w:r>
    </w:p>
    <w:p>
      <w:pPr>
        <w:spacing w:after="0" w:line="25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On January 8, 2015, we entered into a five-year $750,000 revolving credit facility. The 2015 Revolving Credit Facility replaced a term loan totaling $181,250 and a $218,750 revolving credit facility (“Prior Credit Facility”). At January 30, 2015, we had $400,000 of outstanding borrowings under the 2015 Revolving Credit Facility and we had $11,530 of standby letters of credit related to securing reserved claims under workers’ compensation insurance which reduce our borrowing availability under the 2015 Revolving Credit Facility. At January 30, 2015, we had $338,470 in borrowing availability under our 2015 Revolving Credit Facility. See Note 4 to our Condensed Consolidated Financial Statements for further information on our long-term debt.</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Similar to the Prior Credit Facility, the 2015 Revolving Credit Facility contains customary financial covenants, which include maintenance of a maximum consolidated total leverage ratio and a minimum consolidated interest coverage ratio. We presently are in compliance with all financial covenants.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56" w:lineRule="exact"/>
        <w:rPr>
          <w:sz w:val="20"/>
          <w:szCs w:val="20"/>
          <w:color w:val="auto"/>
        </w:rPr>
      </w:pPr>
    </w:p>
    <w:p>
      <w:pPr>
        <w:jc w:val="both"/>
        <w:ind w:firstLine="735"/>
        <w:spacing w:after="0" w:line="255" w:lineRule="auto"/>
        <w:rPr>
          <w:sz w:val="20"/>
          <w:szCs w:val="20"/>
          <w:color w:val="auto"/>
        </w:rPr>
      </w:pPr>
      <w:r>
        <w:rPr>
          <w:rFonts w:ascii="Times New Roman" w:cs="Times New Roman" w:eastAsia="Times New Roman" w:hAnsi="Times New Roman"/>
          <w:sz w:val="18"/>
          <w:szCs w:val="18"/>
          <w:color w:val="auto"/>
        </w:rPr>
        <w:t>Capital expenditures (purchase of property and equipment) net of proceeds from insurance recoveries were $37,647 for the first six months of 2015 as compared to $38,468 for the same period in the prior year. Our capital expenditures consisted primarily of capital expenditures for maintenance programs and costs of new store locations. We estimate that our capital expenditures during 2015 will be approximately $100,000. This estimate includes the acquisition of sites and construction costs of approximately six new stores that have opened or are expected to open during 2015, as well as for acquisition and construction costs for store locations to be opened in 2016. We also expect to increase capital expenditures for maintenance programs related to our aging store base and technology and operations improvements, which are intended to improve the guest experience and improve margins. We intend to fund our capital expenditures with cash flows from operations and borrowings under our 2015 Revolving Credit Facility, as necessary.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Share Repurchases and Share-Based Compensation Awards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Both the Prior Credit Facility and the 2015 Revolving Credit Facility impose restrictions on the amount of dividends we are permitted to pay and the amount of shares we are permitted to repurchase. Under the Prior Credit Facility, if there was no default existing and the total of our availability under the Revolving Credit Facility plus our cash and cash equivalents on hand was at least $100,000 (the “liquidity requirements”), we could declare and pay cash dividends on shares of our common stock and repurchase shares of our common stock if the aggregate amount of dividends paid and shares repurchased during any fiscal year was less than the sum of (1) 20% of Consolidated EBITDA from continuing operations (as defined in the Credit Facility) (the “20% limitation”) during the immediately preceding fiscal year and (2) provided our consolidated total leverage ratio was 3.25 to 1.00 or less, $100,000 (less the amount of any share repurchases during the current fiscal year). In any event, as long as the liquidity requirements were met, dividends could be declared and paid in any fiscal year up to the amount of dividends permitted and paid in the preceding fiscal year without regard to the 20% limitation.</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2015 Revolving Credit Facility, provided there is no default existing and the total of our availability under the 2015 Revolving Credit Facility plus our cash and cash equivalents on hand is at least $100,000 (the “cash availability”), we may declare and pay cash dividends on shares of our common stock and repurchase shares of our common stock (1) in an unlimited amount if at the time of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2015, we paid dividends of $2.00 per share, or an aggregate of $47,830. During the second quarter of 2015, we declared a dividend of $1.00 per share that was paid on February 5, 2015 to shareholders of record on January 16, 2015.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been authorized by our Board of Directors to repurchase shares at management’s discretion up to $25,000 during 2015. We did not repurchase any shares during the first six months of 2015.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first six months of 2015, we issued 102,654 shares of our common stock resulting from the vesting of share-based compensation awards and stock option exercises. Related tax withholding payments on certain share-based compensation awards exceeded proceeds received from the exercise of stock options, which resulted in a net use of cash of $4,420.</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restaurant industry, virtually all sales are either for cash or first-party credit or debit card.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 business, we carry larger inventories than many other companies in the restaurant industry. Retail inventories purchased domestically are generally financed from normal trade credit, while imported retail inventories are generally purchased through wire transfers. These various trade terms are aided by the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positive working capital of $51,435 at January 30, 2015 versus negative working capital of $14,789 at August 1, 2014. Working capital increased from August 1, 2014 primarily because of an increase in cash generated from operations and a decrease in our current maturities on our long-term debt due to our debt refinancing partially offset by a net decrease in working capital related to the increase in sales of our gift cards during the holiday shopping season.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2014 Form 10-K for additional information regarding our operating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material commitments other than in the ordinary course of business since the end of 2014. Refer to the sub-section entitled “Material Commitments” under the section entitled “Liquidity and Capital Resources” presented in the MD&amp;A of our 2014 Form 10-K for additional information regarding our material commitments.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Note 2 to the Consolidated Financial Statements contained in the 2014 Form 10-K. Judgments and uncertainties affecting the application of those policies may result in materially different amounts being reported under different conditions or using different assumptions.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are most important to the accurate portrayal of both our financial condition and operating results, and</w:t>
      </w:r>
    </w:p>
    <w:p>
      <w:pPr>
        <w:spacing w:after="0" w:line="27" w:lineRule="exact"/>
        <w:rPr>
          <w:rFonts w:ascii="Times New Roman" w:cs="Times New Roman" w:eastAsia="Times New Roman" w:hAnsi="Times New Roman"/>
          <w:sz w:val="18"/>
          <w:szCs w:val="18"/>
          <w:color w:val="auto"/>
        </w:rPr>
      </w:pPr>
    </w:p>
    <w:p>
      <w:pPr>
        <w:ind w:left="1000" w:hanging="330"/>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management’s most difficult, subjective or complex judgments, often as a result of the need to make estimates about the effect of matters that are inherently uncertain.</w:t>
      </w:r>
    </w:p>
    <w:p>
      <w:pPr>
        <w:spacing w:after="0" w:line="20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consider the following accounting estimates to be most critical in understanding the judgments that are involved in preparing our Consolidated Financial Statements:</w:t>
      </w:r>
    </w:p>
    <w:p>
      <w:pPr>
        <w:spacing w:after="0" w:line="189" w:lineRule="exact"/>
        <w:rPr>
          <w:sz w:val="20"/>
          <w:szCs w:val="20"/>
          <w:color w:val="auto"/>
        </w:rPr>
      </w:pPr>
    </w:p>
    <w:p>
      <w:pPr>
        <w:ind w:left="1000" w:hanging="330"/>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 and Provision for Asset Dispositions</w:t>
      </w:r>
    </w:p>
    <w:p>
      <w:pPr>
        <w:spacing w:after="0" w:line="27"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Reserves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1000" w:hanging="330"/>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Inventory Valuation</w:t>
      </w:r>
    </w:p>
    <w:p>
      <w:pPr>
        <w:spacing w:after="0" w:line="27"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Provision</w:t>
      </w:r>
    </w:p>
    <w:p>
      <w:pPr>
        <w:spacing w:after="0" w:line="9"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w:t>
      </w:r>
    </w:p>
    <w:p>
      <w:pPr>
        <w:spacing w:after="0" w:line="9"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reviewed these critical accounting estimates and related disclosures with the Audit Committee of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made any material changes in our methodology for assessing impairments during the first six months of 2015,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self-insure a significant portion of our expected workers’ compensation and general liability insurance programs. We purchase insurance for individual workers’ compensation claims that exceed $250, $500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incidence or settlement of individual large claims during the interim periods between actuarial studies as another means of estimating the adequacy of our reserves.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Additionally, we record a liability for unpaid prescription drug claims based on historical experience. The fully-insured portion of our health insurance program contains a retrospective feature which could increase or decrease premiums based on actual claims experience.</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six months of 2015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Inventory Valuation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made any material changes in the methodologies, estimates or assumptions related to our merchandise inventories during the first six months of 2015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Provision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13 to our Consolidated Financial Statements contained in the 2014 Form 10-K for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share-based compensation consists of nonvested stock awards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Beginning in 2014, our share-based compensation awards accrue dividends. Dividends will be forfeited for any share-based compensation awards that do not vest.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the fair value of each nonvested stock award that does not accrue dividends is equal to the market price of our common stock at the date of grant reduced by the present value of expected dividends to be paid prior to the vesting period, discounted using an appropriate risk-free interest rate. Other nonvested stock awards accrue dividends and their fair value is equal to the market price of our stock at the date of grant.</w:t>
      </w:r>
    </w:p>
    <w:p>
      <w:pPr>
        <w:spacing w:after="0" w:line="203"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to providing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0" w:lineRule="exact"/>
        <w:rPr>
          <w:sz w:val="20"/>
          <w:szCs w:val="20"/>
          <w:color w:val="auto"/>
        </w:rPr>
      </w:pPr>
    </w:p>
    <w:p>
      <w:pPr>
        <w:ind w:left="980" w:right="2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a blend of implied volatility based on market-traded options on our stock and historical volatility of our stock over the period commensurate with the three-year performance period.</w:t>
      </w: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rate assumption commensurate with the three-year performance period.</w:t>
      </w:r>
    </w:p>
    <w:p>
      <w:pPr>
        <w:spacing w:after="0" w:line="9"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based on our current dividend yield as the best estimate of projected dividend yield for periods within the three-year performance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update the historical and implied components of the expected volatility assumption when new grants are made.</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made any material changes in our estimates or assumptions used to determine share-based compensation during the first six months of 2015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parties to various legal and regulatory proceedings and claims incidental to our business from time to time. We review outstanding claims and proceedings internally and with external counsel, as necessary and appropriate,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Although we believe that the judgments and estimates used in establishing our legal reserves are reasonable, an unsuccessful legal proceeding or a settlement could result in material adjustments to our Condensed Consolidated Financial Statements and our consolidated financial position (see Note 11 to our Condensed Consolidated Financial Statements and “Item 1. Legal Proceedings” of Part II of this Quarterly Report on Form 10-Q for further information).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Part II, Item 7A of the 2014 Form 10-K is incorporated in this item of this Quarterly Report on Form 10-Q by this reference. There have been no material changes in our quantitative and qualitative market risks since August 1, 2014.</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January 30, 2015, our disclosure controls and procedures were effective for the purposes set forth in the definition thereof in Exchange Act Rule 13a-15(e).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(including corrective actions with regard to significant deficiencies and material weaknesses) during the quarter ended January 30, 2015 in our internal control over financial reporting (as defined in Exchange Act Rule 13a-15(f)) that have materially affected, or are reasonably likely to materially affect, our internal control over financial reporting.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FLSA Litigation</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April 11, 2014, a putative collective action under the Fair Labor Standards Act (“FLSA”) was filed in the United States District Court for the Northern District of New York, </w:t>
      </w:r>
      <w:r>
        <w:rPr>
          <w:rFonts w:ascii="Times New Roman" w:cs="Times New Roman" w:eastAsia="Times New Roman" w:hAnsi="Times New Roman"/>
          <w:sz w:val="18"/>
          <w:szCs w:val="18"/>
          <w:i w:val="1"/>
          <w:iCs w:val="1"/>
          <w:color w:val="auto"/>
        </w:rPr>
        <w:t>Proper v. Cracker Barrel Old Country Store, Inc.</w:t>
      </w:r>
      <w:r>
        <w:rPr>
          <w:rFonts w:ascii="Times New Roman" w:cs="Times New Roman" w:eastAsia="Times New Roman" w:hAnsi="Times New Roman"/>
          <w:sz w:val="18"/>
          <w:szCs w:val="18"/>
          <w:color w:val="auto"/>
        </w:rPr>
        <w:t xml:space="preserve">, in which the named plaintiff is challenging the Company’s classification of associate managers as being exempt from the minimum wage and overtime requirements and is asserting various New York state law wage notice claims. Two other putative collective action suits alleging claims under the FLSA, </w:t>
      </w:r>
      <w:r>
        <w:rPr>
          <w:rFonts w:ascii="Times New Roman" w:cs="Times New Roman" w:eastAsia="Times New Roman" w:hAnsi="Times New Roman"/>
          <w:sz w:val="18"/>
          <w:szCs w:val="18"/>
          <w:i w:val="1"/>
          <w:iCs w:val="1"/>
          <w:color w:val="auto"/>
        </w:rPr>
        <w:t>Hill and Hernandez v. Cracker Barrel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Perzan et al. v. Cracker Barrel</w:t>
      </w:r>
      <w:r>
        <w:rPr>
          <w:rFonts w:ascii="Times New Roman" w:cs="Times New Roman" w:eastAsia="Times New Roman" w:hAnsi="Times New Roman"/>
          <w:sz w:val="18"/>
          <w:szCs w:val="18"/>
          <w:color w:val="auto"/>
        </w:rPr>
        <w:t xml:space="preserve">, were filed in the United States District Courts for the Middle District of Florida in August 2014 and for the District of Massachusetts in September 2014, respectively. These lawsuits assert essentially duplicative claims under select state laws challenging the same exempt classification of associate managers. The plaintiffs in these lawsuits seek an unspecified amount of alleged back wages, liquidated damages, statutory damages and attorneys' fees. Unlike a class action, a collective action requires potential class members to “opt in” rather than “opt out”. If any of these putative collection actions is conditionally certified, the Company would have an opportunity to seek to have the class de-certified and/or seek to have the case dismissed on its merits. We believe that we have meritorious defenses to all of the claims raised in these three lawsuits, and accordingly plan to defend them vigorously. All of these proceedings, including attempts to resolve through mediation, remain in the early stages with significant uncertainty as to factual issues, outcome of legal proceedings (including certification of the collective action), and likely number of opt-in plaintiffs and/or damages claimed. At this time neither the likelihood of an unfavorable outcome nor the total amount of the ultimate liability, if any, with respect to these cases, taken as a whole, can be determined with any certainty. However, the Company has recorded a provision at January 30, 2015 related to certain New York state law claims in the </w:t>
      </w:r>
      <w:r>
        <w:rPr>
          <w:rFonts w:ascii="Times New Roman" w:cs="Times New Roman" w:eastAsia="Times New Roman" w:hAnsi="Times New Roman"/>
          <w:sz w:val="18"/>
          <w:szCs w:val="18"/>
          <w:i w:val="1"/>
          <w:iCs w:val="1"/>
          <w:color w:val="auto"/>
        </w:rPr>
        <w:t>Proper</w:t>
      </w:r>
      <w:r>
        <w:rPr>
          <w:rFonts w:ascii="Times New Roman" w:cs="Times New Roman" w:eastAsia="Times New Roman" w:hAnsi="Times New Roman"/>
          <w:sz w:val="18"/>
          <w:szCs w:val="18"/>
          <w:color w:val="auto"/>
        </w:rPr>
        <w:t xml:space="preserve"> lawsuit. At October 31, 2014, the Company recorded a provision of $600 in the </w:t>
      </w:r>
      <w:r>
        <w:rPr>
          <w:rFonts w:ascii="Times New Roman" w:cs="Times New Roman" w:eastAsia="Times New Roman" w:hAnsi="Times New Roman"/>
          <w:sz w:val="18"/>
          <w:szCs w:val="18"/>
          <w:i w:val="1"/>
          <w:iCs w:val="1"/>
          <w:color w:val="auto"/>
        </w:rPr>
        <w:t>Proper</w:t>
      </w:r>
      <w:r>
        <w:rPr>
          <w:rFonts w:ascii="Times New Roman" w:cs="Times New Roman" w:eastAsia="Times New Roman" w:hAnsi="Times New Roman"/>
          <w:sz w:val="18"/>
          <w:szCs w:val="18"/>
          <w:color w:val="auto"/>
        </w:rPr>
        <w:t xml:space="preserve"> lawsuit during mediation. During the second quarter of 2015, the Company increased this provision by $2,150 to a total of $2,750. With the exception of this provision relating to New York state law claims recorded at January 30, 2015, no other provision for any potential liability has been made in the condensed consolidated financial statements of the Company related to these proceedings.</w:t>
      </w:r>
    </w:p>
    <w:p>
      <w:pPr>
        <w:spacing w:after="0" w:line="2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Company and its subsidiaries are party to various other legal and regulatory proceedings and claims incidental to their business in the ordinary course. In the opinion of management, based upon information currently available, the ultimate liability with respect to these other proceedings and claims will not materially affect the Company's consolidated results of operations or financial position.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in the risk factors previously disclosed in “Item 1A. Risk Factors” of our 2014 Form 10-K.</w:t>
      </w:r>
    </w:p>
    <w:p>
      <w:pPr>
        <w:spacing w:after="0" w:line="2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Index immediately following the signature page 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February 24,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/s/Lawrence E. Hyatt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26035</wp:posOffset>
            </wp:positionV>
            <wp:extent cx="28987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Lawrence E. Hyatt, Senior Vice President and Chief Financial</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February 24,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/s/P. Douglas Couvillion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26035</wp:posOffset>
            </wp:positionV>
            <wp:extent cx="28987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 Douglas Couvillion, Vice President, Corporate Controller</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and Principal Accounting Officer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9" w:name="page30"/>
    <w:bookmarkEnd w:id="2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 Agreement, dated as of January 8, 2015, among Cracker Barrel Old Country Store, Inc., the Subsidiary Guarantors named therein,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Lenders party thereto, and Wells Fargo Bank, National Association as Administrative Agent and Collateral Agent (incorporated by reference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 Exhibit 10.1 to the Company’s Current Report on Form 8-K filed on January 9,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10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10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(filed herewith)</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22"/>
          <w:szCs w:val="22"/>
          <w:color w:val="auto"/>
        </w:rPr>
        <w:t>Denotes management contract or compensatory plan, contract or arrangement.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Sandra B. Cochran, certify that:</w:t>
      </w:r>
    </w:p>
    <w:p>
      <w:pPr>
        <w:spacing w:after="0" w:line="252" w:lineRule="exact"/>
        <w:rPr>
          <w:sz w:val="20"/>
          <w:szCs w:val="20"/>
          <w:color w:val="auto"/>
        </w:rPr>
      </w:pPr>
    </w:p>
    <w:p>
      <w:pPr>
        <w:ind w:left="1500" w:hanging="425"/>
        <w:spacing w:after="0"/>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Cracker Barrel Old Country Store, Inc.;</w:t>
      </w:r>
    </w:p>
    <w:p>
      <w:pPr>
        <w:spacing w:after="0" w:line="252" w:lineRule="exact"/>
        <w:rPr>
          <w:rFonts w:ascii="Times New Roman" w:cs="Times New Roman" w:eastAsia="Times New Roman" w:hAnsi="Times New Roman"/>
          <w:sz w:val="18"/>
          <w:szCs w:val="18"/>
          <w:color w:val="auto"/>
        </w:rPr>
      </w:pPr>
    </w:p>
    <w:p>
      <w:pPr>
        <w:jc w:val="both"/>
        <w:ind w:left="1500" w:hanging="425"/>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1500" w:right="20" w:hanging="425"/>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1500" w:hanging="425"/>
        <w:spacing w:after="0" w:line="261"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3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960" w:right="20" w:hanging="412"/>
        <w:spacing w:after="0" w:line="266" w:lineRule="auto"/>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jc w:val="both"/>
        <w:ind w:left="1540" w:hanging="479"/>
        <w:spacing w:after="0" w:line="26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960" w:hanging="412"/>
        <w:spacing w:after="0" w:line="282" w:lineRule="auto"/>
        <w:tabs>
          <w:tab w:leader="none" w:pos="19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960" w:right="20" w:hanging="412"/>
        <w:spacing w:after="0" w:line="282" w:lineRule="auto"/>
        <w:tabs>
          <w:tab w:leader="none" w:pos="19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February 24,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/s/Sandra B. Cochran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Lawrence E. Hyatt, certify that:</w:t>
      </w:r>
    </w:p>
    <w:p>
      <w:pPr>
        <w:spacing w:after="0" w:line="252" w:lineRule="exact"/>
        <w:rPr>
          <w:sz w:val="20"/>
          <w:szCs w:val="20"/>
          <w:color w:val="auto"/>
        </w:rPr>
      </w:pPr>
    </w:p>
    <w:p>
      <w:pPr>
        <w:ind w:left="1560" w:hanging="485"/>
        <w:spacing w:after="0"/>
        <w:tabs>
          <w:tab w:leader="none" w:pos="15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Cracker Barrel Old Country Store, Inc.;</w:t>
      </w:r>
    </w:p>
    <w:p>
      <w:pPr>
        <w:spacing w:after="0" w:line="252" w:lineRule="exact"/>
        <w:rPr>
          <w:rFonts w:ascii="Times New Roman" w:cs="Times New Roman" w:eastAsia="Times New Roman" w:hAnsi="Times New Roman"/>
          <w:sz w:val="18"/>
          <w:szCs w:val="18"/>
          <w:color w:val="auto"/>
        </w:rPr>
      </w:pPr>
    </w:p>
    <w:p>
      <w:pPr>
        <w:jc w:val="both"/>
        <w:ind w:left="1560" w:hanging="485"/>
        <w:spacing w:after="0" w:line="266" w:lineRule="auto"/>
        <w:tabs>
          <w:tab w:leader="none" w:pos="15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1560" w:right="20" w:hanging="485"/>
        <w:spacing w:after="0" w:line="282" w:lineRule="auto"/>
        <w:tabs>
          <w:tab w:leader="none" w:pos="15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1560" w:hanging="485"/>
        <w:spacing w:after="0" w:line="261" w:lineRule="auto"/>
        <w:tabs>
          <w:tab w:leader="none" w:pos="15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3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960" w:right="20" w:hanging="412"/>
        <w:spacing w:after="0" w:line="266" w:lineRule="auto"/>
        <w:tabs>
          <w:tab w:leader="none" w:pos="19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jc w:val="both"/>
        <w:ind w:left="1540" w:hanging="479"/>
        <w:spacing w:after="0" w:line="266" w:lineRule="auto"/>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960" w:hanging="412"/>
        <w:spacing w:after="0" w:line="282" w:lineRule="auto"/>
        <w:tabs>
          <w:tab w:leader="none" w:pos="19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960" w:right="20" w:hanging="412"/>
        <w:spacing w:after="0" w:line="282" w:lineRule="auto"/>
        <w:tabs>
          <w:tab w:leader="none" w:pos="19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February 24,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/s/Lawrence E. Hyatt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E. Hyatt, 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spacing w:after="0" w:line="20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Cracker Barrel Old Country Store, Inc. (the “Issuer”) on Form 10-Q for the fiscal quarter ended January 30, 2015,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203"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Issuer.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February 24, 2015</w:t>
            </w:r>
          </w:p>
        </w:tc>
        <w:tc>
          <w:tcPr>
            <w:tcW w:w="7680" w:type="dxa"/>
            <w:vAlign w:val="bottom"/>
            <w:gridSpan w:val="4"/>
          </w:tcPr>
          <w:p>
            <w:pPr>
              <w:ind w:left="1980"/>
              <w:spacing w:after="0"/>
              <w:rPr>
                <w:sz w:val="20"/>
                <w:szCs w:val="20"/>
                <w:color w:val="auto"/>
              </w:rPr>
            </w:pPr>
            <w:r>
              <w:rPr>
                <w:rFonts w:ascii="Times New Roman" w:cs="Times New Roman" w:eastAsia="Times New Roman" w:hAnsi="Times New Roman"/>
                <w:sz w:val="18"/>
                <w:szCs w:val="18"/>
                <w:color w:val="auto"/>
              </w:rPr>
              <w:t>By: /s/Sandra B. Cochran</w:t>
            </w:r>
          </w:p>
        </w:tc>
      </w:tr>
      <w:tr>
        <w:trPr>
          <w:trHeight w:val="218"/>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Sandra B. Cochran</w:t>
            </w:r>
          </w:p>
        </w:tc>
        <w:tc>
          <w:tcPr>
            <w:tcW w:w="3860" w:type="dxa"/>
            <w:vAlign w:val="bottom"/>
            <w:gridSpan w:val="2"/>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17"/>
        </w:trPr>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420" w:type="dxa"/>
            <w:vAlign w:val="bottom"/>
            <w:tcBorders>
              <w:top w:val="single" w:sz="8" w:color="auto"/>
            </w:tcBorders>
            <w:shd w:val="clear" w:color="auto" w:fill="808080"/>
          </w:tcPr>
          <w:p>
            <w:pPr>
              <w:spacing w:after="0" w:line="20" w:lineRule="exact"/>
              <w:rPr>
                <w:sz w:val="1"/>
                <w:szCs w:val="1"/>
                <w:color w:val="auto"/>
              </w:rPr>
            </w:pPr>
          </w:p>
        </w:tc>
        <w:tc>
          <w:tcPr>
            <w:tcW w:w="1320" w:type="dxa"/>
            <w:vAlign w:val="bottom"/>
            <w:tcBorders>
              <w:top w:val="single" w:sz="8" w:color="auto"/>
            </w:tcBorders>
            <w:shd w:val="clear" w:color="auto" w:fill="808080"/>
          </w:tcPr>
          <w:p>
            <w:pPr>
              <w:spacing w:after="0" w:line="20" w:lineRule="exact"/>
              <w:rPr>
                <w:sz w:val="1"/>
                <w:szCs w:val="1"/>
                <w:color w:val="auto"/>
              </w:rPr>
            </w:pPr>
          </w:p>
        </w:tc>
        <w:tc>
          <w:tcPr>
            <w:tcW w:w="1980" w:type="dxa"/>
            <w:vAlign w:val="bottom"/>
            <w:tcBorders>
              <w:top w:val="single" w:sz="8" w:color="auto"/>
            </w:tcBorders>
            <w:shd w:val="clear" w:color="auto" w:fill="808080"/>
          </w:tcPr>
          <w:p>
            <w:pPr>
              <w:spacing w:after="0" w:line="20" w:lineRule="exact"/>
              <w:rPr>
                <w:sz w:val="1"/>
                <w:szCs w:val="1"/>
                <w:color w:val="auto"/>
              </w:rPr>
            </w:pPr>
          </w:p>
        </w:tc>
        <w:tc>
          <w:tcPr>
            <w:tcW w:w="2280" w:type="dxa"/>
            <w:vAlign w:val="bottom"/>
            <w:tcBorders>
              <w:top w:val="single" w:sz="8" w:color="auto"/>
            </w:tcBorders>
            <w:shd w:val="clear" w:color="auto" w:fill="808080"/>
          </w:tcPr>
          <w:p>
            <w:pPr>
              <w:spacing w:after="0" w:line="20" w:lineRule="exact"/>
              <w:rPr>
                <w:sz w:val="1"/>
                <w:szCs w:val="1"/>
                <w:color w:val="auto"/>
              </w:rPr>
            </w:pPr>
          </w:p>
        </w:tc>
        <w:tc>
          <w:tcPr>
            <w:tcW w:w="1540" w:type="dxa"/>
            <w:vAlign w:val="bottom"/>
            <w:tcBorders>
              <w:top w:val="single" w:sz="8" w:color="auto"/>
            </w:tcBorders>
            <w:shd w:val="clear" w:color="auto" w:fill="808080"/>
          </w:tcPr>
          <w:p>
            <w:pPr>
              <w:spacing w:after="0" w:line="20" w:lineRule="exact"/>
              <w:rPr>
                <w:sz w:val="1"/>
                <w:szCs w:val="1"/>
                <w:color w:val="auto"/>
              </w:rPr>
            </w:pPr>
          </w:p>
        </w:tc>
        <w:tc>
          <w:tcPr>
            <w:tcW w:w="384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310"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 2002</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Cracker Barrel Old Country Store, Inc. (the “Issuer”) on Form 10-Q for the fiscal quarter ended January 30, 2015,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203"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Issuer.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February 24, 2015</w:t>
            </w:r>
          </w:p>
        </w:tc>
        <w:tc>
          <w:tcPr>
            <w:tcW w:w="7680" w:type="dxa"/>
            <w:vAlign w:val="bottom"/>
            <w:gridSpan w:val="4"/>
          </w:tcPr>
          <w:p>
            <w:pPr>
              <w:ind w:left="1980"/>
              <w:spacing w:after="0"/>
              <w:rPr>
                <w:sz w:val="20"/>
                <w:szCs w:val="20"/>
                <w:color w:val="auto"/>
              </w:rPr>
            </w:pPr>
            <w:r>
              <w:rPr>
                <w:rFonts w:ascii="Times New Roman" w:cs="Times New Roman" w:eastAsia="Times New Roman" w:hAnsi="Times New Roman"/>
                <w:sz w:val="18"/>
                <w:szCs w:val="18"/>
                <w:color w:val="auto"/>
              </w:rPr>
              <w:t>By: /s/Lawrence E. Hyatt</w:t>
            </w:r>
          </w:p>
        </w:tc>
      </w:tr>
      <w:tr>
        <w:trPr>
          <w:trHeight w:val="218"/>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Lawrence E. Hyatt,</w:t>
            </w:r>
          </w:p>
        </w:tc>
        <w:tc>
          <w:tcPr>
            <w:tcW w:w="3880" w:type="dxa"/>
            <w:vAlign w:val="bottom"/>
            <w:gridSpan w:val="2"/>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17"/>
        </w:trPr>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420" w:type="dxa"/>
            <w:vAlign w:val="bottom"/>
            <w:tcBorders>
              <w:top w:val="single" w:sz="8" w:color="auto"/>
            </w:tcBorders>
            <w:shd w:val="clear" w:color="auto" w:fill="808080"/>
          </w:tcPr>
          <w:p>
            <w:pPr>
              <w:spacing w:after="0" w:line="20" w:lineRule="exact"/>
              <w:rPr>
                <w:sz w:val="1"/>
                <w:szCs w:val="1"/>
                <w:color w:val="auto"/>
              </w:rPr>
            </w:pPr>
          </w:p>
        </w:tc>
        <w:tc>
          <w:tcPr>
            <w:tcW w:w="1320" w:type="dxa"/>
            <w:vAlign w:val="bottom"/>
            <w:tcBorders>
              <w:top w:val="single" w:sz="8" w:color="auto"/>
            </w:tcBorders>
            <w:shd w:val="clear" w:color="auto" w:fill="808080"/>
          </w:tcPr>
          <w:p>
            <w:pPr>
              <w:spacing w:after="0" w:line="20" w:lineRule="exact"/>
              <w:rPr>
                <w:sz w:val="1"/>
                <w:szCs w:val="1"/>
                <w:color w:val="auto"/>
              </w:rPr>
            </w:pPr>
          </w:p>
        </w:tc>
        <w:tc>
          <w:tcPr>
            <w:tcW w:w="1980" w:type="dxa"/>
            <w:vAlign w:val="bottom"/>
            <w:tcBorders>
              <w:top w:val="single" w:sz="8" w:color="auto"/>
            </w:tcBorders>
            <w:shd w:val="clear" w:color="auto" w:fill="808080"/>
          </w:tcPr>
          <w:p>
            <w:pPr>
              <w:spacing w:after="0" w:line="20" w:lineRule="exact"/>
              <w:rPr>
                <w:sz w:val="1"/>
                <w:szCs w:val="1"/>
                <w:color w:val="auto"/>
              </w:rPr>
            </w:pPr>
          </w:p>
        </w:tc>
        <w:tc>
          <w:tcPr>
            <w:tcW w:w="2280" w:type="dxa"/>
            <w:vAlign w:val="bottom"/>
            <w:tcBorders>
              <w:top w:val="single" w:sz="8" w:color="auto"/>
            </w:tcBorders>
            <w:shd w:val="clear" w:color="auto" w:fill="808080"/>
          </w:tcPr>
          <w:p>
            <w:pPr>
              <w:spacing w:after="0" w:line="20" w:lineRule="exact"/>
              <w:rPr>
                <w:sz w:val="1"/>
                <w:szCs w:val="1"/>
                <w:color w:val="auto"/>
              </w:rPr>
            </w:pPr>
          </w:p>
        </w:tc>
        <w:tc>
          <w:tcPr>
            <w:tcW w:w="1520" w:type="dxa"/>
            <w:vAlign w:val="bottom"/>
            <w:tcBorders>
              <w:top w:val="single" w:sz="8" w:color="auto"/>
            </w:tcBorders>
            <w:shd w:val="clear" w:color="auto" w:fill="808080"/>
          </w:tcPr>
          <w:p>
            <w:pPr>
              <w:spacing w:after="0" w:line="20" w:lineRule="exact"/>
              <w:rPr>
                <w:sz w:val="1"/>
                <w:szCs w:val="1"/>
                <w:color w:val="auto"/>
              </w:rPr>
            </w:pPr>
          </w:p>
        </w:tc>
        <w:tc>
          <w:tcPr>
            <w:tcW w:w="386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1."/>
      <w:numFmt w:val="decimal"/>
      <w:start w:val="10"/>
    </w:lvl>
  </w:abstractNum>
  <w:abstractNum w:abstractNumId="12">
    <w:nsid w:val="3F2DBA31"/>
    <w:multiLevelType w:val="hybridMultilevel"/>
    <w:lvl w:ilvl="0">
      <w:lvlJc w:val="left"/>
      <w:lvlText w:val="%1."/>
      <w:numFmt w:val="decimal"/>
      <w:start w:val="1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9">
    <w:nsid w:val="721DA31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0">
    <w:nsid w:val="2443A8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
    <w:nsid w:val="2D1D5AE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2019-12-29T19:33:18Z</dcterms:created>
  <dcterms:modified xsi:type="dcterms:W3CDTF">2019-12-29T19:33:18Z</dcterms:modified>
</cp:coreProperties>
</file>