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19"/>
        <w:spacing w:after="0" w:line="368" w:lineRule="exact"/>
        <w:rPr>
          <w:sz w:val="20"/>
          <w:szCs w:val="20"/>
          <w:color w:val="auto"/>
        </w:rPr>
      </w:pPr>
      <w:r>
        <w:rPr>
          <w:rFonts w:ascii="Arial" w:cs="Arial" w:eastAsia="Arial" w:hAnsi="Arial"/>
          <w:sz w:val="32"/>
          <w:szCs w:val="32"/>
          <w:color w:val="auto"/>
        </w:rPr>
        <w:t>FORM 10</w:t>
      </w:r>
      <w:r>
        <w:rPr>
          <w:rFonts w:ascii="MS PGothic" w:cs="MS PGothic" w:eastAsia="MS PGothic" w:hAnsi="MS PGothic"/>
          <w:sz w:val="32"/>
          <w:szCs w:val="32"/>
          <w:color w:val="auto"/>
        </w:rPr>
        <w:t>‑</w:t>
      </w:r>
      <w:r>
        <w:rPr>
          <w:rFonts w:ascii="Arial" w:cs="Arial" w:eastAsia="Arial" w:hAnsi="Arial"/>
          <w:sz w:val="32"/>
          <w:szCs w:val="32"/>
          <w:color w:val="auto"/>
        </w:rPr>
        <w:t>Q</w:t>
      </w:r>
    </w:p>
    <w:p>
      <w:pPr>
        <w:spacing w:after="0" w:line="25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980" w:right="4060" w:hanging="324"/>
        <w:spacing w:after="0" w:line="266" w:lineRule="auto"/>
        <w:tabs>
          <w:tab w:leader="none" w:pos="95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January 27, 2017</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980" w:hanging="324"/>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tbl>
      <w:tblPr>
        <w:tblLayout w:type="fixed"/>
        <w:tblInd w:w="980" w:type="dxa"/>
        <w:tblCellMar>
          <w:top w:w="0" w:type="dxa"/>
          <w:left w:w="0" w:type="dxa"/>
          <w:bottom w:w="0" w:type="dxa"/>
          <w:right w:w="0" w:type="dxa"/>
        </w:tblCellMar>
      </w:tblPr>
      <w:tr>
        <w:trPr>
          <w:trHeight w:val="199"/>
        </w:trPr>
        <w:tc>
          <w:tcPr>
            <w:tcW w:w="2140" w:type="dxa"/>
            <w:vAlign w:val="bottom"/>
          </w:tcPr>
          <w:p>
            <w:pPr>
              <w:spacing w:after="0" w:line="199" w:lineRule="exact"/>
              <w:rPr>
                <w:sz w:val="20"/>
                <w:szCs w:val="20"/>
                <w:color w:val="auto"/>
              </w:rPr>
            </w:pPr>
            <w:r>
              <w:rPr>
                <w:rFonts w:ascii="Arial" w:cs="Arial" w:eastAsia="Arial" w:hAnsi="Arial"/>
                <w:sz w:val="18"/>
                <w:szCs w:val="18"/>
                <w:color w:val="auto"/>
                <w:w w:val="91"/>
              </w:rPr>
              <w:t>For the transition period from</w:t>
            </w:r>
          </w:p>
        </w:tc>
        <w:tc>
          <w:tcPr>
            <w:tcW w:w="500" w:type="dxa"/>
            <w:vAlign w:val="bottom"/>
            <w:tcBorders>
              <w:bottom w:val="single" w:sz="8" w:color="auto"/>
            </w:tcBorders>
          </w:tcPr>
          <w:p>
            <w:pPr>
              <w:spacing w:after="0"/>
              <w:rPr>
                <w:sz w:val="17"/>
                <w:szCs w:val="17"/>
                <w:color w:val="auto"/>
              </w:rPr>
            </w:pPr>
          </w:p>
        </w:tc>
        <w:tc>
          <w:tcPr>
            <w:tcW w:w="140" w:type="dxa"/>
            <w:vAlign w:val="bottom"/>
          </w:tcPr>
          <w:p>
            <w:pPr>
              <w:spacing w:after="0" w:line="199" w:lineRule="exact"/>
              <w:rPr>
                <w:sz w:val="20"/>
                <w:szCs w:val="20"/>
                <w:color w:val="auto"/>
              </w:rPr>
            </w:pPr>
            <w:r>
              <w:rPr>
                <w:rFonts w:ascii="Arial" w:cs="Arial" w:eastAsia="Arial" w:hAnsi="Arial"/>
                <w:sz w:val="18"/>
                <w:szCs w:val="18"/>
                <w:color w:val="auto"/>
                <w:w w:val="79"/>
              </w:rPr>
              <w:t>to</w:t>
            </w:r>
          </w:p>
        </w:tc>
        <w:tc>
          <w:tcPr>
            <w:tcW w:w="980" w:type="dxa"/>
            <w:vAlign w:val="bottom"/>
            <w:tcBorders>
              <w:bottom w:val="single" w:sz="8" w:color="auto"/>
            </w:tcBorders>
          </w:tcPr>
          <w:p>
            <w:pPr>
              <w:spacing w:after="0"/>
              <w:rPr>
                <w:sz w:val="17"/>
                <w:szCs w:val="17"/>
                <w:color w:val="auto"/>
              </w:rPr>
            </w:pPr>
          </w:p>
        </w:tc>
        <w:tc>
          <w:tcPr>
            <w:tcW w:w="2300" w:type="dxa"/>
            <w:vAlign w:val="bottom"/>
          </w:tcPr>
          <w:p>
            <w:pPr>
              <w:spacing w:after="0"/>
              <w:rPr>
                <w:sz w:val="17"/>
                <w:szCs w:val="17"/>
                <w:color w:val="auto"/>
              </w:rPr>
            </w:pPr>
          </w:p>
        </w:tc>
      </w:tr>
      <w:tr>
        <w:trPr>
          <w:trHeight w:val="453"/>
        </w:trPr>
        <w:tc>
          <w:tcPr>
            <w:tcW w:w="2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gridSpan w:val="2"/>
          </w:tcPr>
          <w:p>
            <w:pPr>
              <w:ind w:left="620"/>
              <w:spacing w:after="0" w:line="207" w:lineRule="exact"/>
              <w:rPr>
                <w:sz w:val="20"/>
                <w:szCs w:val="20"/>
                <w:color w:val="auto"/>
              </w:rPr>
            </w:pPr>
            <w:r>
              <w:rPr>
                <w:rFonts w:ascii="Arial" w:cs="Arial" w:eastAsia="Arial" w:hAnsi="Arial"/>
                <w:sz w:val="18"/>
                <w:szCs w:val="18"/>
                <w:color w:val="auto"/>
                <w:w w:val="91"/>
              </w:rPr>
              <w:t>Commission file number: 001</w:t>
            </w:r>
            <w:r>
              <w:rPr>
                <w:rFonts w:ascii="MS PGothic" w:cs="MS PGothic" w:eastAsia="MS PGothic" w:hAnsi="MS PGothic"/>
                <w:sz w:val="18"/>
                <w:szCs w:val="18"/>
                <w:color w:val="auto"/>
                <w:w w:val="91"/>
              </w:rPr>
              <w:t>‑</w:t>
            </w:r>
            <w:r>
              <w:rPr>
                <w:rFonts w:ascii="Arial" w:cs="Arial" w:eastAsia="Arial" w:hAnsi="Arial"/>
                <w:sz w:val="18"/>
                <w:szCs w:val="18"/>
                <w:color w:val="auto"/>
                <w:w w:val="91"/>
              </w:rPr>
              <w:t>25225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197485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Cracker Barrel Old Country Store,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6"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83"/>
              </w:rPr>
              <w:t>Tennessee</w:t>
            </w:r>
          </w:p>
        </w:tc>
        <w:tc>
          <w:tcPr>
            <w:tcW w:w="4040" w:type="dxa"/>
            <w:vAlign w:val="bottom"/>
          </w:tcPr>
          <w:p>
            <w:pPr>
              <w:jc w:val="center"/>
              <w:ind w:left="990"/>
              <w:spacing w:after="0" w:line="207" w:lineRule="exact"/>
              <w:rPr>
                <w:sz w:val="20"/>
                <w:szCs w:val="20"/>
                <w:color w:val="auto"/>
              </w:rPr>
            </w:pPr>
            <w:r>
              <w:rPr>
                <w:rFonts w:ascii="Arial" w:cs="Arial" w:eastAsia="Arial" w:hAnsi="Arial"/>
                <w:sz w:val="18"/>
                <w:szCs w:val="18"/>
                <w:color w:val="auto"/>
                <w:w w:val="91"/>
              </w:rPr>
              <w:t>62</w:t>
            </w:r>
            <w:r>
              <w:rPr>
                <w:rFonts w:ascii="MS PGothic" w:cs="MS PGothic" w:eastAsia="MS PGothic" w:hAnsi="MS PGothic"/>
                <w:sz w:val="18"/>
                <w:szCs w:val="18"/>
                <w:color w:val="auto"/>
                <w:w w:val="91"/>
              </w:rPr>
              <w:t>‑</w:t>
            </w:r>
            <w:r>
              <w:rPr>
                <w:rFonts w:ascii="Arial" w:cs="Arial" w:eastAsia="Arial" w:hAnsi="Arial"/>
                <w:sz w:val="18"/>
                <w:szCs w:val="18"/>
                <w:color w:val="auto"/>
                <w:w w:val="91"/>
              </w:rPr>
              <w:t>0812904</w:t>
            </w:r>
          </w:p>
        </w:tc>
      </w:tr>
      <w:tr>
        <w:trPr>
          <w:trHeight w:val="230"/>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040" w:type="dxa"/>
            <w:vAlign w:val="bottom"/>
          </w:tcPr>
          <w:p>
            <w:pPr>
              <w:jc w:val="center"/>
              <w:ind w:left="1010"/>
              <w:spacing w:after="0"/>
              <w:rPr>
                <w:sz w:val="20"/>
                <w:szCs w:val="20"/>
                <w:color w:val="auto"/>
              </w:rPr>
            </w:pPr>
            <w:r>
              <w:rPr>
                <w:rFonts w:ascii="Arial" w:cs="Arial" w:eastAsia="Arial" w:hAnsi="Arial"/>
                <w:sz w:val="18"/>
                <w:szCs w:val="18"/>
                <w:color w:val="auto"/>
                <w:w w:val="93"/>
              </w:rPr>
              <w:t>(I.R.S. Employer Identification Number)</w:t>
            </w:r>
          </w:p>
        </w:tc>
      </w:tr>
      <w:tr>
        <w:trPr>
          <w:trHeight w:val="418"/>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3"/>
              </w:rPr>
              <w:t>305 Hartmann Drive</w:t>
            </w:r>
          </w:p>
        </w:tc>
        <w:tc>
          <w:tcPr>
            <w:tcW w:w="4040" w:type="dxa"/>
            <w:vAlign w:val="bottom"/>
          </w:tcPr>
          <w:p>
            <w:pPr>
              <w:jc w:val="center"/>
              <w:ind w:left="990"/>
              <w:spacing w:after="0"/>
              <w:rPr>
                <w:sz w:val="20"/>
                <w:szCs w:val="20"/>
                <w:color w:val="auto"/>
              </w:rPr>
            </w:pPr>
            <w:r>
              <w:rPr>
                <w:rFonts w:ascii="Arial" w:cs="Arial" w:eastAsia="Arial" w:hAnsi="Arial"/>
                <w:sz w:val="18"/>
                <w:szCs w:val="18"/>
                <w:color w:val="auto"/>
                <w:w w:val="91"/>
              </w:rPr>
              <w:t>37087-4779</w:t>
            </w:r>
          </w:p>
        </w:tc>
      </w:tr>
      <w:tr>
        <w:trPr>
          <w:trHeight w:val="216"/>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86"/>
              </w:rPr>
              <w:t>Lebanon, Tennessee</w:t>
            </w:r>
          </w:p>
        </w:tc>
        <w:tc>
          <w:tcPr>
            <w:tcW w:w="4040" w:type="dxa"/>
            <w:vAlign w:val="bottom"/>
          </w:tcPr>
          <w:p>
            <w:pPr>
              <w:jc w:val="center"/>
              <w:ind w:left="990"/>
              <w:spacing w:after="0"/>
              <w:rPr>
                <w:sz w:val="20"/>
                <w:szCs w:val="20"/>
                <w:color w:val="auto"/>
              </w:rPr>
            </w:pPr>
            <w:r>
              <w:rPr>
                <w:rFonts w:ascii="Arial" w:cs="Arial" w:eastAsia="Arial" w:hAnsi="Arial"/>
                <w:sz w:val="18"/>
                <w:szCs w:val="18"/>
                <w:color w:val="auto"/>
                <w:w w:val="93"/>
              </w:rPr>
              <w:t>(Zip code)</w:t>
            </w:r>
          </w:p>
        </w:tc>
      </w:tr>
      <w:tr>
        <w:trPr>
          <w:trHeight w:val="230"/>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2"/>
              </w:rPr>
              <w:t>(Address of principal executive offices)</w:t>
            </w:r>
          </w:p>
        </w:tc>
        <w:tc>
          <w:tcPr>
            <w:tcW w:w="4040" w:type="dxa"/>
            <w:vAlign w:val="bottom"/>
          </w:tcPr>
          <w:p>
            <w:pPr>
              <w:spacing w:after="0"/>
              <w:rPr>
                <w:sz w:val="20"/>
                <w:szCs w:val="20"/>
                <w:color w:val="auto"/>
              </w:rPr>
            </w:pPr>
          </w:p>
        </w:tc>
      </w:tr>
    </w:tbl>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(615) 444-5533</w:t>
      </w:r>
    </w:p>
    <w:p>
      <w:pPr>
        <w:spacing w:after="0" w:line="252"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6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41" w:right="239" w:bottom="1440" w:gutter="0" w:footer="0" w:header="0"/>
        </w:sectPr>
      </w:pPr>
    </w:p>
    <w:p>
      <w:pPr>
        <w:spacing w:after="0" w:line="165" w:lineRule="exact"/>
        <w:rPr>
          <w:sz w:val="24"/>
          <w:szCs w:val="24"/>
          <w:color w:val="auto"/>
        </w:rPr>
      </w:pPr>
    </w:p>
    <w:p>
      <w:pPr>
        <w:ind w:left="11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3">
            <w:col w:w="5580" w:space="720"/>
            <w:col w:w="1200" w:space="100"/>
            <w:col w:w="3820"/>
          </w:cols>
          <w:pgMar w:left="240" w:top="541" w:right="239" w:bottom="1440" w:gutter="0" w:footer="0" w:header="0"/>
          <w:type w:val="continuous"/>
        </w:sectPr>
      </w:pPr>
    </w:p>
    <w:p>
      <w:pPr>
        <w:spacing w:after="0" w:line="48" w:lineRule="exact"/>
        <w:rPr>
          <w:sz w:val="24"/>
          <w:szCs w:val="24"/>
          <w:color w:val="auto"/>
        </w:rPr>
      </w:pPr>
    </w:p>
    <w:p>
      <w:pPr>
        <w:ind w:left="11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2680" w:space="180"/>
            <w:col w:w="2720" w:space="720"/>
            <w:col w:w="1980" w:space="80"/>
            <w:col w:w="3060"/>
          </w:cols>
          <w:pgMar w:left="240" w:top="541" w:right="239" w:bottom="1440" w:gutter="0" w:footer="0" w:header="0"/>
          <w:type w:val="continuous"/>
        </w:sectPr>
      </w:pPr>
    </w:p>
    <w:p>
      <w:pPr>
        <w:spacing w:after="0" w:line="7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4"/>
          <w:szCs w:val="24"/>
          <w:color w:val="auto"/>
        </w:rPr>
      </w:pPr>
    </w:p>
    <w:p>
      <w:pPr>
        <w:ind w:left="260"/>
        <w:spacing w:after="0" w:line="207" w:lineRule="exact"/>
        <w:tabs>
          <w:tab w:leader="none" w:pos="8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registrant’s classes of common stock, as of the latest practicable date.</w:t>
      </w:r>
    </w:p>
    <w:p>
      <w:pPr>
        <w:spacing w:after="0" w:line="248"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24,042,573 Shares of Common Stock</w:t>
      </w:r>
    </w:p>
    <w:p>
      <w:pPr>
        <w:spacing w:after="0" w:line="23"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Outstanding as of February 14,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860" w:type="dxa"/>
            <w:vAlign w:val="bottom"/>
            <w:gridSpan w:val="6"/>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120" w:type="dxa"/>
            <w:vAlign w:val="bottom"/>
            <w:gridSpan w:val="8"/>
          </w:tcPr>
          <w:p>
            <w:pPr>
              <w:jc w:val="center"/>
              <w:ind w:right="196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200" w:type="dxa"/>
            <w:vAlign w:val="bottom"/>
            <w:gridSpan w:val="7"/>
          </w:tcPr>
          <w:p>
            <w:pPr>
              <w:jc w:val="center"/>
              <w:ind w:right="3900"/>
              <w:spacing w:after="0"/>
              <w:rPr>
                <w:sz w:val="20"/>
                <w:szCs w:val="20"/>
                <w:color w:val="auto"/>
              </w:rPr>
            </w:pPr>
            <w:r>
              <w:rPr>
                <w:rFonts w:ascii="Arial" w:cs="Arial" w:eastAsia="Arial" w:hAnsi="Arial"/>
                <w:sz w:val="18"/>
                <w:szCs w:val="18"/>
                <w:b w:val="1"/>
                <w:bCs w:val="1"/>
                <w:color w:val="auto"/>
                <w:w w:val="99"/>
              </w:rPr>
              <w:t>FORM 10-Q</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120" w:type="dxa"/>
            <w:vAlign w:val="bottom"/>
            <w:gridSpan w:val="8"/>
          </w:tcPr>
          <w:p>
            <w:pPr>
              <w:jc w:val="center"/>
              <w:ind w:right="1980"/>
              <w:spacing w:after="0"/>
              <w:rPr>
                <w:sz w:val="20"/>
                <w:szCs w:val="20"/>
                <w:color w:val="auto"/>
              </w:rPr>
            </w:pPr>
            <w:r>
              <w:rPr>
                <w:rFonts w:ascii="Arial" w:cs="Arial" w:eastAsia="Arial" w:hAnsi="Arial"/>
                <w:sz w:val="18"/>
                <w:szCs w:val="18"/>
                <w:b w:val="1"/>
                <w:bCs w:val="1"/>
                <w:color w:val="auto"/>
                <w:w w:val="92"/>
              </w:rPr>
              <w:t>For the Quarter Ended January 27, 2017</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520" w:type="dxa"/>
            <w:vAlign w:val="bottom"/>
            <w:gridSpan w:val="6"/>
          </w:tcPr>
          <w:p>
            <w:pPr>
              <w:jc w:val="center"/>
              <w:ind w:right="4580"/>
              <w:spacing w:after="0"/>
              <w:rPr>
                <w:sz w:val="20"/>
                <w:szCs w:val="20"/>
                <w:color w:val="auto"/>
              </w:rPr>
            </w:pPr>
            <w:r>
              <w:rPr>
                <w:rFonts w:ascii="Arial" w:cs="Arial" w:eastAsia="Arial" w:hAnsi="Arial"/>
                <w:sz w:val="18"/>
                <w:szCs w:val="18"/>
                <w:b w:val="1"/>
                <w:bCs w:val="1"/>
                <w:color w:val="auto"/>
              </w:rPr>
              <w:t>INDEX</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760" w:type="dxa"/>
            <w:vAlign w:val="bottom"/>
            <w:gridSpan w:val="18"/>
          </w:tcPr>
          <w:p>
            <w:pPr>
              <w:spacing w:after="0"/>
              <w:rPr>
                <w:sz w:val="20"/>
                <w:szCs w:val="20"/>
                <w:color w:val="auto"/>
              </w:rPr>
            </w:pPr>
            <w:r>
              <w:rPr>
                <w:rFonts w:ascii="Arial" w:cs="Arial" w:eastAsia="Arial" w:hAnsi="Arial"/>
                <w:sz w:val="18"/>
                <w:szCs w:val="18"/>
                <w:b w:val="1"/>
                <w:bCs w:val="1"/>
                <w:color w:val="auto"/>
              </w:rPr>
              <w:t>PART I. FINANCIAL INFORMATION</w:t>
            </w:r>
          </w:p>
        </w:tc>
        <w:tc>
          <w:tcPr>
            <w:tcW w:w="680" w:type="dxa"/>
            <w:vAlign w:val="bottom"/>
            <w:gridSpan w:val="3"/>
          </w:tcPr>
          <w:p>
            <w:pPr>
              <w:ind w:left="30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580" w:type="dxa"/>
            <w:vAlign w:val="bottom"/>
            <w:gridSpan w:val="16"/>
          </w:tcPr>
          <w:p>
            <w:pPr>
              <w:spacing w:after="0"/>
              <w:rPr>
                <w:sz w:val="20"/>
                <w:szCs w:val="20"/>
                <w:color w:val="auto"/>
              </w:rPr>
            </w:pPr>
            <w:r>
              <w:rPr>
                <w:rFonts w:ascii="Arial" w:cs="Arial" w:eastAsia="Arial" w:hAnsi="Arial"/>
                <w:sz w:val="18"/>
                <w:szCs w:val="18"/>
                <w:color w:val="auto"/>
              </w:rPr>
              <w:t>ITEM 1. Condensed Consolidated Financial Statements (Unaudited)</w:t>
            </w:r>
          </w:p>
        </w:tc>
        <w:tc>
          <w:tcPr>
            <w:tcW w:w="3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20" w:type="dxa"/>
            <w:vAlign w:val="bottom"/>
            <w:gridSpan w:val="1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a) Condensed Consolidated Balance Sheets as of January 27, 2017 and July 29, 2016</w:t>
              </w:r>
            </w:hyperlink>
          </w:p>
        </w:tc>
        <w:tc>
          <w:tcPr>
            <w:tcW w:w="6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20" w:type="dxa"/>
            <w:vAlign w:val="bottom"/>
            <w:gridSpan w:val="14"/>
            <w:shd w:val="clear" w:color="auto" w:fill="CCEEFF"/>
          </w:tcPr>
          <w:p>
            <w:pPr>
              <w:spacing w:after="0" w:line="17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b) Condensed Consolidated Statements of Income for the Quarters and Six Months Ended January 27, 2017 and January 29, 2016</w:t>
              </w:r>
            </w:hyperlink>
          </w:p>
        </w:tc>
        <w:tc>
          <w:tcPr>
            <w:tcW w:w="6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14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 Condensed Consolidated Statements of Comprehensive Income for the Quarters and Six Months Ended January 27, 2017 and January 29,</w:t>
              </w:r>
            </w:hyperlink>
          </w:p>
        </w:tc>
        <w:tc>
          <w:tcPr>
            <w:tcW w:w="2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gridSpan w:val="5"/>
            <w:shd w:val="clear" w:color="auto" w:fill="CCEEFF"/>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2016</w:t>
              </w:r>
            </w:hyperlink>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20" w:type="dxa"/>
            <w:vAlign w:val="bottom"/>
            <w:gridSpan w:val="14"/>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d) Condensed Consolidated Statements of Cash Flows for the Six Months Ended January 27, 2017 and January 29, 2016</w:t>
              </w:r>
            </w:hyperlink>
          </w:p>
        </w:tc>
        <w:tc>
          <w:tcPr>
            <w:tcW w:w="6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20" w:type="dxa"/>
            <w:vAlign w:val="bottom"/>
            <w:gridSpan w:val="14"/>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e) Notes to Condensed Consolidated Financial Statements</w:t>
              </w:r>
            </w:hyperlink>
          </w:p>
        </w:tc>
        <w:tc>
          <w:tcPr>
            <w:tcW w:w="6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4"/>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2.</w:t>
              </w:r>
            </w:hyperlink>
          </w:p>
        </w:tc>
        <w:tc>
          <w:tcPr>
            <w:tcW w:w="9900" w:type="dxa"/>
            <w:vAlign w:val="bottom"/>
            <w:gridSpan w:val="12"/>
            <w:shd w:val="clear" w:color="auto" w:fill="CCEEFF"/>
          </w:tcPr>
          <w:p>
            <w:pPr>
              <w:ind w:left="2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6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3.</w:t>
              </w:r>
            </w:hyperlink>
          </w:p>
        </w:tc>
        <w:tc>
          <w:tcPr>
            <w:tcW w:w="9900" w:type="dxa"/>
            <w:vAlign w:val="bottom"/>
            <w:gridSpan w:val="12"/>
            <w:shd w:val="clear" w:color="auto" w:fill="CCEEFF"/>
          </w:tcPr>
          <w:p>
            <w:pPr>
              <w:ind w:left="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6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580" w:type="dxa"/>
            <w:vAlign w:val="bottom"/>
            <w:gridSpan w:val="16"/>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4. Controls and Procedures</w:t>
              </w:r>
            </w:hyperlink>
          </w:p>
        </w:tc>
        <w:tc>
          <w:tcPr>
            <w:tcW w:w="6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10760" w:type="dxa"/>
            <w:vAlign w:val="bottom"/>
            <w:gridSpan w:val="18"/>
          </w:tcPr>
          <w:p>
            <w:pPr>
              <w:spacing w:after="0"/>
              <w:rPr>
                <w:sz w:val="20"/>
                <w:szCs w:val="20"/>
                <w:color w:val="auto"/>
              </w:rPr>
            </w:pPr>
            <w:r>
              <w:rPr>
                <w:rFonts w:ascii="Arial" w:cs="Arial" w:eastAsia="Arial" w:hAnsi="Arial"/>
                <w:sz w:val="18"/>
                <w:szCs w:val="18"/>
                <w:b w:val="1"/>
                <w:bCs w:val="1"/>
                <w:color w:val="auto"/>
              </w:rPr>
              <w:t>PART II. OTHER INFORMATION</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580" w:type="dxa"/>
            <w:vAlign w:val="bottom"/>
            <w:gridSpan w:val="16"/>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1A. Risk Factors</w:t>
              </w:r>
            </w:hyperlink>
          </w:p>
        </w:tc>
        <w:tc>
          <w:tcPr>
            <w:tcW w:w="6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580" w:type="dxa"/>
            <w:vAlign w:val="bottom"/>
            <w:gridSpan w:val="16"/>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6. Exhibits</w:t>
              </w:r>
            </w:hyperlink>
          </w:p>
        </w:tc>
        <w:tc>
          <w:tcPr>
            <w:tcW w:w="6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4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SIGNATURES</w:t>
              </w:r>
            </w:hyperlink>
          </w:p>
        </w:tc>
        <w:tc>
          <w:tcPr>
            <w:tcW w:w="6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192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126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174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72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72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0" w:type="dxa"/>
            <w:vAlign w:val="bottom"/>
          </w:tcPr>
          <w:p>
            <w:pPr>
              <w:jc w:val="center"/>
              <w:ind w:left="231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0" w:type="dxa"/>
            <w:vAlign w:val="bottom"/>
          </w:tcPr>
          <w:p>
            <w:pPr>
              <w:jc w:val="center"/>
              <w:ind w:left="22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0" w:type="dxa"/>
            <w:vAlign w:val="bottom"/>
          </w:tcPr>
          <w:p>
            <w:pPr>
              <w:jc w:val="center"/>
              <w:ind w:left="2310"/>
              <w:spacing w:after="0"/>
              <w:rPr>
                <w:sz w:val="20"/>
                <w:szCs w:val="20"/>
                <w:color w:val="auto"/>
              </w:rPr>
            </w:pPr>
            <w:r>
              <w:rPr>
                <w:rFonts w:ascii="Arial" w:cs="Arial" w:eastAsia="Arial" w:hAnsi="Arial"/>
                <w:sz w:val="18"/>
                <w:szCs w:val="18"/>
                <w:color w:val="auto"/>
                <w:w w:val="87"/>
              </w:rPr>
              <w:t>(In thousands, except share data)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0" w:type="dxa"/>
            <w:vAlign w:val="bottom"/>
          </w:tcPr>
          <w:p>
            <w:pPr>
              <w:jc w:val="center"/>
              <w:ind w:left="2290"/>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January 27,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July 29,</w:t>
            </w:r>
          </w:p>
        </w:tc>
        <w:tc>
          <w:tcPr>
            <w:tcW w:w="0" w:type="dxa"/>
            <w:vAlign w:val="bottom"/>
          </w:tcPr>
          <w:p>
            <w:pPr>
              <w:spacing w:after="0"/>
              <w:rPr>
                <w:sz w:val="1"/>
                <w:szCs w:val="1"/>
                <w:color w:val="auto"/>
              </w:rPr>
            </w:pPr>
          </w:p>
        </w:tc>
      </w:tr>
      <w:tr>
        <w:trPr>
          <w:trHeight w:val="122"/>
        </w:trPr>
        <w:tc>
          <w:tcPr>
            <w:tcW w:w="87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vMerge w:val="restart"/>
          </w:tcPr>
          <w:p>
            <w:pPr>
              <w:jc w:val="right"/>
              <w:ind w:right="2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185,698</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19,654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receivable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155,879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152,308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382,210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355,740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2,050,593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2,011,845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Less: Accumulated depreciation and amortization of capital leases</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961,981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931,656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Property and equipment – net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1,088,612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1,080,189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64,069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61,735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1,534,891</w:t>
            </w:r>
          </w:p>
        </w:tc>
        <w:tc>
          <w:tcPr>
            <w:tcW w:w="140" w:type="dxa"/>
            <w:vAlign w:val="bottom"/>
          </w:tcPr>
          <w:p>
            <w:pPr>
              <w:spacing w:after="0"/>
              <w:rPr>
                <w:sz w:val="18"/>
                <w:szCs w:val="18"/>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1,497,664</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100,388</w:t>
            </w:r>
          </w:p>
        </w:tc>
        <w:tc>
          <w:tcPr>
            <w:tcW w:w="140" w:type="dxa"/>
            <w:vAlign w:val="bottom"/>
          </w:tcPr>
          <w:p>
            <w:pPr>
              <w:spacing w:after="0"/>
              <w:rPr>
                <w:sz w:val="18"/>
                <w:szCs w:val="18"/>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132,493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withheld and accrued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96,848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133,099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134,735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359,635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Long-term interest rate swap liability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60,394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53,726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Commitments and Contingencies (Note 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Preferred stock – 100,000,000 shares of $.01 par value authorized; 300,000 shares designated as Series A Junior</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Participating Preferred Stock; no shares issued</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gridSpan w:val="2"/>
          </w:tcPr>
          <w:p>
            <w:pPr>
              <w:spacing w:after="0" w:line="201" w:lineRule="exact"/>
              <w:rPr>
                <w:sz w:val="20"/>
                <w:szCs w:val="20"/>
                <w:color w:val="auto"/>
              </w:rPr>
            </w:pPr>
            <w:r>
              <w:rPr>
                <w:rFonts w:ascii="Arial" w:cs="Arial" w:eastAsia="Arial" w:hAnsi="Arial"/>
                <w:sz w:val="18"/>
                <w:szCs w:val="18"/>
                <w:color w:val="auto"/>
                <w:w w:val="89"/>
              </w:rPr>
              <w:t>Common stock – 400,000,000 shares of $.01 par value authorized; 24,042,573 shares issued and outstanding at January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gridSpan w:val="2"/>
          </w:tcPr>
          <w:p>
            <w:pPr>
              <w:ind w:left="160"/>
              <w:spacing w:after="0"/>
              <w:rPr>
                <w:sz w:val="20"/>
                <w:szCs w:val="20"/>
                <w:color w:val="auto"/>
              </w:rPr>
            </w:pPr>
            <w:r>
              <w:rPr>
                <w:rFonts w:ascii="Arial" w:cs="Arial" w:eastAsia="Arial" w:hAnsi="Arial"/>
                <w:sz w:val="18"/>
                <w:szCs w:val="18"/>
                <w:color w:val="auto"/>
              </w:rPr>
              <w:t>27, 2017, and 23,956,134 shares issued and outstanding at July 29, 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50,645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(2,933)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(13,740)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533,765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488,481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581,717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526,443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1,534,891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1,497,664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52" w:lineRule="exact"/>
        <w:rPr>
          <w:sz w:val="20"/>
          <w:szCs w:val="20"/>
          <w:color w:val="auto"/>
        </w:rPr>
      </w:pPr>
    </w:p>
    <w:p>
      <w:pPr>
        <w:ind w:right="160" w:firstLine="8"/>
        <w:spacing w:after="0" w:line="277" w:lineRule="auto"/>
        <w:tabs>
          <w:tab w:leader="none" w:pos="16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Condensed Consolidated Balance Sheet has been derived from the audited Consolidated Balance Sheet as of July 29, 2016, as filed with the Securities and Exchange Commission in the Company’s Annual Report on Form 10-K for the fiscal year ended July 29, 2016.</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CRACKER BARREL OLD COUNTRY STORE,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ind w:left="620"/>
              <w:spacing w:after="0"/>
              <w:rPr>
                <w:sz w:val="20"/>
                <w:szCs w:val="20"/>
                <w:color w:val="auto"/>
              </w:rPr>
            </w:pPr>
            <w:r>
              <w:rPr>
                <w:rFonts w:ascii="Arial" w:cs="Arial" w:eastAsia="Arial" w:hAnsi="Arial"/>
                <w:sz w:val="18"/>
                <w:szCs w:val="18"/>
                <w:color w:val="auto"/>
              </w:rPr>
              <w:t>Quarter Ended</w:t>
            </w:r>
          </w:p>
        </w:tc>
        <w:tc>
          <w:tcPr>
            <w:tcW w:w="120" w:type="dxa"/>
            <w:vAlign w:val="bottom"/>
          </w:tcPr>
          <w:p>
            <w:pPr>
              <w:spacing w:after="0"/>
              <w:rPr>
                <w:sz w:val="20"/>
                <w:szCs w:val="20"/>
                <w:color w:val="auto"/>
              </w:rPr>
            </w:pPr>
          </w:p>
        </w:tc>
        <w:tc>
          <w:tcPr>
            <w:tcW w:w="2480" w:type="dxa"/>
            <w:vAlign w:val="bottom"/>
            <w:gridSpan w:val="6"/>
          </w:tcPr>
          <w:p>
            <w:pPr>
              <w:ind w:left="4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w w:val="89"/>
              </w:rPr>
              <w:t>January 27,</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29,</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260"/>
              <w:spacing w:after="0" w:line="201" w:lineRule="exact"/>
              <w:rPr>
                <w:sz w:val="20"/>
                <w:szCs w:val="20"/>
                <w:color w:val="auto"/>
              </w:rPr>
            </w:pPr>
            <w:r>
              <w:rPr>
                <w:rFonts w:ascii="Arial" w:cs="Arial" w:eastAsia="Arial" w:hAnsi="Arial"/>
                <w:sz w:val="18"/>
                <w:szCs w:val="18"/>
                <w:color w:val="auto"/>
                <w:w w:val="89"/>
              </w:rPr>
              <w:t>January 27,</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772,682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764,002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1,482,653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Cost of goods sold (exclusive of depreciation and rent)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254,920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264,932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468,029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487,905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 and other related expenses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259,270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251,935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508,374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496,257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140,979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141,103</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278,905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276,810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117,513</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106,032</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34,817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35,507</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68,905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69,826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82,696</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70,525</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3,638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3,569</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7,314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79,058</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66,956</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26,331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18,714</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39,613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52,727</w:t>
            </w:r>
          </w:p>
        </w:tc>
        <w:tc>
          <w:tcPr>
            <w:tcW w:w="22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48,242</w:t>
            </w:r>
          </w:p>
        </w:tc>
        <w:tc>
          <w:tcPr>
            <w:tcW w:w="20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101,082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89,107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24,040,243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23,937,812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24,020,976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23,947,183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24,109,000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24,047,042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24,106,748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24,060,047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Dividends paid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100" w:type="dxa"/>
            <w:vAlign w:val="bottom"/>
            <w:gridSpan w:val="2"/>
          </w:tcPr>
          <w:p>
            <w:pPr>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CRACKER BARREL OLD COUNTRY STORE, INC. CONDENSED CONSOLIDATED STATEMENTS OF COMPREHENSIVE INCOME </w:t>
      </w:r>
      <w:r>
        <w:rPr>
          <w:rFonts w:ascii="Arial" w:cs="Arial" w:eastAsia="Arial" w:hAnsi="Arial"/>
          <w:sz w:val="18"/>
          <w:szCs w:val="18"/>
          <w:color w:val="auto"/>
        </w:rPr>
        <w:t>(Unaudited and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6"/>
          </w:tcPr>
          <w:p>
            <w:pPr>
              <w:jc w:val="right"/>
              <w:ind w:right="960"/>
              <w:spacing w:after="0"/>
              <w:rPr>
                <w:sz w:val="20"/>
                <w:szCs w:val="20"/>
                <w:color w:val="auto"/>
              </w:rPr>
            </w:pPr>
            <w:r>
              <w:rPr>
                <w:rFonts w:ascii="Arial" w:cs="Arial" w:eastAsia="Arial" w:hAnsi="Arial"/>
                <w:sz w:val="18"/>
                <w:szCs w:val="18"/>
                <w:color w:val="auto"/>
              </w:rPr>
              <w:t>Quarter Ended</w:t>
            </w:r>
          </w:p>
        </w:tc>
        <w:tc>
          <w:tcPr>
            <w:tcW w:w="120" w:type="dxa"/>
            <w:vAlign w:val="bottom"/>
          </w:tcPr>
          <w:p>
            <w:pPr>
              <w:spacing w:after="0"/>
              <w:rPr>
                <w:sz w:val="20"/>
                <w:szCs w:val="20"/>
                <w:color w:val="auto"/>
              </w:rPr>
            </w:pPr>
          </w:p>
        </w:tc>
        <w:tc>
          <w:tcPr>
            <w:tcW w:w="2480" w:type="dxa"/>
            <w:vAlign w:val="bottom"/>
            <w:gridSpan w:val="6"/>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rPr>
              <w:t>January 27,</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29,</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260"/>
              <w:spacing w:after="0" w:line="201" w:lineRule="exact"/>
              <w:rPr>
                <w:sz w:val="20"/>
                <w:szCs w:val="20"/>
                <w:color w:val="auto"/>
              </w:rPr>
            </w:pPr>
            <w:r>
              <w:rPr>
                <w:rFonts w:ascii="Arial" w:cs="Arial" w:eastAsia="Arial" w:hAnsi="Arial"/>
                <w:sz w:val="18"/>
                <w:szCs w:val="18"/>
                <w:color w:val="auto"/>
                <w:w w:val="89"/>
              </w:rPr>
              <w:t>January 27,</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48,242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6"/>
              </w:rPr>
              <w:t>Other comprehensive income (loss) before income tax expense (benefit):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(5,048)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(3,117)</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10,807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45,125</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82,957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8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20" w:type="dxa"/>
            <w:vAlign w:val="bottom"/>
          </w:tcPr>
          <w:p>
            <w:pPr>
              <w:jc w:val="center"/>
              <w:ind w:left="219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20" w:type="dxa"/>
            <w:vAlign w:val="bottom"/>
          </w:tcPr>
          <w:p>
            <w:pPr>
              <w:jc w:val="center"/>
              <w:ind w:left="21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20" w:type="dxa"/>
            <w:vAlign w:val="bottom"/>
          </w:tcPr>
          <w:p>
            <w:pPr>
              <w:jc w:val="center"/>
              <w:ind w:left="2190"/>
              <w:spacing w:after="0"/>
              <w:rPr>
                <w:sz w:val="20"/>
                <w:szCs w:val="20"/>
                <w:color w:val="auto"/>
              </w:rPr>
            </w:pPr>
            <w:r>
              <w:rPr>
                <w:rFonts w:ascii="Arial" w:cs="Arial" w:eastAsia="Arial" w:hAnsi="Arial"/>
                <w:sz w:val="18"/>
                <w:szCs w:val="18"/>
                <w:color w:val="auto"/>
                <w:w w:val="89"/>
              </w:rPr>
              <w:t>(Unaudited and in thousands)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300"/>
              <w:spacing w:after="0" w:line="201" w:lineRule="exact"/>
              <w:rPr>
                <w:sz w:val="20"/>
                <w:szCs w:val="20"/>
                <w:color w:val="auto"/>
              </w:rPr>
            </w:pPr>
            <w:r>
              <w:rPr>
                <w:rFonts w:ascii="Arial" w:cs="Arial" w:eastAsia="Arial" w:hAnsi="Arial"/>
                <w:sz w:val="18"/>
                <w:szCs w:val="18"/>
                <w:color w:val="auto"/>
                <w:w w:val="89"/>
              </w:rPr>
              <w:t>January 27,</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101,082</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Loss on disposition of property and equipment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Excess tax benefit from share-based compensation</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(3,571)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(32,105)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(41,643)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(6,894)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(33,299)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assets and liabilities</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149,502</w:t>
            </w: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85,613</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(53,194)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Proceeds from insurance recoveries of property and equipment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(52,522)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(36,325)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(Taxes withheld) and proceeds from issuance of share-based compensation awards, net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Purchases and retirement of common stock</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Dividends on common stock</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(57,420)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(125,052)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Excess tax benefit from share-based compensation</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(62,248)</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(93,812)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150,966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265,455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185,698</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171,643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Cash paid during the period for: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net of amounts capitalized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6,582</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Income taxes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28,801</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37,662</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Capital expenditures accrued in 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17,500</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(9,930)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Change in deferred tax asset for interest rate swaps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Dividends declared but not yet paid</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28,997</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27,877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CRACKER BARREL OLD COUNTRY STORE, INC.</w:t>
      </w:r>
    </w:p>
    <w:p>
      <w:pPr>
        <w:spacing w:after="0" w:line="25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(In thousands, except percentages, share and per share data) (Unaudited)</w:t>
      </w:r>
    </w:p>
    <w:p>
      <w:pPr>
        <w:spacing w:after="0" w:line="203"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Condensed Consolidated Financial Statements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Cracker Barrel Old Country Store, Inc. and its affiliates (collectively, in these Notes to Condensed Consolidated Financial Statements, the “Company”) are principally engaged in the operation and development in the United States of the Cracker Barrel Old Country Store® (“Cracker Barrel”) concept.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condensed consolidated balance sheets at January 27, 2017 and July 29, 2016 and the related condensed consolidated statements of income, comprehensive income and cash flows for the quarters and six months ended January 27, 2017 and January 29, 2016, respectively, have been prepared by the Company in accordance with accounting principles generally accepted in the United States of America and pursuant to the rules and regulations of the Securities and Exchange Commission without audit. In the opinion of management, all adjustments (consisting of normal and recurring items) necessary for a fair presentation of such condensed consolidated financial statements have been made. The results of operations for any interim period are not necessarily indicative of results for a full year.</w:t>
      </w:r>
    </w:p>
    <w:p>
      <w:pPr>
        <w:spacing w:after="0" w:line="22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and notes thereto contained in the Company's Annual Report on Form 10-K for the year ended July 29, 2016 (the “2016 Form 10-K”). The accounting policies used in preparing these condensed consolidated financial statements are the same as described in the 2016 Form 10-K. References to a year in these Notes to Condensed Consolidated Financial Statements are to the Company’s fiscal year unless otherwise noted.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Adopted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Debt Issuance Costs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2015, the FASB issued accounting guidance which requires debt issuance costs to be presented in the balance sheet as a reduction of the related debt liability rather than as an asset. This accounting guidance was effective for fiscal years beginning after December 15, 2015, and interim periods within those years on a retrospective basis. Since this accounting guidance does not pertain to debt issuance costs related to revolving debt agreements, this accounting guidance did not have a significant impact on the Company’s consolidated financial position or results of operations upon adoption in the first quarter of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May 2014, the FASB issued accounting guidance which clarifies the principles for recognizing revenue and provides a comprehensive model for revenue recognition. Revenue recognition should depict the transfer of goods or services to a customer at an amount that reflects the consideration a company expects to receive in exchange for those goods or services. The guidance also requires additional disclosures about the nature, amount, timing and uncertainty of revenue and cash flows arising from customer contracts. This accounting guidance is effective for fiscal years beginning after December 15, 2017, and interim periods within those years. Early application is permitted for fiscal years beginning after December 15, 2016. A company may apply this accounting guidance either retrospectively or by using the cumulative effect transition method. The Company is currently evaluating the impact of adopting this accounting guidance in the first quarter of 2019.</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Inventory</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July 2015, the FASB issued accounting guidance which requires companies to measure certain inventory at the lower of cost and net realizable value. This accounting guidance does not apply to inventories measured by using either the last-in, first-out method or the retail inventory method. This accounting guidance is effective for fiscal years beginning after December 15, 2016, and interim periods within those years on a prospective basis. Early application is permitted. The Company is currently evaluating the impact of adopting this accounting guidance in the first quarter of 2018.</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Deferred Taxes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November 2015, in order to simplify the presentation of deferred income taxes, the FASB issued accounting guidance which requires deferred tax liabilities and assets to be classified as noncurrent in the balance sheet. This accounting guidance is effective for fiscal years beginning after December 15, 2016, and interim periods within those years. This accounting guidance may be applied either prospectively to all deferred tax liabilities and assets or retrospectively to all periods presented. Early application is permitted. The Company is currently evaluating the impact of adopting this accounting guidance in the first quarter of 2018.</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2016, the FASB issued accounting guidance which requires the recognition of lease assets and lease liabilities on the balance sheet and disclosure of key information about leasing arrangements. The accounting guidance is effective for fiscal years beginning after December 15, 2018, and interim periods within those fiscal years on a modified retrospective basis. Early adoption is permitted. The Company is currently evaluating the impact of adopting this accounting guidance in the first quarter of 2020.</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Recognition of Breakage for Certain Prepaid Stored-Value Products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March 2016, in order to address diversity in practice related to the derecognition of a prepaid stored-value product liability, the FASB issued accounting guidance requiring breakage for prepaid stored-value product liabilities to be accounted for consistent with the breakage guidance in the revenue recognition standard (see “Revenue Recognition” above). This accounting guidance is effective for fiscal years beginning after December 15, 2017, and interim periods within those years. This accounting guidance may be applied either on a modified retrospective basis or on a retrospective basis. Early application is permitted. The Company is currently evaluating the impact of adopting this accounting guidance in the first quarter of 2019.</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Share-Based Payments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2016, the FASB issued accounting guidance in order to simplify certain aspects of the accounting and presentation of share-based payments, including the income tax consequences, classification of awards as either equity or liabilities, and classification on the statement of cash flows. This accounting guidance is effective for fiscal periods beginning after December 15, 2016, and interim periods within those years. This guidance may be applied either on a prospective basis, retrospective basis or a modified retrospective basis depending on the specific accounting topic covered in the accounting guidance. Early adoption is permitted. The Company is currently evaluating the impact of adopting this accounting guidance in the first quarter of 2018.</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Company’s assets and liabilities measured at fair value on a recurring basis at January 27, 2017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Quoted 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Observable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w w:val="99"/>
              </w:rPr>
              <w:t>Identical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Inputs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2)</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asset (see Note 5)</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1,790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138,900</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1,790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140,690</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liability (see Note 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6,540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6,540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at fair value</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assets and liabilities measured at fair value on a recurring basis at July 29, 2016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Quoted 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Observable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w w:val="99"/>
              </w:rPr>
              <w:t>Identical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Inputs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2)</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asset (see Note 5)</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103,848</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103,848</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liability (see Note 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22,250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22,250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at fair value</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*Consists of money market fund investments.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**Represents plan assets invested in mutual funds established under a rabbi trust for the Company’s non-qualified savings plan and is included in the Condensed Consolidated Balance Sheets as other assets.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money market fund investments and deferred compensation plan assets are measured at fair value using quoted market prices. The fair values of the Company’s interest rate swap assets and liabilities are determined based on the present value of expected future cash flows. Since the values of the Company’s interest rate swaps are based on the LIBOR forward curve, which is observable at commonly quoted intervals for the full terms of the swaps, it is considered a Level 2 input. Non-performance risk is reflected in determining the fair value of the interest rate swaps by using the Company’s credit spread less the risk-free interest rate, both of which are observable at commonly quoted intervals for the terms of the swaps. Thus, the adjustment for non-performance risk is also considered a Level 2 input.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values of the Company’s accounts receivable and accounts payable approximate their carrying amounts because of their short duration. The fair value of the Company’s variable rate debt, based on quoted market prices, which are considered Level 1 inputs, approximates its carrying amount at January 27, 2017 and July 29, 2016.</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46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345"/>
        </w:trPr>
        <w:tc>
          <w:tcPr>
            <w:tcW w:w="32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Inventories</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Inventories were comprised of the following at:</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6"/>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January 27, 2017</w:t>
            </w:r>
          </w:p>
        </w:tc>
        <w:tc>
          <w:tcPr>
            <w:tcW w:w="200" w:type="dxa"/>
            <w:vAlign w:val="bottom"/>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July 29, 2016</w:t>
            </w:r>
          </w:p>
        </w:tc>
        <w:tc>
          <w:tcPr>
            <w:tcW w:w="12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w:t>
            </w:r>
          </w:p>
        </w:tc>
        <w:tc>
          <w:tcPr>
            <w:tcW w:w="420" w:type="dxa"/>
            <w:vAlign w:val="bottom"/>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118,323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114,610</w:t>
            </w:r>
          </w:p>
        </w:tc>
        <w:tc>
          <w:tcPr>
            <w:tcW w:w="12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gridSpan w:val="3"/>
          </w:tcPr>
          <w:p>
            <w:pPr>
              <w:spacing w:after="0"/>
              <w:rPr>
                <w:sz w:val="20"/>
                <w:szCs w:val="20"/>
                <w:color w:val="auto"/>
              </w:rPr>
            </w:pPr>
            <w:r>
              <w:rPr>
                <w:rFonts w:ascii="Arial" w:cs="Arial" w:eastAsia="Arial" w:hAnsi="Arial"/>
                <w:sz w:val="18"/>
                <w:szCs w:val="18"/>
                <w:color w:val="auto"/>
              </w:rPr>
              <w:t>Restaurant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20,005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21,522</w:t>
            </w:r>
          </w:p>
        </w:tc>
        <w:tc>
          <w:tcPr>
            <w:tcW w:w="120" w:type="dxa"/>
            <w:vAlign w:val="bottom"/>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Supplies</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17,551</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16,176</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20" w:type="dxa"/>
            <w:vAlign w:val="bottom"/>
            <w:gridSpan w:val="2"/>
          </w:tcPr>
          <w:p>
            <w:pPr>
              <w:ind w:left="80"/>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ind w:right="26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155,879</w:t>
            </w:r>
          </w:p>
        </w:tc>
        <w:tc>
          <w:tcPr>
            <w:tcW w:w="52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152,308</w:t>
            </w:r>
          </w:p>
        </w:tc>
        <w:tc>
          <w:tcPr>
            <w:tcW w:w="120" w:type="dxa"/>
            <w:vAlign w:val="bottom"/>
          </w:tcPr>
          <w:p>
            <w:pPr>
              <w:spacing w:after="0"/>
              <w:rPr>
                <w:sz w:val="18"/>
                <w:szCs w:val="18"/>
                <w:color w:val="auto"/>
              </w:rPr>
            </w:pPr>
          </w:p>
        </w:tc>
      </w:tr>
      <w:tr>
        <w:trPr>
          <w:trHeight w:val="21"/>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has a $750,000 revolving credit facility (the “Revolving Credit Facility”), which expires on January 8, 2020. At both January 27, 2017 and July 29, 2016, the Company had $400,000 of outstanding borrowings under the Revolving Credit Facility. At January 27, 2017, the Company had $9,655 of standby letters of credit, which reduce the Company’s borrowing availability under the Revolving Credit Facility (see Note 11 for more information on the Company’s standby letters of credit). At January 27, 2017, the Company had $340,345 in borrowing availability under the Revolving Credit Facility.</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accordance with the Revolving Credit Facility, outstanding borrowings bear interest, at the Company’s election, either at LIBOR or prime plus a percentage point spread based on certain specified financial ratios under the Revolving Credit Facility. As of January 27, 2017, the Company’s outstanding borrowings were swapped at a weighted average interest rate of 3.10% (see Note 5 for information on the Company’s interest rate swaps).</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Revolving Credit Facility contains customary financial covenants, which include maintenance of a maximum consolidated total leverage ratio and a minimum consolidated interest coverage ratio. At January 27, 2017, the Company was in compliance with all financial covenants.</w:t>
      </w:r>
    </w:p>
    <w:p>
      <w:pPr>
        <w:spacing w:after="0" w:line="1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Revolving Credit Facility also imposes restrictions on the amount of dividends the Company is permitted to pay and the amount of shares the Company is permitted to repurchase. Under the Revolving Credit Facility, provided there is no default existing and the total of the Company’s availability under the Revolving Credit Facility plus the Company’s cash and cash equivalents on hand is at least $100,000 (the “cash availability”), the Company may declare and pay cash dividends on shares of its common stock and repurchase shares of its common stock (1) in an unlimited amount if, at the time such dividend or repurchase is made, the Company’s consolidated total leverage ratio is 3.00 to 1.00 or less and (2) in an aggregate amount not to exceed $100,000 in any fiscal year if the Company’s consolidated total leverage ratio is greater than 3.00 to 1.00 at the time the dividend or repurchase is made; notwithstanding (1) and (2), so long as immediately after giving effect to the payment of any such dividends, cash availability is at least $100,000, the Company may declare and pay cash dividends on shares of its common stock in an aggregate amount not to exceed in any fiscal year the product of the aggregate amount of dividends declared in the fourth quarter of the immediately preceding fiscal year multiplied by four.</w:t>
      </w:r>
    </w:p>
    <w:p>
      <w:pPr>
        <w:spacing w:after="0" w:line="178"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interest rate risk relative to its outstanding borrowings (see Note 4 for information on the Company’s outstanding borrowings). The Company’s policy has been to manage interest cost using a mix of fixed and variable rate debt. To manage this risk in a cost-efficient manner, the Company uses derivative instruments, specifically interest rate swaps.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each of the Company’s interest rate swaps, the Company has agreed to exchange with a counterparty the difference between fixed and variable interest amounts calculated by reference to an agreed-upon notional principal amount. The interest rates on the portion of the Company’s outstanding debt covered by its interest rate swaps are fixed at the rates in the table below plus the Company’s credit spread. The Company’s credit spread at January 27, 2017 was 1.25%. All of the Company’s interest rate swaps are accounted for as cash flow hedges.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interest rate swaps at January 27, 2017 is as follows: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00" w:type="dxa"/>
            <w:vAlign w:val="bottom"/>
          </w:tcPr>
          <w:p>
            <w:pPr>
              <w:jc w:val="center"/>
              <w:ind w:left="350"/>
              <w:spacing w:after="0"/>
              <w:rPr>
                <w:sz w:val="20"/>
                <w:szCs w:val="20"/>
                <w:color w:val="auto"/>
              </w:rPr>
            </w:pPr>
            <w:r>
              <w:rPr>
                <w:rFonts w:ascii="Arial" w:cs="Arial" w:eastAsia="Arial" w:hAnsi="Arial"/>
                <w:sz w:val="18"/>
                <w:szCs w:val="18"/>
                <w:color w:val="auto"/>
                <w:w w:val="90"/>
              </w:rPr>
              <w:t>Term</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0" w:type="dxa"/>
            <w:vAlign w:val="bottom"/>
          </w:tcPr>
          <w:p>
            <w:pPr>
              <w:jc w:val="right"/>
              <w:ind w:right="690"/>
              <w:spacing w:after="0"/>
              <w:rPr>
                <w:sz w:val="20"/>
                <w:szCs w:val="20"/>
                <w:color w:val="auto"/>
              </w:rPr>
            </w:pPr>
            <w:r>
              <w:rPr>
                <w:rFonts w:ascii="Arial" w:cs="Arial" w:eastAsia="Arial" w:hAnsi="Arial"/>
                <w:sz w:val="18"/>
                <w:szCs w:val="18"/>
                <w:color w:val="auto"/>
              </w:rPr>
              <w:t>Fixed</w:t>
            </w:r>
          </w:p>
        </w:tc>
      </w:tr>
      <w:tr>
        <w:trPr>
          <w:trHeight w:val="237"/>
        </w:trPr>
        <w:tc>
          <w:tcPr>
            <w:tcW w:w="20" w:type="dxa"/>
            <w:vAlign w:val="bottom"/>
          </w:tcPr>
          <w:p>
            <w:pPr>
              <w:spacing w:after="0"/>
              <w:rPr>
                <w:sz w:val="20"/>
                <w:szCs w:val="20"/>
                <w:color w:val="auto"/>
              </w:rPr>
            </w:pPr>
          </w:p>
        </w:tc>
        <w:tc>
          <w:tcPr>
            <w:tcW w:w="19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Trade Date</w:t>
            </w:r>
          </w:p>
        </w:tc>
        <w:tc>
          <w:tcPr>
            <w:tcW w:w="27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Effective Date</w:t>
            </w:r>
          </w:p>
        </w:tc>
        <w:tc>
          <w:tcPr>
            <w:tcW w:w="15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89"/>
              </w:rPr>
              <w:t>(in Years)</w:t>
            </w: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6"/>
              </w:rPr>
              <w:t>Notional Amount</w:t>
            </w:r>
          </w:p>
        </w:tc>
        <w:tc>
          <w:tcPr>
            <w:tcW w:w="16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Rate</w:t>
            </w: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March 18, 2013</w:t>
            </w:r>
          </w:p>
        </w:tc>
        <w:tc>
          <w:tcPr>
            <w:tcW w:w="2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May 3, 2015</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50,000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April 8, 2013</w:t>
            </w:r>
          </w:p>
        </w:tc>
        <w:tc>
          <w:tcPr>
            <w:tcW w:w="2700" w:type="dxa"/>
            <w:vAlign w:val="bottom"/>
          </w:tcPr>
          <w:p>
            <w:pPr>
              <w:ind w:left="400"/>
              <w:spacing w:after="0"/>
              <w:rPr>
                <w:sz w:val="20"/>
                <w:szCs w:val="20"/>
                <w:color w:val="auto"/>
              </w:rPr>
            </w:pPr>
            <w:r>
              <w:rPr>
                <w:rFonts w:ascii="Arial" w:cs="Arial" w:eastAsia="Arial" w:hAnsi="Arial"/>
                <w:sz w:val="18"/>
                <w:szCs w:val="18"/>
                <w:color w:val="auto"/>
              </w:rPr>
              <w:t>May 3, 2015</w:t>
            </w:r>
          </w:p>
        </w:tc>
        <w:tc>
          <w:tcPr>
            <w:tcW w:w="150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880" w:type="dxa"/>
            <w:vAlign w:val="bottom"/>
          </w:tcPr>
          <w:p>
            <w:pPr>
              <w:jc w:val="right"/>
              <w:ind w:right="330"/>
              <w:spacing w:after="0"/>
              <w:rPr>
                <w:sz w:val="20"/>
                <w:szCs w:val="20"/>
                <w:color w:val="auto"/>
              </w:rPr>
            </w:pPr>
            <w:r>
              <w:rPr>
                <w:rFonts w:ascii="Arial" w:cs="Arial" w:eastAsia="Arial" w:hAnsi="Arial"/>
                <w:sz w:val="18"/>
                <w:szCs w:val="18"/>
                <w:color w:val="auto"/>
              </w:rPr>
              <w:t>50,000</w:t>
            </w:r>
          </w:p>
        </w:tc>
        <w:tc>
          <w:tcPr>
            <w:tcW w:w="16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April 15, 2013</w:t>
            </w:r>
          </w:p>
        </w:tc>
        <w:tc>
          <w:tcPr>
            <w:tcW w:w="2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May 3, 2015</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50,000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April 22, 2013</w:t>
            </w:r>
          </w:p>
        </w:tc>
        <w:tc>
          <w:tcPr>
            <w:tcW w:w="2700" w:type="dxa"/>
            <w:vAlign w:val="bottom"/>
          </w:tcPr>
          <w:p>
            <w:pPr>
              <w:ind w:left="400"/>
              <w:spacing w:after="0"/>
              <w:rPr>
                <w:sz w:val="20"/>
                <w:szCs w:val="20"/>
                <w:color w:val="auto"/>
              </w:rPr>
            </w:pPr>
            <w:r>
              <w:rPr>
                <w:rFonts w:ascii="Arial" w:cs="Arial" w:eastAsia="Arial" w:hAnsi="Arial"/>
                <w:sz w:val="18"/>
                <w:szCs w:val="18"/>
                <w:color w:val="auto"/>
              </w:rPr>
              <w:t>May 3, 2015</w:t>
            </w:r>
          </w:p>
        </w:tc>
        <w:tc>
          <w:tcPr>
            <w:tcW w:w="150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880" w:type="dxa"/>
            <w:vAlign w:val="bottom"/>
          </w:tcPr>
          <w:p>
            <w:pPr>
              <w:jc w:val="right"/>
              <w:ind w:right="330"/>
              <w:spacing w:after="0"/>
              <w:rPr>
                <w:sz w:val="20"/>
                <w:szCs w:val="20"/>
                <w:color w:val="auto"/>
              </w:rPr>
            </w:pPr>
            <w:r>
              <w:rPr>
                <w:rFonts w:ascii="Arial" w:cs="Arial" w:eastAsia="Arial" w:hAnsi="Arial"/>
                <w:sz w:val="18"/>
                <w:szCs w:val="18"/>
                <w:color w:val="auto"/>
              </w:rPr>
              <w:t>25,000</w:t>
            </w:r>
          </w:p>
        </w:tc>
        <w:tc>
          <w:tcPr>
            <w:tcW w:w="16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April 25, 2013</w:t>
            </w:r>
          </w:p>
        </w:tc>
        <w:tc>
          <w:tcPr>
            <w:tcW w:w="2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May 3, 2015</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25,000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June 18, 2014</w:t>
            </w:r>
          </w:p>
        </w:tc>
        <w:tc>
          <w:tcPr>
            <w:tcW w:w="2700" w:type="dxa"/>
            <w:vAlign w:val="bottom"/>
          </w:tcPr>
          <w:p>
            <w:pPr>
              <w:ind w:left="400"/>
              <w:spacing w:after="0"/>
              <w:rPr>
                <w:sz w:val="20"/>
                <w:szCs w:val="20"/>
                <w:color w:val="auto"/>
              </w:rPr>
            </w:pPr>
            <w:r>
              <w:rPr>
                <w:rFonts w:ascii="Arial" w:cs="Arial" w:eastAsia="Arial" w:hAnsi="Arial"/>
                <w:sz w:val="18"/>
                <w:szCs w:val="18"/>
                <w:color w:val="auto"/>
              </w:rPr>
              <w:t>May 3, 2015</w:t>
            </w:r>
          </w:p>
        </w:tc>
        <w:tc>
          <w:tcPr>
            <w:tcW w:w="150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880" w:type="dxa"/>
            <w:vAlign w:val="bottom"/>
          </w:tcPr>
          <w:p>
            <w:pPr>
              <w:jc w:val="right"/>
              <w:ind w:right="330"/>
              <w:spacing w:after="0"/>
              <w:rPr>
                <w:sz w:val="20"/>
                <w:szCs w:val="20"/>
                <w:color w:val="auto"/>
              </w:rPr>
            </w:pPr>
            <w:r>
              <w:rPr>
                <w:rFonts w:ascii="Arial" w:cs="Arial" w:eastAsia="Arial" w:hAnsi="Arial"/>
                <w:sz w:val="18"/>
                <w:szCs w:val="18"/>
                <w:color w:val="auto"/>
              </w:rPr>
              <w:t>80,000</w:t>
            </w:r>
          </w:p>
        </w:tc>
        <w:tc>
          <w:tcPr>
            <w:tcW w:w="160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June 24, 2014</w:t>
            </w:r>
          </w:p>
        </w:tc>
        <w:tc>
          <w:tcPr>
            <w:tcW w:w="2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May 3, 2015</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60,000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July 1, 2014</w:t>
            </w:r>
          </w:p>
        </w:tc>
        <w:tc>
          <w:tcPr>
            <w:tcW w:w="2700" w:type="dxa"/>
            <w:vAlign w:val="bottom"/>
          </w:tcPr>
          <w:p>
            <w:pPr>
              <w:ind w:left="400"/>
              <w:spacing w:after="0"/>
              <w:rPr>
                <w:sz w:val="20"/>
                <w:szCs w:val="20"/>
                <w:color w:val="auto"/>
              </w:rPr>
            </w:pPr>
            <w:r>
              <w:rPr>
                <w:rFonts w:ascii="Arial" w:cs="Arial" w:eastAsia="Arial" w:hAnsi="Arial"/>
                <w:sz w:val="18"/>
                <w:szCs w:val="18"/>
                <w:color w:val="auto"/>
              </w:rPr>
              <w:t>May 5, 2015</w:t>
            </w:r>
          </w:p>
        </w:tc>
        <w:tc>
          <w:tcPr>
            <w:tcW w:w="150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880" w:type="dxa"/>
            <w:vAlign w:val="bottom"/>
          </w:tcPr>
          <w:p>
            <w:pPr>
              <w:jc w:val="right"/>
              <w:ind w:right="330"/>
              <w:spacing w:after="0"/>
              <w:rPr>
                <w:sz w:val="20"/>
                <w:szCs w:val="20"/>
                <w:color w:val="auto"/>
              </w:rPr>
            </w:pPr>
            <w:r>
              <w:rPr>
                <w:rFonts w:ascii="Arial" w:cs="Arial" w:eastAsia="Arial" w:hAnsi="Arial"/>
                <w:sz w:val="18"/>
                <w:szCs w:val="18"/>
                <w:color w:val="auto"/>
              </w:rPr>
              <w:t>60,000</w:t>
            </w:r>
          </w:p>
        </w:tc>
        <w:tc>
          <w:tcPr>
            <w:tcW w:w="160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2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May 3, 2019</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80,000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January 30, 2015</w:t>
            </w:r>
          </w:p>
        </w:tc>
        <w:tc>
          <w:tcPr>
            <w:tcW w:w="2700" w:type="dxa"/>
            <w:vAlign w:val="bottom"/>
          </w:tcPr>
          <w:p>
            <w:pPr>
              <w:ind w:left="400"/>
              <w:spacing w:after="0"/>
              <w:rPr>
                <w:sz w:val="20"/>
                <w:szCs w:val="20"/>
                <w:color w:val="auto"/>
              </w:rPr>
            </w:pPr>
            <w:r>
              <w:rPr>
                <w:rFonts w:ascii="Arial" w:cs="Arial" w:eastAsia="Arial" w:hAnsi="Arial"/>
                <w:sz w:val="18"/>
                <w:szCs w:val="18"/>
                <w:color w:val="auto"/>
              </w:rPr>
              <w:t>May 3, 2019</w:t>
            </w:r>
          </w:p>
        </w:tc>
        <w:tc>
          <w:tcPr>
            <w:tcW w:w="150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880" w:type="dxa"/>
            <w:vAlign w:val="bottom"/>
          </w:tcPr>
          <w:p>
            <w:pPr>
              <w:jc w:val="right"/>
              <w:ind w:right="330"/>
              <w:spacing w:after="0"/>
              <w:rPr>
                <w:sz w:val="20"/>
                <w:szCs w:val="20"/>
                <w:color w:val="auto"/>
              </w:rPr>
            </w:pPr>
            <w:r>
              <w:rPr>
                <w:rFonts w:ascii="Arial" w:cs="Arial" w:eastAsia="Arial" w:hAnsi="Arial"/>
                <w:sz w:val="18"/>
                <w:szCs w:val="18"/>
                <w:color w:val="auto"/>
              </w:rPr>
              <w:t>60,000</w:t>
            </w:r>
          </w:p>
        </w:tc>
        <w:tc>
          <w:tcPr>
            <w:tcW w:w="160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2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May 4, 2021</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120,000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January 30, 2015</w:t>
            </w:r>
          </w:p>
        </w:tc>
        <w:tc>
          <w:tcPr>
            <w:tcW w:w="2700" w:type="dxa"/>
            <w:vAlign w:val="bottom"/>
          </w:tcPr>
          <w:p>
            <w:pPr>
              <w:ind w:left="400"/>
              <w:spacing w:after="0"/>
              <w:rPr>
                <w:sz w:val="20"/>
                <w:szCs w:val="20"/>
                <w:color w:val="auto"/>
              </w:rPr>
            </w:pPr>
            <w:r>
              <w:rPr>
                <w:rFonts w:ascii="Arial" w:cs="Arial" w:eastAsia="Arial" w:hAnsi="Arial"/>
                <w:sz w:val="18"/>
                <w:szCs w:val="18"/>
                <w:color w:val="auto"/>
              </w:rPr>
              <w:t>May 3, 2019</w:t>
            </w:r>
          </w:p>
        </w:tc>
        <w:tc>
          <w:tcPr>
            <w:tcW w:w="150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880" w:type="dxa"/>
            <w:vAlign w:val="bottom"/>
          </w:tcPr>
          <w:p>
            <w:pPr>
              <w:jc w:val="right"/>
              <w:ind w:right="330"/>
              <w:spacing w:after="0"/>
              <w:rPr>
                <w:sz w:val="20"/>
                <w:szCs w:val="20"/>
                <w:color w:val="auto"/>
              </w:rPr>
            </w:pPr>
            <w:r>
              <w:rPr>
                <w:rFonts w:ascii="Arial" w:cs="Arial" w:eastAsia="Arial" w:hAnsi="Arial"/>
                <w:sz w:val="18"/>
                <w:szCs w:val="18"/>
                <w:color w:val="auto"/>
              </w:rPr>
              <w:t>60,000</w:t>
            </w:r>
          </w:p>
        </w:tc>
        <w:tc>
          <w:tcPr>
            <w:tcW w:w="160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2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May 4, 2021</w:t>
            </w: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80,000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r>
    </w:tbl>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notional amount for the interest rate swap entered into on June 18, 2014 increases by $40,000 each May over the four-year term of the interest rate swap until the notional amount reaches $160,000 in May 2018. The notional amounts for the interest rate swaps entered into on June 24, 2014 and July 1, 2014 increase by $30,000 each May over the four-year terms of the interest rate swaps until the notional amounts each reach $120,000 in May 2018.</w:t>
      </w:r>
    </w:p>
    <w:p>
      <w:pPr>
        <w:spacing w:after="0" w:line="17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does not hold or use derivative instruments for trading purposes. The Company also does not have any derivatives not designated as hedging instruments and has not designated any non-derivatives as hedging instruments.</w:t>
      </w:r>
    </w:p>
    <w:p>
      <w:pPr>
        <w:spacing w:after="0" w:line="197"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Companies may elect to offset related assets and liabilities and report the net amount on their financial statements if the right of setoff exists. Under a master netting agreement, the Company has the legal right to offset the amounts owed to the Company against amounts owed by the Company under a derivative instrument that exists between the Company and a counterparty. When the Company is engaged in more than one outstanding derivative transaction with the same counterparty and also has a legally enforceable master netting agreement with that counterparty, its credit risk exposure is based on the net exposure under the master netting agreement. If, on a net basis, the Company owes the counterparty, the Company regards its credit exposure to the counterparty as being zero.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derivative instruments as of January 27, 2017 and July 29, 2016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00" w:type="dxa"/>
            <w:vAlign w:val="bottom"/>
            <w:gridSpan w:val="2"/>
          </w:tcPr>
          <w:p>
            <w:pPr>
              <w:spacing w:after="0"/>
              <w:rPr>
                <w:sz w:val="20"/>
                <w:szCs w:val="20"/>
                <w:color w:val="auto"/>
              </w:rPr>
            </w:pPr>
            <w:r>
              <w:rPr>
                <w:rFonts w:ascii="Arial" w:cs="Arial" w:eastAsia="Arial" w:hAnsi="Arial"/>
                <w:sz w:val="18"/>
                <w:szCs w:val="18"/>
                <w:color w:val="auto"/>
              </w:rPr>
              <w:t>(See Note 2)</w:t>
            </w:r>
          </w:p>
        </w:tc>
        <w:tc>
          <w:tcPr>
            <w:tcW w:w="4320" w:type="dxa"/>
            <w:vAlign w:val="bottom"/>
          </w:tcPr>
          <w:p>
            <w:pPr>
              <w:ind w:left="1280"/>
              <w:spacing w:after="0"/>
              <w:rPr>
                <w:sz w:val="20"/>
                <w:szCs w:val="20"/>
                <w:color w:val="auto"/>
              </w:rPr>
            </w:pPr>
            <w:r>
              <w:rPr>
                <w:rFonts w:ascii="Arial" w:cs="Arial" w:eastAsia="Arial" w:hAnsi="Arial"/>
                <w:sz w:val="18"/>
                <w:szCs w:val="18"/>
                <w:color w:val="auto"/>
              </w:rPr>
              <w:t>Balance Sheet Location</w:t>
            </w:r>
          </w:p>
        </w:tc>
        <w:tc>
          <w:tcPr>
            <w:tcW w:w="1460" w:type="dxa"/>
            <w:vAlign w:val="bottom"/>
            <w:gridSpan w:val="4"/>
          </w:tcPr>
          <w:p>
            <w:pPr>
              <w:jc w:val="right"/>
              <w:ind w:right="120"/>
              <w:spacing w:after="0"/>
              <w:rPr>
                <w:sz w:val="20"/>
                <w:szCs w:val="20"/>
                <w:color w:val="auto"/>
              </w:rPr>
            </w:pPr>
            <w:r>
              <w:rPr>
                <w:rFonts w:ascii="Arial" w:cs="Arial" w:eastAsia="Arial" w:hAnsi="Arial"/>
                <w:sz w:val="18"/>
                <w:szCs w:val="18"/>
                <w:color w:val="auto"/>
                <w:w w:val="94"/>
              </w:rPr>
              <w:t>January 27, 2017</w:t>
            </w:r>
          </w:p>
        </w:tc>
        <w:tc>
          <w:tcPr>
            <w:tcW w:w="100" w:type="dxa"/>
            <w:vAlign w:val="bottom"/>
          </w:tcPr>
          <w:p>
            <w:pPr>
              <w:spacing w:after="0"/>
              <w:rPr>
                <w:sz w:val="20"/>
                <w:szCs w:val="20"/>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color w:val="auto"/>
              </w:rPr>
              <w:t>July 29, 2016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43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56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Interest rate swaps</w:t>
            </w:r>
          </w:p>
        </w:tc>
        <w:tc>
          <w:tcPr>
            <w:tcW w:w="4320" w:type="dxa"/>
            <w:vAlign w:val="bottom"/>
          </w:tcPr>
          <w:p>
            <w:pPr>
              <w:spacing w:after="0"/>
              <w:rPr>
                <w:sz w:val="20"/>
                <w:szCs w:val="20"/>
                <w:color w:val="auto"/>
              </w:rPr>
            </w:pPr>
            <w:r>
              <w:rPr>
                <w:rFonts w:ascii="Arial" w:cs="Arial" w:eastAsia="Arial" w:hAnsi="Arial"/>
                <w:sz w:val="18"/>
                <w:szCs w:val="18"/>
                <w:color w:val="auto"/>
              </w:rPr>
              <w:t>Long-term interest rate swap liability</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22,070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8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summarizes the offsetting of the Company’s derivative assets in the Condensed Consolidated Balance Sheets at January 27, 2017 and July 29,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jc w:val="center"/>
              <w:ind w:right="220"/>
              <w:spacing w:after="0"/>
              <w:rPr>
                <w:sz w:val="20"/>
                <w:szCs w:val="20"/>
                <w:color w:val="auto"/>
              </w:rPr>
            </w:pPr>
            <w:r>
              <w:rPr>
                <w:rFonts w:ascii="Arial" w:cs="Arial" w:eastAsia="Arial" w:hAnsi="Arial"/>
                <w:sz w:val="18"/>
                <w:szCs w:val="18"/>
                <w:color w:val="auto"/>
                <w:w w:val="90"/>
              </w:rPr>
              <w:t>Net Asset Amount Presented</w:t>
            </w:r>
          </w:p>
        </w:tc>
      </w:tr>
      <w:tr>
        <w:trPr>
          <w:trHeight w:val="237"/>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4"/>
          </w:tcPr>
          <w:p>
            <w:pPr>
              <w:jc w:val="right"/>
              <w:ind w:right="195"/>
              <w:spacing w:after="0"/>
              <w:rPr>
                <w:sz w:val="20"/>
                <w:szCs w:val="20"/>
                <w:color w:val="auto"/>
              </w:rPr>
            </w:pPr>
            <w:r>
              <w:rPr>
                <w:rFonts w:ascii="Arial" w:cs="Arial" w:eastAsia="Arial" w:hAnsi="Arial"/>
                <w:sz w:val="18"/>
                <w:szCs w:val="18"/>
                <w:color w:val="auto"/>
              </w:rPr>
              <w:t>Gross Asset Amounts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ind w:left="380"/>
              <w:spacing w:after="0"/>
              <w:rPr>
                <w:sz w:val="20"/>
                <w:szCs w:val="20"/>
                <w:color w:val="auto"/>
              </w:rPr>
            </w:pPr>
            <w:r>
              <w:rPr>
                <w:rFonts w:ascii="Arial" w:cs="Arial" w:eastAsia="Arial" w:hAnsi="Arial"/>
                <w:sz w:val="18"/>
                <w:szCs w:val="18"/>
                <w:color w:val="auto"/>
              </w:rPr>
              <w:t>Liability Amount Offset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jc w:val="center"/>
              <w:ind w:right="220"/>
              <w:spacing w:after="0"/>
              <w:rPr>
                <w:sz w:val="20"/>
                <w:szCs w:val="20"/>
                <w:color w:val="auto"/>
              </w:rPr>
            </w:pPr>
            <w:r>
              <w:rPr>
                <w:rFonts w:ascii="Arial" w:cs="Arial" w:eastAsia="Arial" w:hAnsi="Arial"/>
                <w:sz w:val="18"/>
                <w:szCs w:val="18"/>
                <w:color w:val="auto"/>
                <w:w w:val="87"/>
              </w:rPr>
              <w:t>in the Balance Sheets</w:t>
            </w:r>
          </w:p>
        </w:tc>
      </w:tr>
      <w:tr>
        <w:trPr>
          <w:trHeight w:val="202"/>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260"/>
              <w:spacing w:after="0" w:line="201" w:lineRule="exact"/>
              <w:rPr>
                <w:sz w:val="20"/>
                <w:szCs w:val="20"/>
                <w:color w:val="auto"/>
              </w:rPr>
            </w:pPr>
            <w:r>
              <w:rPr>
                <w:rFonts w:ascii="Arial" w:cs="Arial" w:eastAsia="Arial" w:hAnsi="Arial"/>
                <w:sz w:val="18"/>
                <w:szCs w:val="18"/>
                <w:color w:val="auto"/>
                <w:w w:val="87"/>
              </w:rPr>
              <w:t>January 27,</w:t>
            </w: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left="135"/>
              <w:spacing w:after="0" w:line="201" w:lineRule="exact"/>
              <w:rPr>
                <w:sz w:val="20"/>
                <w:szCs w:val="20"/>
                <w:color w:val="auto"/>
              </w:rPr>
            </w:pPr>
            <w:r>
              <w:rPr>
                <w:rFonts w:ascii="Arial" w:cs="Arial" w:eastAsia="Arial" w:hAnsi="Arial"/>
                <w:sz w:val="18"/>
                <w:szCs w:val="18"/>
                <w:color w:val="auto"/>
                <w:w w:val="90"/>
              </w:rPr>
              <w:t>July 29,</w:t>
            </w:r>
          </w:p>
        </w:tc>
        <w:tc>
          <w:tcPr>
            <w:tcW w:w="2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top w:val="single" w:sz="8" w:color="auto"/>
            </w:tcBorders>
          </w:tcPr>
          <w:p>
            <w:pPr>
              <w:ind w:left="160"/>
              <w:spacing w:after="0" w:line="201" w:lineRule="exact"/>
              <w:rPr>
                <w:sz w:val="20"/>
                <w:szCs w:val="20"/>
                <w:color w:val="auto"/>
              </w:rPr>
            </w:pPr>
            <w:r>
              <w:rPr>
                <w:rFonts w:ascii="Arial" w:cs="Arial" w:eastAsia="Arial" w:hAnsi="Arial"/>
                <w:sz w:val="18"/>
                <w:szCs w:val="18"/>
                <w:color w:val="auto"/>
                <w:w w:val="85"/>
              </w:rPr>
              <w:t>January 27,</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left="115"/>
              <w:spacing w:after="0" w:line="201" w:lineRule="exact"/>
              <w:rPr>
                <w:sz w:val="20"/>
                <w:szCs w:val="20"/>
                <w:color w:val="auto"/>
              </w:rPr>
            </w:pPr>
            <w:r>
              <w:rPr>
                <w:rFonts w:ascii="Arial" w:cs="Arial" w:eastAsia="Arial" w:hAnsi="Arial"/>
                <w:sz w:val="18"/>
                <w:szCs w:val="18"/>
                <w:color w:val="auto"/>
                <w:w w:val="90"/>
              </w:rPr>
              <w:t>July 29,</w:t>
            </w:r>
          </w:p>
        </w:tc>
        <w:tc>
          <w:tcPr>
            <w:tcW w:w="2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340"/>
              <w:spacing w:after="0" w:line="201" w:lineRule="exact"/>
              <w:rPr>
                <w:sz w:val="20"/>
                <w:szCs w:val="20"/>
                <w:color w:val="auto"/>
              </w:rPr>
            </w:pPr>
            <w:r>
              <w:rPr>
                <w:rFonts w:ascii="Arial" w:cs="Arial" w:eastAsia="Arial" w:hAnsi="Arial"/>
                <w:sz w:val="18"/>
                <w:szCs w:val="18"/>
                <w:color w:val="auto"/>
                <w:w w:val="87"/>
              </w:rPr>
              <w:t>January 27,</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10"/>
              <w:spacing w:after="0" w:line="201" w:lineRule="exact"/>
              <w:rPr>
                <w:sz w:val="20"/>
                <w:szCs w:val="20"/>
                <w:color w:val="auto"/>
              </w:rPr>
            </w:pPr>
            <w:r>
              <w:rPr>
                <w:rFonts w:ascii="Arial" w:cs="Arial" w:eastAsia="Arial" w:hAnsi="Arial"/>
                <w:sz w:val="18"/>
                <w:szCs w:val="18"/>
                <w:color w:val="auto"/>
                <w:w w:val="90"/>
              </w:rPr>
              <w:t>July 29,</w:t>
            </w:r>
          </w:p>
        </w:tc>
        <w:tc>
          <w:tcPr>
            <w:tcW w:w="100" w:type="dxa"/>
            <w:vAlign w:val="bottom"/>
          </w:tcPr>
          <w:p>
            <w:pPr>
              <w:spacing w:after="0"/>
              <w:rPr>
                <w:sz w:val="17"/>
                <w:szCs w:val="17"/>
                <w:color w:val="auto"/>
              </w:rPr>
            </w:pPr>
          </w:p>
        </w:tc>
      </w:tr>
      <w:tr>
        <w:trPr>
          <w:trHeight w:val="237"/>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(See Note 2)</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37"/>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75"/>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55"/>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the offsetting of the Company’s derivative liabilities in the Condensed Consolidated Balance Sheets at January 27, 2017 and July 29,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jc w:val="center"/>
              <w:ind w:right="200"/>
              <w:spacing w:after="0"/>
              <w:rPr>
                <w:sz w:val="20"/>
                <w:szCs w:val="20"/>
                <w:color w:val="auto"/>
              </w:rPr>
            </w:pPr>
            <w:r>
              <w:rPr>
                <w:rFonts w:ascii="Arial" w:cs="Arial" w:eastAsia="Arial" w:hAnsi="Arial"/>
                <w:sz w:val="18"/>
                <w:szCs w:val="18"/>
                <w:color w:val="auto"/>
                <w:w w:val="93"/>
              </w:rPr>
              <w:t>Net Liability Amount Presented</w:t>
            </w:r>
          </w:p>
        </w:tc>
      </w:tr>
      <w:tr>
        <w:trPr>
          <w:trHeight w:val="237"/>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5"/>
          </w:tcPr>
          <w:p>
            <w:pPr>
              <w:ind w:left="260"/>
              <w:spacing w:after="0"/>
              <w:rPr>
                <w:sz w:val="20"/>
                <w:szCs w:val="20"/>
                <w:color w:val="auto"/>
              </w:rPr>
            </w:pPr>
            <w:r>
              <w:rPr>
                <w:rFonts w:ascii="Arial" w:cs="Arial" w:eastAsia="Arial" w:hAnsi="Arial"/>
                <w:sz w:val="18"/>
                <w:szCs w:val="18"/>
                <w:color w:val="auto"/>
              </w:rPr>
              <w:t>Gross Liability Amounts</w:t>
            </w:r>
          </w:p>
        </w:tc>
        <w:tc>
          <w:tcPr>
            <w:tcW w:w="120" w:type="dxa"/>
            <w:vAlign w:val="bottom"/>
          </w:tcPr>
          <w:p>
            <w:pPr>
              <w:spacing w:after="0"/>
              <w:rPr>
                <w:sz w:val="20"/>
                <w:szCs w:val="20"/>
                <w:color w:val="auto"/>
              </w:rPr>
            </w:pPr>
          </w:p>
        </w:tc>
        <w:tc>
          <w:tcPr>
            <w:tcW w:w="2160" w:type="dxa"/>
            <w:vAlign w:val="bottom"/>
            <w:gridSpan w:val="4"/>
          </w:tcPr>
          <w:p>
            <w:pPr>
              <w:jc w:val="right"/>
              <w:ind w:right="177"/>
              <w:spacing w:after="0"/>
              <w:rPr>
                <w:sz w:val="20"/>
                <w:szCs w:val="20"/>
                <w:color w:val="auto"/>
              </w:rPr>
            </w:pPr>
            <w:r>
              <w:rPr>
                <w:rFonts w:ascii="Arial" w:cs="Arial" w:eastAsia="Arial" w:hAnsi="Arial"/>
                <w:sz w:val="18"/>
                <w:szCs w:val="18"/>
                <w:color w:val="auto"/>
              </w:rPr>
              <w:t>Asset Amount Offset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jc w:val="center"/>
              <w:ind w:right="200"/>
              <w:spacing w:after="0"/>
              <w:rPr>
                <w:sz w:val="20"/>
                <w:szCs w:val="20"/>
                <w:color w:val="auto"/>
              </w:rPr>
            </w:pPr>
            <w:r>
              <w:rPr>
                <w:rFonts w:ascii="Arial" w:cs="Arial" w:eastAsia="Arial" w:hAnsi="Arial"/>
                <w:sz w:val="18"/>
                <w:szCs w:val="18"/>
                <w:color w:val="auto"/>
                <w:w w:val="87"/>
              </w:rPr>
              <w:t>in the Balance Sheets</w:t>
            </w:r>
          </w:p>
        </w:tc>
      </w:tr>
      <w:tr>
        <w:trPr>
          <w:trHeight w:val="202"/>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rPr>
              <w:t>January 27,</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90"/>
              <w:spacing w:after="0" w:line="201" w:lineRule="exact"/>
              <w:rPr>
                <w:sz w:val="20"/>
                <w:szCs w:val="20"/>
                <w:color w:val="auto"/>
              </w:rPr>
            </w:pPr>
            <w:r>
              <w:rPr>
                <w:rFonts w:ascii="Arial" w:cs="Arial" w:eastAsia="Arial" w:hAnsi="Arial"/>
                <w:sz w:val="18"/>
                <w:szCs w:val="18"/>
                <w:color w:val="auto"/>
                <w:w w:val="90"/>
              </w:rPr>
              <w:t>July 29,</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87"/>
              </w:rPr>
              <w:t>January 27,</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left="117"/>
              <w:spacing w:after="0" w:line="201" w:lineRule="exact"/>
              <w:rPr>
                <w:sz w:val="20"/>
                <w:szCs w:val="20"/>
                <w:color w:val="auto"/>
              </w:rPr>
            </w:pPr>
            <w:r>
              <w:rPr>
                <w:rFonts w:ascii="Arial" w:cs="Arial" w:eastAsia="Arial" w:hAnsi="Arial"/>
                <w:sz w:val="18"/>
                <w:szCs w:val="18"/>
                <w:color w:val="auto"/>
                <w:w w:val="90"/>
              </w:rPr>
              <w:t>July 29,</w:t>
            </w:r>
          </w:p>
        </w:tc>
        <w:tc>
          <w:tcPr>
            <w:tcW w:w="2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20"/>
              <w:spacing w:after="0" w:line="201" w:lineRule="exact"/>
              <w:rPr>
                <w:sz w:val="20"/>
                <w:szCs w:val="20"/>
                <w:color w:val="auto"/>
              </w:rPr>
            </w:pPr>
            <w:r>
              <w:rPr>
                <w:rFonts w:ascii="Arial" w:cs="Arial" w:eastAsia="Arial" w:hAnsi="Arial"/>
                <w:sz w:val="18"/>
                <w:szCs w:val="18"/>
                <w:color w:val="auto"/>
                <w:w w:val="87"/>
              </w:rPr>
              <w:t>January 27,</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10"/>
              <w:spacing w:after="0" w:line="201" w:lineRule="exact"/>
              <w:rPr>
                <w:sz w:val="20"/>
                <w:szCs w:val="20"/>
                <w:color w:val="auto"/>
              </w:rPr>
            </w:pPr>
            <w:r>
              <w:rPr>
                <w:rFonts w:ascii="Arial" w:cs="Arial" w:eastAsia="Arial" w:hAnsi="Arial"/>
                <w:sz w:val="18"/>
                <w:szCs w:val="18"/>
                <w:color w:val="auto"/>
                <w:w w:val="90"/>
              </w:rPr>
              <w:t>July 29,</w:t>
            </w:r>
          </w:p>
        </w:tc>
        <w:tc>
          <w:tcPr>
            <w:tcW w:w="100" w:type="dxa"/>
            <w:vAlign w:val="bottom"/>
          </w:tcPr>
          <w:p>
            <w:pPr>
              <w:spacing w:after="0"/>
              <w:rPr>
                <w:sz w:val="17"/>
                <w:szCs w:val="17"/>
                <w:color w:val="auto"/>
              </w:rPr>
            </w:pPr>
          </w:p>
        </w:tc>
      </w:tr>
      <w:tr>
        <w:trPr>
          <w:trHeight w:val="237"/>
        </w:trPr>
        <w:tc>
          <w:tcPr>
            <w:tcW w:w="3340" w:type="dxa"/>
            <w:vAlign w:val="bottom"/>
            <w:gridSpan w:val="2"/>
          </w:tcPr>
          <w:p>
            <w:pPr>
              <w:spacing w:after="0"/>
              <w:rPr>
                <w:sz w:val="20"/>
                <w:szCs w:val="20"/>
                <w:color w:val="auto"/>
              </w:rPr>
            </w:pPr>
            <w:r>
              <w:rPr>
                <w:rFonts w:ascii="Arial" w:cs="Arial" w:eastAsia="Arial" w:hAnsi="Arial"/>
                <w:sz w:val="18"/>
                <w:szCs w:val="18"/>
                <w:color w:val="auto"/>
              </w:rPr>
              <w:t>(See Note 2)</w:t>
            </w:r>
          </w:p>
        </w:tc>
        <w:tc>
          <w:tcPr>
            <w:tcW w:w="120" w:type="dxa"/>
            <w:vAlign w:val="bottom"/>
          </w:tcPr>
          <w:p>
            <w:pPr>
              <w:spacing w:after="0"/>
              <w:rPr>
                <w:sz w:val="20"/>
                <w:szCs w:val="20"/>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040" w:type="dxa"/>
            <w:vAlign w:val="bottom"/>
            <w:gridSpan w:val="2"/>
          </w:tcPr>
          <w:p>
            <w:pPr>
              <w:jc w:val="right"/>
              <w:ind w:right="97"/>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57"/>
        </w:trPr>
        <w:tc>
          <w:tcPr>
            <w:tcW w:w="32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estimated fair value of the Company’s interest rate swap liabilities incorporates the Company’s non-performance risk (see Note 2). The adjustment related to the Company’s non-performance risk at January 27, 2017 and July 29, 2016 resulted in reductions of $68 and $1,035, respectively, in the fair value of the interest rate swap liabilities. The offset to the interest rate swap liabilities is recorded in accumulated other comprehensive loss (“AOCL”), net of the deferred tax asset, and will be reclassified into earnings over the term of the underlying debt. As of January 27, 2017, the estimated pre-tax portion of AOCL that is expected to be reclassified into earnings over the next twelve months is $2,843. Cash flows related to the interest rate swaps are included in interest expense and in operating activities.</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pre-tax effects of the Company’s derivative instruments on AOCL for the six months ended January 27, 2017 and the year ended July 29,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3080" w:type="dxa"/>
            <w:vAlign w:val="bottom"/>
            <w:gridSpan w:val="6"/>
          </w:tcPr>
          <w:p>
            <w:pPr>
              <w:spacing w:after="0"/>
              <w:rPr>
                <w:sz w:val="20"/>
                <w:szCs w:val="20"/>
                <w:color w:val="auto"/>
              </w:rPr>
            </w:pPr>
            <w:r>
              <w:rPr>
                <w:rFonts w:ascii="Arial" w:cs="Arial" w:eastAsia="Arial" w:hAnsi="Arial"/>
                <w:sz w:val="18"/>
                <w:szCs w:val="18"/>
                <w:color w:val="auto"/>
                <w:w w:val="95"/>
              </w:rPr>
              <w:t>Amount of Income (Loss) Recognized in</w:t>
            </w:r>
          </w:p>
        </w:tc>
      </w:tr>
      <w:tr>
        <w:trPr>
          <w:trHeight w:val="237"/>
        </w:trPr>
        <w:tc>
          <w:tcPr>
            <w:tcW w:w="8340" w:type="dxa"/>
            <w:vAlign w:val="bottom"/>
          </w:tcPr>
          <w:p>
            <w:pPr>
              <w:spacing w:after="0"/>
              <w:rPr>
                <w:sz w:val="20"/>
                <w:szCs w:val="20"/>
                <w:color w:val="auto"/>
              </w:rPr>
            </w:pPr>
          </w:p>
        </w:tc>
        <w:tc>
          <w:tcPr>
            <w:tcW w:w="3080" w:type="dxa"/>
            <w:vAlign w:val="bottom"/>
            <w:gridSpan w:val="6"/>
          </w:tcPr>
          <w:p>
            <w:pPr>
              <w:spacing w:after="0"/>
              <w:rPr>
                <w:sz w:val="20"/>
                <w:szCs w:val="20"/>
                <w:color w:val="auto"/>
              </w:rPr>
            </w:pPr>
            <w:r>
              <w:rPr>
                <w:rFonts w:ascii="Arial" w:cs="Arial" w:eastAsia="Arial" w:hAnsi="Arial"/>
                <w:sz w:val="18"/>
                <w:szCs w:val="18"/>
                <w:color w:val="auto"/>
                <w:w w:val="96"/>
              </w:rPr>
              <w:t>AOCL on Derivatives (Effective Portion)</w:t>
            </w:r>
          </w:p>
        </w:tc>
      </w:tr>
      <w:tr>
        <w:trPr>
          <w:trHeight w:val="202"/>
        </w:trPr>
        <w:tc>
          <w:tcPr>
            <w:tcW w:w="8340" w:type="dxa"/>
            <w:vAlign w:val="bottom"/>
          </w:tcPr>
          <w:p>
            <w:pPr>
              <w:spacing w:after="0"/>
              <w:rPr>
                <w:sz w:val="17"/>
                <w:szCs w:val="17"/>
                <w:color w:val="auto"/>
              </w:rPr>
            </w:pPr>
          </w:p>
        </w:tc>
        <w:tc>
          <w:tcPr>
            <w:tcW w:w="162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Six Months Ended</w:t>
            </w: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88"/>
              </w:rPr>
              <w:t>Year Ended</w:t>
            </w:r>
          </w:p>
        </w:tc>
        <w:tc>
          <w:tcPr>
            <w:tcW w:w="100" w:type="dxa"/>
            <w:vAlign w:val="bottom"/>
          </w:tcPr>
          <w:p>
            <w:pPr>
              <w:spacing w:after="0"/>
              <w:rPr>
                <w:sz w:val="17"/>
                <w:szCs w:val="17"/>
                <w:color w:val="auto"/>
              </w:rPr>
            </w:pPr>
          </w:p>
        </w:tc>
      </w:tr>
      <w:tr>
        <w:trPr>
          <w:trHeight w:val="237"/>
        </w:trPr>
        <w:tc>
          <w:tcPr>
            <w:tcW w:w="8340" w:type="dxa"/>
            <w:vAlign w:val="bottom"/>
          </w:tcPr>
          <w:p>
            <w:pPr>
              <w:spacing w:after="0"/>
              <w:rPr>
                <w:sz w:val="20"/>
                <w:szCs w:val="20"/>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auto"/>
              </w:rPr>
              <w:t>January 27, 2017</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July 29, 2016</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Cash flow hedges:</w:t>
            </w: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(16,188)</w:t>
            </w:r>
          </w:p>
        </w:tc>
      </w:tr>
      <w:tr>
        <w:trPr>
          <w:trHeight w:val="20"/>
        </w:trPr>
        <w:tc>
          <w:tcPr>
            <w:tcW w:w="8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pre-tax effects of the Company’s derivative instruments on income for the quarters and six-month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27, 2017 and January 29, 2016:</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3"/>
              </w:rPr>
              <w:t>Location of Loss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2"/>
              </w:rPr>
              <w:t>Reclassified from</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5"/>
              </w:rPr>
              <w:t>AOCL into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gridSpan w:val="13"/>
          </w:tcPr>
          <w:p>
            <w:pPr>
              <w:jc w:val="center"/>
              <w:ind w:right="240"/>
              <w:spacing w:after="0"/>
              <w:rPr>
                <w:sz w:val="20"/>
                <w:szCs w:val="20"/>
                <w:color w:val="auto"/>
              </w:rPr>
            </w:pPr>
            <w:r>
              <w:rPr>
                <w:rFonts w:ascii="Arial" w:cs="Arial" w:eastAsia="Arial" w:hAnsi="Arial"/>
                <w:sz w:val="18"/>
                <w:szCs w:val="18"/>
                <w:color w:val="auto"/>
                <w:w w:val="93"/>
              </w:rPr>
              <w:t>Amount of Loss Reclassified from AOCL into Income</w:t>
            </w:r>
          </w:p>
        </w:tc>
      </w:tr>
      <w:tr>
        <w:trPr>
          <w:trHeight w:val="237"/>
        </w:trPr>
        <w:tc>
          <w:tcPr>
            <w:tcW w:w="2980" w:type="dxa"/>
            <w:vAlign w:val="bottom"/>
          </w:tcPr>
          <w:p>
            <w:pPr>
              <w:spacing w:after="0"/>
              <w:rPr>
                <w:sz w:val="20"/>
                <w:szCs w:val="20"/>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(Effective Portion)</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color w:val="auto"/>
                <w:w w:val="93"/>
              </w:rPr>
              <w:t>(Effective Portion)</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9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6"/>
          </w:tcPr>
          <w:p>
            <w:pPr>
              <w:ind w:left="620"/>
              <w:spacing w:after="0"/>
              <w:rPr>
                <w:sz w:val="20"/>
                <w:szCs w:val="20"/>
                <w:color w:val="auto"/>
              </w:rPr>
            </w:pPr>
            <w:r>
              <w:rPr>
                <w:rFonts w:ascii="Arial" w:cs="Arial" w:eastAsia="Arial" w:hAnsi="Arial"/>
                <w:sz w:val="18"/>
                <w:szCs w:val="18"/>
                <w:color w:val="auto"/>
              </w:rPr>
              <w:t>Quarter Ended</w:t>
            </w:r>
          </w:p>
        </w:tc>
        <w:tc>
          <w:tcPr>
            <w:tcW w:w="120" w:type="dxa"/>
            <w:vAlign w:val="bottom"/>
          </w:tcPr>
          <w:p>
            <w:pPr>
              <w:spacing w:after="0"/>
              <w:rPr>
                <w:sz w:val="19"/>
                <w:szCs w:val="19"/>
                <w:color w:val="auto"/>
              </w:rPr>
            </w:pPr>
          </w:p>
        </w:tc>
        <w:tc>
          <w:tcPr>
            <w:tcW w:w="2380" w:type="dxa"/>
            <w:vAlign w:val="bottom"/>
            <w:gridSpan w:val="5"/>
          </w:tcPr>
          <w:p>
            <w:pPr>
              <w:jc w:val="right"/>
              <w:ind w:right="490"/>
              <w:spacing w:after="0"/>
              <w:rPr>
                <w:sz w:val="20"/>
                <w:szCs w:val="20"/>
                <w:color w:val="auto"/>
              </w:rPr>
            </w:pPr>
            <w:r>
              <w:rPr>
                <w:rFonts w:ascii="Arial" w:cs="Arial" w:eastAsia="Arial" w:hAnsi="Arial"/>
                <w:sz w:val="18"/>
                <w:szCs w:val="18"/>
                <w:color w:val="auto"/>
              </w:rPr>
              <w:t>Six Months Ended</w:t>
            </w:r>
          </w:p>
        </w:tc>
        <w:tc>
          <w:tcPr>
            <w:tcW w:w="100" w:type="dxa"/>
            <w:vAlign w:val="bottom"/>
          </w:tcPr>
          <w:p>
            <w:pPr>
              <w:spacing w:after="0"/>
              <w:rPr>
                <w:sz w:val="19"/>
                <w:szCs w:val="19"/>
                <w:color w:val="auto"/>
              </w:rPr>
            </w:pPr>
          </w:p>
        </w:tc>
      </w:tr>
      <w:tr>
        <w:trPr>
          <w:trHeight w:val="202"/>
        </w:trPr>
        <w:tc>
          <w:tcPr>
            <w:tcW w:w="29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260"/>
              <w:spacing w:after="0" w:line="201" w:lineRule="exact"/>
              <w:rPr>
                <w:sz w:val="20"/>
                <w:szCs w:val="20"/>
                <w:color w:val="auto"/>
              </w:rPr>
            </w:pPr>
            <w:r>
              <w:rPr>
                <w:rFonts w:ascii="Arial" w:cs="Arial" w:eastAsia="Arial" w:hAnsi="Arial"/>
                <w:sz w:val="18"/>
                <w:szCs w:val="18"/>
                <w:color w:val="auto"/>
                <w:w w:val="87"/>
              </w:rPr>
              <w:t>January 27,</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89"/>
              </w:rPr>
              <w:t>January 29,</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87"/>
              </w:rPr>
              <w:t>January 27,</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89"/>
              </w:rPr>
              <w:t>January 29,</w:t>
            </w:r>
          </w:p>
        </w:tc>
        <w:tc>
          <w:tcPr>
            <w:tcW w:w="100" w:type="dxa"/>
            <w:vAlign w:val="bottom"/>
          </w:tcPr>
          <w:p>
            <w:pPr>
              <w:spacing w:after="0"/>
              <w:rPr>
                <w:sz w:val="17"/>
                <w:szCs w:val="17"/>
                <w:color w:val="auto"/>
              </w:rPr>
            </w:pPr>
          </w:p>
        </w:tc>
      </w:tr>
      <w:tr>
        <w:trPr>
          <w:trHeight w:val="237"/>
        </w:trPr>
        <w:tc>
          <w:tcPr>
            <w:tcW w:w="29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Cash flow hedges:</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1,118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2,891</w:t>
            </w:r>
          </w:p>
        </w:tc>
      </w:tr>
      <w:tr>
        <w:trPr>
          <w:trHeight w:val="20"/>
        </w:trPr>
        <w:tc>
          <w:tcPr>
            <w:tcW w:w="298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Any portion of the fair value of the swaps determined to be ineffective will be recognized currently in earnings. No ineffectiveness has been recorded in the six-month periods ended January 27, 2017 and January 29, 2016.</w:t>
      </w:r>
    </w:p>
    <w:p>
      <w:pPr>
        <w:spacing w:after="0" w:line="19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Shareholders’ Equity</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six months ended January 27, 2017, the Company issued 86,439 shares of its common stock resulting from the vesting of share-based compensation awards and stock option exercises. Related tax withholding payments on these share-based compensation awards exceeded proceeds received from the exercise of stock options, which resulted in a net reduction to shareholders’ equity of $6,031.</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six months ended January 27, 2017, total share-based compensation expense was $4,011. The excess tax benefit realized upon exercise of share-based compensation awards was $1,203.</w:t>
      </w:r>
    </w:p>
    <w:p>
      <w:pPr>
        <w:spacing w:after="0" w:line="19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During the six months ended January 27, 2017, the Company paid regular dividends of $3.30 per share of its common stock and declared a regular dividend of $1.15 per share of its common stock that was paid on February 6, 2017 to shareholders of record on January 13, 2017.</w:t>
      </w:r>
    </w:p>
    <w:p>
      <w:pPr>
        <w:spacing w:after="0" w:line="17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the changes in AOCL, net of tax, related to the Company’s interest rate swaps for the six months ended January 27, 2017 (see Notes 2 and 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w w:val="99"/>
              </w:rPr>
              <w:t>Changes in AOCL</w:t>
            </w: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AOCL balance at July 29, 2016</w:t>
            </w:r>
          </w:p>
        </w:tc>
        <w:tc>
          <w:tcPr>
            <w:tcW w:w="5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Other comprehensive income before reclassifications</w:t>
            </w:r>
          </w:p>
        </w:tc>
        <w:tc>
          <w:tcPr>
            <w:tcW w:w="5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12,265</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reclassified from AOCL</w:t>
            </w:r>
          </w:p>
        </w:tc>
        <w:tc>
          <w:tcPr>
            <w:tcW w:w="5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(1,458)</w:t>
            </w:r>
          </w:p>
        </w:tc>
      </w:tr>
      <w:tr>
        <w:trPr>
          <w:trHeight w:val="223"/>
        </w:trPr>
        <w:tc>
          <w:tcPr>
            <w:tcW w:w="20" w:type="dxa"/>
            <w:vAlign w:val="bottom"/>
          </w:tcPr>
          <w:p>
            <w:pPr>
              <w:spacing w:after="0"/>
              <w:rPr>
                <w:sz w:val="19"/>
                <w:szCs w:val="19"/>
                <w:color w:val="auto"/>
              </w:rPr>
            </w:pPr>
          </w:p>
        </w:tc>
        <w:tc>
          <w:tcPr>
            <w:tcW w:w="48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Other comprehensive income, net of tax</w:t>
            </w:r>
          </w:p>
        </w:tc>
        <w:tc>
          <w:tcPr>
            <w:tcW w:w="5140" w:type="dxa"/>
            <w:vAlign w:val="bottom"/>
            <w:tcBorders>
              <w:top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10,807</w:t>
            </w:r>
          </w:p>
        </w:tc>
        <w:tc>
          <w:tcPr>
            <w:tcW w:w="100" w:type="dxa"/>
            <w:vAlign w:val="bottom"/>
            <w:tcBorders>
              <w:top w:val="single" w:sz="8" w:color="CCEEFF"/>
            </w:tcBorders>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AOCL balance at January 27, 2017</w:t>
            </w:r>
          </w:p>
        </w:tc>
        <w:tc>
          <w:tcPr>
            <w:tcW w:w="5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5140" w:type="dxa"/>
            <w:vAlign w:val="bottom"/>
          </w:tcPr>
          <w:p>
            <w:pPr>
              <w:jc w:val="right"/>
              <w:ind w:right="4108"/>
              <w:spacing w:after="0"/>
              <w:rPr>
                <w:sz w:val="20"/>
                <w:szCs w:val="20"/>
                <w:color w:val="auto"/>
              </w:rPr>
            </w:pPr>
            <w:r>
              <w:rPr>
                <w:rFonts w:ascii="Arial" w:cs="Arial" w:eastAsia="Arial" w:hAnsi="Arial"/>
                <w:sz w:val="14"/>
                <w:szCs w:val="14"/>
                <w:color w:val="auto"/>
              </w:rPr>
              <w:t>12</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c>
          <w:tcPr>
            <w:tcW w:w="5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summarizes the amounts reclassified out of AOCL related to the Company’s interest rate swaps for the quarter and six months ended January 27, 2017: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vMerge w:val="restart"/>
          </w:tcPr>
          <w:p>
            <w:pPr>
              <w:jc w:val="right"/>
              <w:ind w:right="240"/>
              <w:spacing w:after="0"/>
              <w:rPr>
                <w:sz w:val="20"/>
                <w:szCs w:val="20"/>
                <w:color w:val="auto"/>
              </w:rPr>
            </w:pPr>
            <w:r>
              <w:rPr>
                <w:rFonts w:ascii="Arial" w:cs="Arial" w:eastAsia="Arial" w:hAnsi="Arial"/>
                <w:sz w:val="18"/>
                <w:szCs w:val="18"/>
                <w:color w:val="auto"/>
                <w:w w:val="94"/>
              </w:rPr>
              <w:t>Amount Reclassified from AOCL</w:t>
            </w:r>
          </w:p>
        </w:tc>
        <w:tc>
          <w:tcPr>
            <w:tcW w:w="4260" w:type="dxa"/>
            <w:vAlign w:val="bottom"/>
          </w:tcPr>
          <w:p>
            <w:pPr>
              <w:jc w:val="center"/>
              <w:spacing w:after="0"/>
              <w:rPr>
                <w:sz w:val="20"/>
                <w:szCs w:val="20"/>
                <w:color w:val="auto"/>
              </w:rPr>
            </w:pPr>
            <w:r>
              <w:rPr>
                <w:rFonts w:ascii="Arial" w:cs="Arial" w:eastAsia="Arial" w:hAnsi="Arial"/>
                <w:sz w:val="18"/>
                <w:szCs w:val="18"/>
                <w:color w:val="auto"/>
                <w:w w:val="93"/>
              </w:rPr>
              <w:t>Affected Line Item in the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00" w:type="dxa"/>
            <w:vAlign w:val="bottom"/>
            <w:gridSpan w:val="6"/>
            <w:vMerge w:val="continue"/>
          </w:tcPr>
          <w:p>
            <w:pPr>
              <w:spacing w:after="0"/>
              <w:rPr>
                <w:sz w:val="10"/>
                <w:szCs w:val="10"/>
                <w:color w:val="auto"/>
              </w:rPr>
            </w:pPr>
          </w:p>
        </w:tc>
        <w:tc>
          <w:tcPr>
            <w:tcW w:w="4260" w:type="dxa"/>
            <w:vAlign w:val="bottom"/>
            <w:vMerge w:val="restart"/>
          </w:tcPr>
          <w:p>
            <w:pPr>
              <w:jc w:val="center"/>
              <w:spacing w:after="0"/>
              <w:rPr>
                <w:sz w:val="20"/>
                <w:szCs w:val="20"/>
                <w:color w:val="auto"/>
              </w:rPr>
            </w:pPr>
            <w:r>
              <w:rPr>
                <w:rFonts w:ascii="Arial" w:cs="Arial" w:eastAsia="Arial" w:hAnsi="Arial"/>
                <w:sz w:val="18"/>
                <w:szCs w:val="18"/>
                <w:color w:val="auto"/>
                <w:w w:val="89"/>
              </w:rPr>
              <w:t>Condensed Consolidated</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Quarter Ended</w:t>
            </w:r>
          </w:p>
        </w:tc>
        <w:tc>
          <w:tcPr>
            <w:tcW w:w="80" w:type="dxa"/>
            <w:vAlign w:val="bottom"/>
          </w:tcPr>
          <w:p>
            <w:pPr>
              <w:spacing w:after="0"/>
              <w:rPr>
                <w:sz w:val="20"/>
                <w:szCs w:val="20"/>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color w:val="auto"/>
                <w:w w:val="97"/>
              </w:rPr>
              <w:t>Six Months Ended</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Financial Statements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Loss on cash flow hedges:</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(1,118)</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(2,361)</w:t>
            </w: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Tax benefit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903</w:t>
            </w:r>
          </w:p>
        </w:tc>
        <w:tc>
          <w:tcPr>
            <w:tcW w:w="4260" w:type="dxa"/>
            <w:vAlign w:val="bottom"/>
          </w:tcPr>
          <w:p>
            <w:pPr>
              <w:ind w:left="16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Borders>
              <w:bottom w:val="single" w:sz="8" w:color="CCEEFF"/>
            </w:tcBorders>
            <w:shd w:val="clear" w:color="auto" w:fill="CCEEFF"/>
          </w:tcPr>
          <w:p>
            <w:pPr>
              <w:spacing w:after="0"/>
              <w:rPr>
                <w:sz w:val="22"/>
                <w:szCs w:val="22"/>
                <w:color w:val="auto"/>
              </w:rPr>
            </w:pPr>
          </w:p>
        </w:tc>
        <w:tc>
          <w:tcPr>
            <w:tcW w:w="4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Seasonality</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Historically, the net income of the Company has been lower in the first and third quarters and higher in the second and fourth quarters. Management attributes these variations to the Christmas holiday shopping season and the summer vacation and travel season. The Company's retail sales, which are made substantially to the Company’s restaurant customers, historically have been highest in the Company's second quarter, which includes the Christmas holiday shopping season. Historically, interstate tourist traffic and the propensity to dine out have been higher during the summer months, thereby contributing to higher profits in the Company’s fourth quarter. The Company generally opens additional new locations throughout the year. Therefore, the results of operations for any interim period cannot be considered indicative of the operating results for an entire year.</w:t>
      </w:r>
    </w:p>
    <w:p>
      <w:pPr>
        <w:spacing w:after="0" w:line="188"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currently manages its business on the basis of one reportable operating segment. All of the Company’s operations are located within the United States. Total revenue was comprised of the following for the specified periods: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ind w:left="620"/>
              <w:spacing w:after="0"/>
              <w:rPr>
                <w:sz w:val="20"/>
                <w:szCs w:val="20"/>
                <w:color w:val="auto"/>
              </w:rPr>
            </w:pPr>
            <w:r>
              <w:rPr>
                <w:rFonts w:ascii="Arial" w:cs="Arial" w:eastAsia="Arial" w:hAnsi="Arial"/>
                <w:sz w:val="18"/>
                <w:szCs w:val="18"/>
                <w:color w:val="auto"/>
              </w:rPr>
              <w:t>Quarter Ended</w:t>
            </w:r>
          </w:p>
        </w:tc>
        <w:tc>
          <w:tcPr>
            <w:tcW w:w="120" w:type="dxa"/>
            <w:vAlign w:val="bottom"/>
          </w:tcPr>
          <w:p>
            <w:pPr>
              <w:spacing w:after="0"/>
              <w:rPr>
                <w:sz w:val="20"/>
                <w:szCs w:val="20"/>
                <w:color w:val="auto"/>
              </w:rPr>
            </w:pPr>
          </w:p>
        </w:tc>
        <w:tc>
          <w:tcPr>
            <w:tcW w:w="2480" w:type="dxa"/>
            <w:vAlign w:val="bottom"/>
            <w:gridSpan w:val="6"/>
          </w:tcPr>
          <w:p>
            <w:pPr>
              <w:ind w:left="460"/>
              <w:spacing w:after="0"/>
              <w:rPr>
                <w:sz w:val="20"/>
                <w:szCs w:val="20"/>
                <w:color w:val="auto"/>
              </w:rPr>
            </w:pPr>
            <w:r>
              <w:rPr>
                <w:rFonts w:ascii="Arial" w:cs="Arial" w:eastAsia="Arial" w:hAnsi="Arial"/>
                <w:sz w:val="18"/>
                <w:szCs w:val="18"/>
                <w:color w:val="auto"/>
              </w:rPr>
              <w:t>Six Months Ended</w:t>
            </w:r>
          </w:p>
        </w:tc>
      </w:tr>
      <w:tr>
        <w:trPr>
          <w:trHeight w:val="202"/>
        </w:trPr>
        <w:tc>
          <w:tcPr>
            <w:tcW w:w="36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89"/>
              </w:rPr>
              <w:t>January 27,</w:t>
            </w: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29,</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260"/>
              <w:spacing w:after="0" w:line="201" w:lineRule="exact"/>
              <w:rPr>
                <w:sz w:val="20"/>
                <w:szCs w:val="20"/>
                <w:color w:val="auto"/>
              </w:rPr>
            </w:pPr>
            <w:r>
              <w:rPr>
                <w:rFonts w:ascii="Arial" w:cs="Arial" w:eastAsia="Arial" w:hAnsi="Arial"/>
                <w:sz w:val="18"/>
                <w:szCs w:val="18"/>
                <w:color w:val="auto"/>
                <w:w w:val="89"/>
              </w:rPr>
              <w:t>January 27,</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29,</w:t>
            </w:r>
          </w:p>
        </w:tc>
        <w:tc>
          <w:tcPr>
            <w:tcW w:w="100" w:type="dxa"/>
            <w:vAlign w:val="bottom"/>
          </w:tcPr>
          <w:p>
            <w:pPr>
              <w:spacing w:after="0"/>
              <w:rPr>
                <w:sz w:val="17"/>
                <w:szCs w:val="17"/>
                <w:color w:val="auto"/>
              </w:rPr>
            </w:pPr>
          </w:p>
        </w:tc>
      </w:tr>
      <w:tr>
        <w:trPr>
          <w:trHeight w:val="237"/>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Revenue:</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591,113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580,918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1,164,790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1,143,197</w:t>
            </w:r>
          </w:p>
        </w:tc>
      </w:tr>
      <w:tr>
        <w:trPr>
          <w:trHeight w:val="223"/>
        </w:trPr>
        <w:tc>
          <w:tcPr>
            <w:tcW w:w="3620" w:type="dxa"/>
            <w:vAlign w:val="bottom"/>
          </w:tcPr>
          <w:p>
            <w:pPr>
              <w:ind w:left="180"/>
              <w:spacing w:after="0"/>
              <w:rPr>
                <w:sz w:val="20"/>
                <w:szCs w:val="20"/>
                <w:color w:val="auto"/>
              </w:rPr>
            </w:pPr>
            <w:r>
              <w:rPr>
                <w:rFonts w:ascii="Arial" w:cs="Arial" w:eastAsia="Arial" w:hAnsi="Arial"/>
                <w:sz w:val="18"/>
                <w:szCs w:val="18"/>
                <w:color w:val="auto"/>
              </w:rPr>
              <w:t>Retail</w:t>
            </w:r>
          </w:p>
        </w:tc>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181,569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183,084</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317,863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323,434</w:t>
            </w:r>
          </w:p>
        </w:tc>
      </w:tr>
      <w:tr>
        <w:trPr>
          <w:trHeight w:val="257"/>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772,682</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764,002</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1,482,653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1,466,631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Share-based compensation is recorded in general and administrative expenses in the accompanying Condensed Consolidated Statements of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was comprised of the following for the specified periods: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ind w:left="620"/>
              <w:spacing w:after="0"/>
              <w:rPr>
                <w:sz w:val="20"/>
                <w:szCs w:val="20"/>
                <w:color w:val="auto"/>
              </w:rPr>
            </w:pPr>
            <w:r>
              <w:rPr>
                <w:rFonts w:ascii="Arial" w:cs="Arial" w:eastAsia="Arial" w:hAnsi="Arial"/>
                <w:sz w:val="18"/>
                <w:szCs w:val="18"/>
                <w:color w:val="auto"/>
              </w:rPr>
              <w:t>Quarter Ended</w:t>
            </w:r>
          </w:p>
        </w:tc>
        <w:tc>
          <w:tcPr>
            <w:tcW w:w="120" w:type="dxa"/>
            <w:vAlign w:val="bottom"/>
          </w:tcPr>
          <w:p>
            <w:pPr>
              <w:spacing w:after="0"/>
              <w:rPr>
                <w:sz w:val="20"/>
                <w:szCs w:val="20"/>
                <w:color w:val="auto"/>
              </w:rPr>
            </w:pPr>
          </w:p>
        </w:tc>
        <w:tc>
          <w:tcPr>
            <w:tcW w:w="2480" w:type="dxa"/>
            <w:vAlign w:val="bottom"/>
            <w:gridSpan w:val="5"/>
          </w:tcPr>
          <w:p>
            <w:pPr>
              <w:ind w:left="460"/>
              <w:spacing w:after="0"/>
              <w:rPr>
                <w:sz w:val="20"/>
                <w:szCs w:val="20"/>
                <w:color w:val="auto"/>
              </w:rPr>
            </w:pPr>
            <w:r>
              <w:rPr>
                <w:rFonts w:ascii="Arial" w:cs="Arial" w:eastAsia="Arial" w:hAnsi="Arial"/>
                <w:sz w:val="18"/>
                <w:szCs w:val="18"/>
                <w:color w:val="auto"/>
              </w:rPr>
              <w:t>Six Months Ended</w:t>
            </w:r>
          </w:p>
        </w:tc>
      </w:tr>
      <w:tr>
        <w:trPr>
          <w:trHeight w:val="202"/>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89"/>
              </w:rPr>
              <w:t>January 27,</w:t>
            </w: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29,</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80"/>
              <w:spacing w:after="0" w:line="201" w:lineRule="exact"/>
              <w:rPr>
                <w:sz w:val="20"/>
                <w:szCs w:val="20"/>
                <w:color w:val="auto"/>
              </w:rPr>
            </w:pPr>
            <w:r>
              <w:rPr>
                <w:rFonts w:ascii="Arial" w:cs="Arial" w:eastAsia="Arial" w:hAnsi="Arial"/>
                <w:sz w:val="18"/>
                <w:szCs w:val="18"/>
                <w:color w:val="auto"/>
                <w:w w:val="89"/>
              </w:rPr>
              <w:t>January 27,</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29,</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Nonvested stock awards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Performance-based market stock units (“MSU Grants”)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1,543</w:t>
            </w:r>
          </w:p>
        </w:tc>
      </w:tr>
      <w:tr>
        <w:trPr>
          <w:trHeight w:val="257"/>
        </w:trPr>
        <w:tc>
          <w:tcPr>
            <w:tcW w:w="20" w:type="dxa"/>
            <w:vAlign w:val="bottom"/>
          </w:tcPr>
          <w:p>
            <w:pPr>
              <w:spacing w:after="0"/>
              <w:rPr>
                <w:sz w:val="22"/>
                <w:szCs w:val="22"/>
                <w:color w:val="auto"/>
              </w:rPr>
            </w:pPr>
          </w:p>
        </w:tc>
        <w:tc>
          <w:tcPr>
            <w:tcW w:w="48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60" w:type="dxa"/>
            <w:vAlign w:val="bottom"/>
          </w:tcPr>
          <w:p>
            <w:pPr>
              <w:jc w:val="right"/>
              <w:ind w:right="2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Net Income Per Share and Weighted Average Shares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Basic consolidated net income per share is computed by dividing consolidated net income available to common shareholders by the weighted average number of shares of common stock outstanding for the reporting period. Diluted consolidated net income per share reflects the potential dilution that could occur if securities, options or other contracts to issue shares of common stock were exercised or converted into shares of common stock and is based upon the weighted average number of shares of common stock and common equivalent shares outstanding during the reporting period. Common equivalent shares related to stock options, nonvested stock awards and units and MSU Grants issued by the Company are calculated using the treasury stock method. The outstanding stock options, nonvested stock awards and units and MSU Grants issued by the Company represent the only dilutive effects on diluted consolidated net income per share.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the components of diluted earnings per share computations: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ind w:left="620"/>
              <w:spacing w:after="0"/>
              <w:rPr>
                <w:sz w:val="20"/>
                <w:szCs w:val="20"/>
                <w:color w:val="auto"/>
              </w:rPr>
            </w:pPr>
            <w:r>
              <w:rPr>
                <w:rFonts w:ascii="Arial" w:cs="Arial" w:eastAsia="Arial" w:hAnsi="Arial"/>
                <w:sz w:val="18"/>
                <w:szCs w:val="18"/>
                <w:color w:val="auto"/>
              </w:rPr>
              <w:t>Quarter Ended</w:t>
            </w:r>
          </w:p>
        </w:tc>
        <w:tc>
          <w:tcPr>
            <w:tcW w:w="120" w:type="dxa"/>
            <w:vAlign w:val="bottom"/>
          </w:tcPr>
          <w:p>
            <w:pPr>
              <w:spacing w:after="0"/>
              <w:rPr>
                <w:sz w:val="20"/>
                <w:szCs w:val="20"/>
                <w:color w:val="auto"/>
              </w:rPr>
            </w:pPr>
          </w:p>
        </w:tc>
        <w:tc>
          <w:tcPr>
            <w:tcW w:w="2480" w:type="dxa"/>
            <w:vAlign w:val="bottom"/>
            <w:gridSpan w:val="5"/>
          </w:tcPr>
          <w:p>
            <w:pPr>
              <w:ind w:left="4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rPr>
              <w:t>January 27,</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29,</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80"/>
              <w:spacing w:after="0" w:line="201" w:lineRule="exact"/>
              <w:rPr>
                <w:sz w:val="20"/>
                <w:szCs w:val="20"/>
                <w:color w:val="auto"/>
              </w:rPr>
            </w:pPr>
            <w:r>
              <w:rPr>
                <w:rFonts w:ascii="Arial" w:cs="Arial" w:eastAsia="Arial" w:hAnsi="Arial"/>
                <w:sz w:val="18"/>
                <w:szCs w:val="18"/>
                <w:color w:val="auto"/>
                <w:w w:val="89"/>
              </w:rPr>
              <w:t>January 27,</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per share numerator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52,727</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48,242</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101,082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89,107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denominator: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Weighted average shares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24,040,243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23,937,812</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24,020,976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23,947,183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potential dilution: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Stock options, nonvested stock awards and MSU Grants</w:t>
            </w: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68,757</w:t>
            </w: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109,230</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85,772</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112,864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 weighted average shares</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24,109,000</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24,047,042</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24,106,748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24,060,047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Related to its workers’ compensation insurance coverage, the Company is contingently liable pursuant to standby letters of credit as credit guarantees to certain insurers. As of January 27, 2017, the Company had $9,655 of standby letters of credit related to securing reserved claims under workers’ compensation insurance. All standby letters of credit are renewable annually and reduce the Company’s borrowing availability under its Revolving Credit Facility (see Note 4).</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January 27, 2017, the Company is secondarily liable for lease payments associated with two properties. The Company is not aware of any non-performance under these lease arrangements that would result in the Company having to perform in accordance with the terms of these guarantees; and therefore, no provision has been recorded in the Condensed Consolidated Balance Sheets for amounts to be paid in case of non-performance by the primary obligor under such lease arrangements.</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enters into certain indemnification agreements in favor of third parties in the ordinary course of business. The Company believes that the probability of incurring an actual liability under such indemnification agreements is sufficiently remote that no such liability has been recorded in the Condensed Consolidated Balance Sheet as of January 27, 2017.</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Cracker Barrel Old Country Store, Inc. and its subsidiaries (collectively, the “Company,” “our” or “we”) are principally engaged in the operation and development in the United States of the Cracker Barrel Old Country StoreÒ (“Cracker Barrel”) concept. At January 27, 2017, we operated 641 Cracker Barrel stores in 43 states and four Holler &amp; Dash Biscuit House</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locations in three states. All dollar amounts reported or discussed in this Management’s Discussion and Analysis of Financial Condition and Results of Operations (“MD&amp;A”) are shown in thousands, except per share amounts and certain statistical information (e.g., number of stores). References to years in MD&amp;A are to our fiscal year unless otherwise noted.</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MD&amp;A provides information which management believes is relevant to an assessment and understanding of our consolidated results of operations and financial condition. MD&amp;A should be read in conjunction with the (i) condensed consolidated financial statements and notes thereto included in this Quarterly Report on Form 10-Q and (ii) audited consolidated financial statements and the notes thereto included in the Company’s Annual Report on Form 10-K for the fiscal year ended July 29, 2016 (the “2016 Form 10-K”). Except for specific historical information, many of the matters discussed in this report may express or imply projections of items such as revenues or expenditures, estimated capital expenditures, compliance with debt covenants, plans and objectives for future operations, inventory shrinkage, growth or initiatives, expected future economic performance or the expected outcome or impact of pending or threatened litigation. These and similar statements regarding events or results which we expect will or may occur in the future are forward-looking statements that, by their nature, involve risks, uncertainties and other factors which may cause our actual results and performance to differ materially from those expressed or implied by such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those contained in Part I, Item 1A of the 2016 Form 10-K, which is incorporated herein by this reference, as well as the factors described under “Critical Accounting Estimates” on pages 22-26 of this report or, from time to time, in our filings with the Securities and Exchange Commission (“SEC”), press releases and other communications.</w:t>
      </w:r>
    </w:p>
    <w:p>
      <w:pPr>
        <w:spacing w:after="0" w:line="198"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Readers are cautioned not to place undue reliance on forward-looking statements made in this report because the statements speak only as of the report’s date. Except as may be required by law, we have no obligation or intention to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Management believes that the Cracker Barrel brand remains one of the strongest and most differentiated brands in the restaurant industry, and we plan to continue to leverage that strength throughout 2017 to grow guest sales and profits. Our priorities for 2017 consist of the following:</w:t>
      </w:r>
    </w:p>
    <w:p>
      <w:pPr>
        <w:spacing w:after="0" w:line="174" w:lineRule="exact"/>
        <w:rPr>
          <w:sz w:val="20"/>
          <w:szCs w:val="20"/>
          <w:color w:val="auto"/>
        </w:rPr>
      </w:pPr>
    </w:p>
    <w:p>
      <w:pPr>
        <w:jc w:val="both"/>
        <w:ind w:left="660" w:hanging="328"/>
        <w:spacing w:after="0" w:line="286" w:lineRule="auto"/>
        <w:tabs>
          <w:tab w:leader="none" w:pos="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Enhancing the core business by increasing our brand’s relevance to customers in order to drive guest traffic and sales in both restaurant and retail across demographic groups and generations and improving our business model to reduce operating costs and further drive margins. We plan to accomplish this strategy primarily through enhanced marketing messaging, menu innovation and new retail merchandise;</w:t>
      </w:r>
    </w:p>
    <w:p>
      <w:pPr>
        <w:spacing w:after="0" w:line="192"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Expanding the footprint in new and developing markets while replenishing our store opening pipeline to accelerate future growth. We anticipate opening eight Cracker Barrel stores during 2017; and</w:t>
      </w:r>
    </w:p>
    <w:p>
      <w:pPr>
        <w:spacing w:after="0" w:line="187" w:lineRule="exact"/>
        <w:rPr>
          <w:rFonts w:ascii="Arial" w:cs="Arial" w:eastAsia="Arial" w:hAnsi="Arial"/>
          <w:sz w:val="18"/>
          <w:szCs w:val="18"/>
          <w:color w:val="auto"/>
        </w:rPr>
      </w:pPr>
    </w:p>
    <w:p>
      <w:pPr>
        <w:ind w:left="660" w:right="20" w:hanging="328"/>
        <w:spacing w:after="0" w:line="210"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Extending the brand by optimizing on long-term drivers, such as Holler &amp; Dash Biscuit House</w:t>
      </w:r>
      <w:r>
        <w:rPr>
          <w:rFonts w:ascii="Arial" w:cs="Arial" w:eastAsia="Arial" w:hAnsi="Arial"/>
          <w:sz w:val="30"/>
          <w:szCs w:val="30"/>
          <w:color w:val="auto"/>
          <w:vertAlign w:val="superscript"/>
        </w:rPr>
        <w:t>TM</w:t>
      </w:r>
      <w:r>
        <w:rPr>
          <w:rFonts w:ascii="Arial" w:cs="Arial" w:eastAsia="Arial" w:hAnsi="Arial"/>
          <w:sz w:val="18"/>
          <w:szCs w:val="18"/>
          <w:color w:val="auto"/>
        </w:rPr>
        <w:t>, to further drive shareholder value. We currently plan to open four Holler &amp; Dash Biscuit House</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locations during 2017.</w:t>
      </w:r>
    </w:p>
    <w:p>
      <w:pPr>
        <w:spacing w:after="0" w:line="5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We remain focused on delivering the benefits of our strategic priorities in 2017. In addition to store unit growth for both Cracker Barrel and Holler</w:t>
      </w:r>
    </w:p>
    <w:p>
      <w:pPr>
        <w:spacing w:after="0" w:line="46" w:lineRule="exact"/>
        <w:rPr>
          <w:rFonts w:ascii="Arial" w:cs="Arial" w:eastAsia="Arial" w:hAnsi="Arial"/>
          <w:sz w:val="18"/>
          <w:szCs w:val="18"/>
          <w:color w:val="auto"/>
        </w:rPr>
      </w:pPr>
    </w:p>
    <w:p>
      <w:pPr>
        <w:ind w:right="60" w:firstLine="8"/>
        <w:spacing w:after="0" w:line="187" w:lineRule="auto"/>
        <w:tabs>
          <w:tab w:leader="none" w:pos="199"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Dash Biscuit House</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locations, we are focused on optimizing our performance through the successful implementation of our cost savings initiatives. Additionally, our marketing priorities target a dual message of variety and value.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highlights our operating results by percentage relationships to total revenue for the quarter and six-month period ended January 27, 2017 as compared to the same periods in the prior year:</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720" w:type="dxa"/>
            <w:vAlign w:val="bottom"/>
            <w:gridSpan w:val="4"/>
          </w:tcPr>
          <w:p>
            <w:pPr>
              <w:jc w:val="right"/>
              <w:ind w:right="980"/>
              <w:spacing w:after="0"/>
              <w:rPr>
                <w:sz w:val="20"/>
                <w:szCs w:val="20"/>
                <w:color w:val="auto"/>
              </w:rPr>
            </w:pPr>
            <w:r>
              <w:rPr>
                <w:rFonts w:ascii="Arial" w:cs="Arial" w:eastAsia="Arial" w:hAnsi="Arial"/>
                <w:sz w:val="18"/>
                <w:szCs w:val="18"/>
                <w:color w:val="auto"/>
              </w:rPr>
              <w:t>Quarter Ended</w:t>
            </w:r>
          </w:p>
        </w:tc>
        <w:tc>
          <w:tcPr>
            <w:tcW w:w="2740" w:type="dxa"/>
            <w:vAlign w:val="bottom"/>
            <w:gridSpan w:val="4"/>
          </w:tcPr>
          <w:p>
            <w:pPr>
              <w:jc w:val="right"/>
              <w:ind w:right="800"/>
              <w:spacing w:after="0"/>
              <w:rPr>
                <w:sz w:val="20"/>
                <w:szCs w:val="20"/>
                <w:color w:val="auto"/>
              </w:rPr>
            </w:pPr>
            <w:r>
              <w:rPr>
                <w:rFonts w:ascii="Arial" w:cs="Arial" w:eastAsia="Arial" w:hAnsi="Arial"/>
                <w:sz w:val="18"/>
                <w:szCs w:val="18"/>
                <w:color w:val="auto"/>
              </w:rPr>
              <w:t>Six Months Ended</w:t>
            </w:r>
          </w:p>
        </w:tc>
      </w:tr>
      <w:tr>
        <w:trPr>
          <w:trHeight w:val="202"/>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340" w:type="dxa"/>
            <w:vAlign w:val="bottom"/>
            <w:tcBorders>
              <w:top w:val="single" w:sz="8" w:color="auto"/>
            </w:tcBorders>
            <w:gridSpan w:val="2"/>
          </w:tcPr>
          <w:p>
            <w:pPr>
              <w:jc w:val="right"/>
              <w:ind w:right="380"/>
              <w:spacing w:after="0" w:line="201" w:lineRule="exact"/>
              <w:rPr>
                <w:sz w:val="20"/>
                <w:szCs w:val="20"/>
                <w:color w:val="auto"/>
              </w:rPr>
            </w:pPr>
            <w:r>
              <w:rPr>
                <w:rFonts w:ascii="Arial" w:cs="Arial" w:eastAsia="Arial" w:hAnsi="Arial"/>
                <w:sz w:val="18"/>
                <w:szCs w:val="18"/>
                <w:color w:val="auto"/>
                <w:w w:val="99"/>
              </w:rPr>
              <w:t>January 27,</w:t>
            </w:r>
          </w:p>
        </w:tc>
        <w:tc>
          <w:tcPr>
            <w:tcW w:w="11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9"/>
              </w:rPr>
              <w:t>January 29,</w:t>
            </w:r>
          </w:p>
        </w:tc>
        <w:tc>
          <w:tcPr>
            <w:tcW w:w="26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440"/>
              <w:spacing w:after="0" w:line="201" w:lineRule="exact"/>
              <w:rPr>
                <w:sz w:val="20"/>
                <w:szCs w:val="20"/>
                <w:color w:val="auto"/>
              </w:rPr>
            </w:pPr>
            <w:r>
              <w:rPr>
                <w:rFonts w:ascii="Arial" w:cs="Arial" w:eastAsia="Arial" w:hAnsi="Arial"/>
                <w:sz w:val="18"/>
                <w:szCs w:val="18"/>
                <w:color w:val="auto"/>
                <w:w w:val="99"/>
              </w:rPr>
              <w:t>January 27,</w:t>
            </w:r>
          </w:p>
        </w:tc>
        <w:tc>
          <w:tcPr>
            <w:tcW w:w="116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rPr>
              <w:t>January 29,</w:t>
            </w:r>
          </w:p>
        </w:tc>
        <w:tc>
          <w:tcPr>
            <w:tcW w:w="18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Cost of goods sold (exclusive of  depreciation and rent)</w:t>
            </w:r>
          </w:p>
        </w:tc>
        <w:tc>
          <w:tcPr>
            <w:tcW w:w="1100" w:type="dxa"/>
            <w:vAlign w:val="bottom"/>
          </w:tcPr>
          <w:p>
            <w:pPr>
              <w:jc w:val="right"/>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33.3</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Labor and other related expenses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Interest expense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number of stores in operation at the beginning and end of the quarters and six-month periods ended January 27, 2017 and January 29,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460" w:type="dxa"/>
            <w:vAlign w:val="bottom"/>
            <w:gridSpan w:val="3"/>
          </w:tcPr>
          <w:p>
            <w:pPr>
              <w:jc w:val="right"/>
              <w:ind w:right="610"/>
              <w:spacing w:after="0"/>
              <w:rPr>
                <w:sz w:val="20"/>
                <w:szCs w:val="20"/>
                <w:color w:val="auto"/>
              </w:rPr>
            </w:pPr>
            <w:r>
              <w:rPr>
                <w:rFonts w:ascii="Arial" w:cs="Arial" w:eastAsia="Arial" w:hAnsi="Arial"/>
                <w:sz w:val="18"/>
                <w:szCs w:val="18"/>
                <w:color w:val="auto"/>
              </w:rPr>
              <w:t>Quarter Ended</w:t>
            </w:r>
          </w:p>
        </w:tc>
        <w:tc>
          <w:tcPr>
            <w:tcW w:w="220" w:type="dxa"/>
            <w:vAlign w:val="bottom"/>
          </w:tcPr>
          <w:p>
            <w:pPr>
              <w:spacing w:after="0"/>
              <w:rPr>
                <w:sz w:val="20"/>
                <w:szCs w:val="20"/>
                <w:color w:val="auto"/>
              </w:rPr>
            </w:pPr>
          </w:p>
        </w:tc>
        <w:tc>
          <w:tcPr>
            <w:tcW w:w="2640" w:type="dxa"/>
            <w:vAlign w:val="bottom"/>
            <w:gridSpan w:val="4"/>
          </w:tcPr>
          <w:p>
            <w:pPr>
              <w:jc w:val="right"/>
              <w:ind w:right="700"/>
              <w:spacing w:after="0"/>
              <w:rPr>
                <w:sz w:val="20"/>
                <w:szCs w:val="20"/>
                <w:color w:val="auto"/>
              </w:rPr>
            </w:pPr>
            <w:r>
              <w:rPr>
                <w:rFonts w:ascii="Arial" w:cs="Arial" w:eastAsia="Arial" w:hAnsi="Arial"/>
                <w:sz w:val="18"/>
                <w:szCs w:val="18"/>
                <w:color w:val="auto"/>
              </w:rPr>
              <w:t>Six Months Ended</w:t>
            </w:r>
          </w:p>
        </w:tc>
        <w:tc>
          <w:tcPr>
            <w:tcW w:w="1140" w:type="dxa"/>
            <w:vAlign w:val="bottom"/>
          </w:tcPr>
          <w:p>
            <w:pPr>
              <w:spacing w:after="0"/>
              <w:rPr>
                <w:sz w:val="20"/>
                <w:szCs w:val="20"/>
                <w:color w:val="auto"/>
              </w:rPr>
            </w:pPr>
          </w:p>
        </w:tc>
      </w:tr>
      <w:tr>
        <w:trPr>
          <w:trHeight w:val="202"/>
        </w:trPr>
        <w:tc>
          <w:tcPr>
            <w:tcW w:w="11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140" w:type="dxa"/>
            <w:vAlign w:val="bottom"/>
            <w:tcBorders>
              <w:top w:val="single" w:sz="8" w:color="auto"/>
            </w:tcBorders>
          </w:tcPr>
          <w:p>
            <w:pPr>
              <w:jc w:val="right"/>
              <w:ind w:right="72"/>
              <w:spacing w:after="0" w:line="201" w:lineRule="exact"/>
              <w:rPr>
                <w:sz w:val="20"/>
                <w:szCs w:val="20"/>
                <w:color w:val="auto"/>
              </w:rPr>
            </w:pPr>
            <w:r>
              <w:rPr>
                <w:rFonts w:ascii="Arial" w:cs="Arial" w:eastAsia="Arial" w:hAnsi="Arial"/>
                <w:sz w:val="18"/>
                <w:szCs w:val="18"/>
                <w:color w:val="auto"/>
              </w:rPr>
              <w:t>January 27,</w:t>
            </w: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rPr>
              <w:t>January 29,</w:t>
            </w:r>
          </w:p>
        </w:tc>
        <w:tc>
          <w:tcPr>
            <w:tcW w:w="220" w:type="dxa"/>
            <w:vAlign w:val="bottom"/>
          </w:tcPr>
          <w:p>
            <w:pPr>
              <w:spacing w:after="0"/>
              <w:rPr>
                <w:sz w:val="17"/>
                <w:szCs w:val="17"/>
                <w:color w:val="auto"/>
              </w:rPr>
            </w:pPr>
          </w:p>
        </w:tc>
        <w:tc>
          <w:tcPr>
            <w:tcW w:w="116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rPr>
              <w:t>January 27,</w:t>
            </w: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rPr>
              <w:t>January 29,</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7"/>
        </w:trPr>
        <w:tc>
          <w:tcPr>
            <w:tcW w:w="11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2017</w:t>
            </w:r>
          </w:p>
        </w:tc>
        <w:tc>
          <w:tcPr>
            <w:tcW w:w="1320" w:type="dxa"/>
            <w:vAlign w:val="bottom"/>
            <w:gridSpan w:val="2"/>
          </w:tcPr>
          <w:p>
            <w:pPr>
              <w:jc w:val="right"/>
              <w:ind w:right="310"/>
              <w:spacing w:after="0"/>
              <w:rPr>
                <w:sz w:val="20"/>
                <w:szCs w:val="20"/>
                <w:color w:val="auto"/>
              </w:rPr>
            </w:pPr>
            <w:r>
              <w:rPr>
                <w:rFonts w:ascii="Arial" w:cs="Arial" w:eastAsia="Arial" w:hAnsi="Arial"/>
                <w:sz w:val="18"/>
                <w:szCs w:val="18"/>
                <w:color w:val="auto"/>
              </w:rPr>
              <w:t>2016</w:t>
            </w:r>
          </w:p>
        </w:tc>
        <w:tc>
          <w:tcPr>
            <w:tcW w:w="1380" w:type="dxa"/>
            <w:vAlign w:val="bottom"/>
            <w:gridSpan w:val="2"/>
          </w:tcPr>
          <w:p>
            <w:pPr>
              <w:jc w:val="right"/>
              <w:ind w:right="310"/>
              <w:spacing w:after="0"/>
              <w:rPr>
                <w:sz w:val="20"/>
                <w:szCs w:val="20"/>
                <w:color w:val="auto"/>
              </w:rPr>
            </w:pPr>
            <w:r>
              <w:rPr>
                <w:rFonts w:ascii="Arial" w:cs="Arial" w:eastAsia="Arial" w:hAnsi="Arial"/>
                <w:sz w:val="18"/>
                <w:szCs w:val="18"/>
                <w:color w:val="auto"/>
              </w:rPr>
              <w:t>2017</w:t>
            </w:r>
          </w:p>
        </w:tc>
        <w:tc>
          <w:tcPr>
            <w:tcW w:w="1380" w:type="dxa"/>
            <w:vAlign w:val="bottom"/>
            <w:gridSpan w:val="2"/>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Open at beginning of the period</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Opened during the period</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Closed during the period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3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Open at end of the period</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r>
      <w:tr>
        <w:trPr>
          <w:trHeight w:val="21"/>
        </w:trPr>
        <w:tc>
          <w:tcPr>
            <w:tcW w:w="1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89"/>
        </w:trPr>
        <w:tc>
          <w:tcPr>
            <w:tcW w:w="11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140" w:type="dxa"/>
            <w:vAlign w:val="bottom"/>
          </w:tcPr>
          <w:p>
            <w:pPr>
              <w:jc w:val="right"/>
              <w:ind w:right="232"/>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1160" w:type="dxa"/>
            <w:vAlign w:val="bottom"/>
            <w:tcBorders>
              <w:bottom w:val="single" w:sz="8" w:color="auto"/>
            </w:tcBorders>
          </w:tcPr>
          <w:p>
            <w:pPr>
              <w:spacing w:after="0"/>
              <w:rPr>
                <w:sz w:val="4"/>
                <w:szCs w:val="4"/>
                <w:color w:val="auto"/>
              </w:rPr>
            </w:pPr>
          </w:p>
        </w:tc>
        <w:tc>
          <w:tcPr>
            <w:tcW w:w="38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 for the second quarter and first six months of 2017 both increased 1.1% compared to the same periods in the prior year.</w:t>
      </w:r>
    </w:p>
    <w:p>
      <w:pPr>
        <w:spacing w:after="0" w:line="252"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The following table highlights the key components of revenue for the quarter and six-month period ended January 27, 2017 as compared to the quarter and six-month period ended January 29,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5"/>
          </w:tcPr>
          <w:p>
            <w:pPr>
              <w:jc w:val="right"/>
              <w:ind w:right="960"/>
              <w:spacing w:after="0"/>
              <w:rPr>
                <w:sz w:val="20"/>
                <w:szCs w:val="20"/>
                <w:color w:val="auto"/>
              </w:rPr>
            </w:pPr>
            <w:r>
              <w:rPr>
                <w:rFonts w:ascii="Arial" w:cs="Arial" w:eastAsia="Arial" w:hAnsi="Arial"/>
                <w:sz w:val="18"/>
                <w:szCs w:val="18"/>
                <w:color w:val="auto"/>
              </w:rPr>
              <w:t>Quarter Ended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6"/>
          </w:tcPr>
          <w:p>
            <w:pPr>
              <w:jc w:val="right"/>
              <w:ind w:right="7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ind w:right="460"/>
              <w:spacing w:after="0" w:line="201" w:lineRule="exact"/>
              <w:rPr>
                <w:sz w:val="20"/>
                <w:szCs w:val="20"/>
                <w:color w:val="auto"/>
              </w:rPr>
            </w:pPr>
            <w:r>
              <w:rPr>
                <w:rFonts w:ascii="Arial" w:cs="Arial" w:eastAsia="Arial" w:hAnsi="Arial"/>
                <w:sz w:val="18"/>
                <w:szCs w:val="18"/>
                <w:color w:val="auto"/>
                <w:w w:val="89"/>
              </w:rPr>
              <w:t>January 27,</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420"/>
              <w:spacing w:after="0" w:line="201" w:lineRule="exact"/>
              <w:rPr>
                <w:sz w:val="20"/>
                <w:szCs w:val="20"/>
                <w:color w:val="auto"/>
              </w:rPr>
            </w:pPr>
            <w:r>
              <w:rPr>
                <w:rFonts w:ascii="Arial" w:cs="Arial" w:eastAsia="Arial" w:hAnsi="Arial"/>
                <w:sz w:val="18"/>
                <w:szCs w:val="18"/>
                <w:color w:val="auto"/>
                <w:w w:val="89"/>
              </w:rPr>
              <w:t>January 27,</w:t>
            </w: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Revenue in dollars: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591,113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580,918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1,164,790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1,143,197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Retail</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181,569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183,084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317,863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323,434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w:t>
            </w: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772,682</w:t>
            </w: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764,002</w:t>
            </w: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1,482,653</w:t>
            </w:r>
          </w:p>
        </w:tc>
        <w:tc>
          <w:tcPr>
            <w:tcW w:w="2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1,466,631</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Total revenue by percentage relationships: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Retail</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Average unit volumes</w:t>
            </w:r>
            <w:r>
              <w:rPr>
                <w:rFonts w:ascii="Arial" w:cs="Arial" w:eastAsia="Arial" w:hAnsi="Arial"/>
                <w:sz w:val="25"/>
                <w:szCs w:val="25"/>
                <w:color w:val="auto"/>
                <w:vertAlign w:val="superscript"/>
              </w:rPr>
              <w:t>(1):</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Restaurant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917.6</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914.9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1,811.3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1,798.0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1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494.3</w:t>
            </w:r>
          </w:p>
        </w:tc>
        <w:tc>
          <w:tcPr>
            <w:tcW w:w="2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508.7</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rPr>
              <w:t>Total revenue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1,199.4</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1,203.2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2,305.6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2,306.7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 sales increase (decrease):</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Restaurant</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Pr>
          <w:p>
            <w:pPr>
              <w:ind w:left="320"/>
              <w:spacing w:after="0"/>
              <w:rPr>
                <w:sz w:val="20"/>
                <w:szCs w:val="20"/>
                <w:color w:val="auto"/>
              </w:rPr>
            </w:pPr>
            <w:r>
              <w:rPr>
                <w:rFonts w:ascii="Arial" w:cs="Arial" w:eastAsia="Arial" w:hAnsi="Arial"/>
                <w:sz w:val="18"/>
                <w:szCs w:val="18"/>
                <w:color w:val="auto"/>
              </w:rPr>
              <w:t>Restaurant and retail</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120"/>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Average unit volumes include sales of all stores.</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second quarter of 2017, our comparable store restaurant sales increase consisted of a 2.7% average check increase (including a 2.1% average menu price increase) partially offset by a 2.1% guest traffic decline. For the second quarter of 2017, our comparable store retail sales decrease resulted primarily from the decrease in guest traffic and lower performance in the apparel and accessories as well as toys merchandise categories partially offset by strong performance in the media merchandise category.</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first six months of 2017, our comparable store restaurant sales increase consisted of a 2.8% average check increase (including a 2.1% average menu price increase) partially offset by a 1.9% guest traffic decline. For the first six months of 2017, our comparable store retail sales decrease resulted primarily from the decrease in guest traffic and lower performance in the apparel and accessories, bed and bath, and toys merchandise categories partially offset by strong performance in the media merchandise category.</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Restaurant and retail sales from newly opened stores accounted for the remainder of the total revenue increase in the second quarter and first six months of 2017 as compared to the same periods in the prior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(Exclusive of Depreciation and Rent)</w:t>
      </w:r>
    </w:p>
    <w:p>
      <w:pPr>
        <w:spacing w:after="0" w:line="256" w:lineRule="exact"/>
        <w:rPr>
          <w:sz w:val="20"/>
          <w:szCs w:val="20"/>
          <w:color w:val="auto"/>
        </w:rPr>
      </w:pPr>
    </w:p>
    <w:p>
      <w:pPr>
        <w:jc w:val="both"/>
        <w:ind w:firstLine="664"/>
        <w:spacing w:after="0" w:line="277" w:lineRule="auto"/>
        <w:rPr>
          <w:sz w:val="20"/>
          <w:szCs w:val="20"/>
          <w:color w:val="auto"/>
        </w:rPr>
      </w:pPr>
      <w:r>
        <w:rPr>
          <w:rFonts w:ascii="Arial" w:cs="Arial" w:eastAsia="Arial" w:hAnsi="Arial"/>
          <w:sz w:val="18"/>
          <w:szCs w:val="18"/>
          <w:color w:val="auto"/>
        </w:rPr>
        <w:t>The following table highlights the components of cost of goods sold (exclusive of depreciation and rent) in dollar amounts and as percentages of revenues for the second quarter and first six months of 2017 as compared to the same periods in the prior year: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4"/>
          </w:tcPr>
          <w:p>
            <w:pPr>
              <w:jc w:val="right"/>
              <w:ind w:right="650"/>
              <w:spacing w:after="0"/>
              <w:rPr>
                <w:sz w:val="20"/>
                <w:szCs w:val="20"/>
                <w:color w:val="auto"/>
              </w:rPr>
            </w:pPr>
            <w:r>
              <w:rPr>
                <w:rFonts w:ascii="Arial" w:cs="Arial" w:eastAsia="Arial" w:hAnsi="Arial"/>
                <w:sz w:val="18"/>
                <w:szCs w:val="18"/>
                <w:color w:val="auto"/>
              </w:rPr>
              <w:t>Quarter Ended</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6"/>
          </w:tcPr>
          <w:p>
            <w:pPr>
              <w:ind w:left="480"/>
              <w:spacing w:after="0"/>
              <w:rPr>
                <w:sz w:val="20"/>
                <w:szCs w:val="20"/>
                <w:color w:val="auto"/>
              </w:rPr>
            </w:pPr>
            <w:r>
              <w:rPr>
                <w:rFonts w:ascii="Arial" w:cs="Arial" w:eastAsia="Arial" w:hAnsi="Arial"/>
                <w:sz w:val="18"/>
                <w:szCs w:val="18"/>
                <w:color w:val="auto"/>
              </w:rPr>
              <w:t>Six Months Ended</w:t>
            </w:r>
          </w:p>
        </w:tc>
      </w:tr>
      <w:tr>
        <w:trPr>
          <w:trHeight w:val="202"/>
        </w:trPr>
        <w:tc>
          <w:tcPr>
            <w:tcW w:w="40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20"/>
              <w:spacing w:after="0" w:line="201" w:lineRule="exact"/>
              <w:rPr>
                <w:sz w:val="20"/>
                <w:szCs w:val="20"/>
                <w:color w:val="auto"/>
              </w:rPr>
            </w:pPr>
            <w:r>
              <w:rPr>
                <w:rFonts w:ascii="Arial" w:cs="Arial" w:eastAsia="Arial" w:hAnsi="Arial"/>
                <w:sz w:val="18"/>
                <w:szCs w:val="18"/>
                <w:color w:val="auto"/>
              </w:rPr>
              <w:t>January 27,</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89"/>
              </w:rPr>
              <w:t>January 29,</w:t>
            </w: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rPr>
              <w:t>January 27,</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29,</w:t>
            </w:r>
          </w:p>
        </w:tc>
        <w:tc>
          <w:tcPr>
            <w:tcW w:w="160" w:type="dxa"/>
            <w:vAlign w:val="bottom"/>
          </w:tcPr>
          <w:p>
            <w:pPr>
              <w:spacing w:after="0"/>
              <w:rPr>
                <w:sz w:val="17"/>
                <w:szCs w:val="17"/>
                <w:color w:val="auto"/>
              </w:rPr>
            </w:pPr>
          </w:p>
        </w:tc>
      </w:tr>
      <w:tr>
        <w:trPr>
          <w:trHeight w:val="237"/>
        </w:trPr>
        <w:tc>
          <w:tcPr>
            <w:tcW w:w="40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0"/>
                <w:szCs w:val="20"/>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Cost of Goods Sold in dollars: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153,316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164,776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298,852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319,566</w:t>
            </w:r>
          </w:p>
        </w:tc>
      </w:tr>
      <w:tr>
        <w:trPr>
          <w:trHeight w:val="223"/>
        </w:trPr>
        <w:tc>
          <w:tcPr>
            <w:tcW w:w="4060" w:type="dxa"/>
            <w:vAlign w:val="bottom"/>
          </w:tcPr>
          <w:p>
            <w:pPr>
              <w:ind w:left="180"/>
              <w:spacing w:after="0"/>
              <w:rPr>
                <w:sz w:val="20"/>
                <w:szCs w:val="20"/>
                <w:color w:val="auto"/>
              </w:rPr>
            </w:pPr>
            <w:r>
              <w:rPr>
                <w:rFonts w:ascii="Arial" w:cs="Arial" w:eastAsia="Arial" w:hAnsi="Arial"/>
                <w:sz w:val="18"/>
                <w:szCs w:val="18"/>
                <w:color w:val="auto"/>
              </w:rPr>
              <w:t>Retail</w:t>
            </w: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101,604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100,156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169,177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168,339</w:t>
            </w:r>
          </w:p>
        </w:tc>
      </w:tr>
      <w:tr>
        <w:trPr>
          <w:trHeight w:val="257"/>
        </w:trPr>
        <w:tc>
          <w:tcPr>
            <w:tcW w:w="4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Cost of Goods Sold</w:t>
            </w:r>
          </w:p>
        </w:tc>
        <w:tc>
          <w:tcPr>
            <w:tcW w:w="1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254,920</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264,932</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487,905</w:t>
            </w: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Cost of Goods Sold by percentage of revenue: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w:t>
            </w:r>
          </w:p>
        </w:tc>
      </w:tr>
      <w:tr>
        <w:trPr>
          <w:trHeight w:val="20"/>
        </w:trPr>
        <w:tc>
          <w:tcPr>
            <w:tcW w:w="59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900" w:type="dxa"/>
            <w:vAlign w:val="bottom"/>
          </w:tcPr>
          <w:p>
            <w:pPr>
              <w:ind w:left="180"/>
              <w:spacing w:after="0"/>
              <w:rPr>
                <w:sz w:val="20"/>
                <w:szCs w:val="20"/>
                <w:color w:val="auto"/>
              </w:rPr>
            </w:pPr>
            <w:r>
              <w:rPr>
                <w:rFonts w:ascii="Arial" w:cs="Arial" w:eastAsia="Arial" w:hAnsi="Arial"/>
                <w:sz w:val="18"/>
                <w:szCs w:val="18"/>
                <w:color w:val="auto"/>
              </w:rPr>
              <w:t>Retail</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56.0%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54.7%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53.2%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52.0%</w:t>
            </w:r>
          </w:p>
        </w:tc>
      </w:tr>
      <w:tr>
        <w:trPr>
          <w:trHeight w:val="21"/>
        </w:trPr>
        <w:tc>
          <w:tcPr>
            <w:tcW w:w="59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decrease in restaurant cost of goods sold as a percentage of restaurant revenue in the second quarter of 2017 as compared to the same period in the prior year was primarily the result of commodity deflation, our menu price increase referenced above and lower food waste partially offset by a shift to higher cost menu items. Commodity deflation was 7.8% in the second quarter of 2017. Lower food waste accounted for a decrease of 0.2% in restaurant cost of goods sold as a percentage of restaurant revenue for the second quarter of 2017 as compared to the same period in the prior year. Higher cost menu items accounted for an increase of 0.3% in restaurant cost of goods sold as a percentage of restaurant revenue for the second quarter of 2017 as compared to the same period in the prior year.</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decrease in restaurant cost of goods sold as a percentage of restaurant revenue in the first six months of 2017 as compared to the same period in the prior year was the result of commodity deflation, our menu price increase referenced above and lower food waste. Commodity deflation was 6.5% in the first six months of 2017. Lower food waste accounted for a decrease of 0.2% in restaurant cost of goods sold as a percentage of restaurant revenue for the first six months of 2017 as compared to the same period in the prior year.</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presently expect the rate of commodity deflation to be approximately 4.0% in 2017 as compared to 2016.</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increase in retail cost of goods sold as a percentage of retail revenue in the second quarter of 2017 as compared to the prior year quarter resulted from higher markdowns and lower initial margin which were partially offset by a decrease in the provision for obsolete inventory.</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3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Second Quarter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Increase (Decrease) as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5160" w:type="dxa"/>
            <w:vAlign w:val="bottom"/>
            <w:gridSpan w:val="3"/>
          </w:tcPr>
          <w:p>
            <w:pPr>
              <w:jc w:val="center"/>
              <w:ind w:left="2490"/>
              <w:spacing w:after="0"/>
              <w:rPr>
                <w:sz w:val="20"/>
                <w:szCs w:val="20"/>
                <w:color w:val="auto"/>
              </w:rPr>
            </w:pPr>
            <w:r>
              <w:rPr>
                <w:rFonts w:ascii="Arial" w:cs="Arial" w:eastAsia="Arial" w:hAnsi="Arial"/>
                <w:sz w:val="18"/>
                <w:szCs w:val="18"/>
                <w:color w:val="auto"/>
                <w:w w:val="89"/>
              </w:rPr>
              <w:t>Percentage of Retail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Markdowns</w:t>
            </w:r>
          </w:p>
        </w:tc>
        <w:tc>
          <w:tcPr>
            <w:tcW w:w="280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Lower initial margin</w:t>
            </w:r>
          </w:p>
        </w:tc>
        <w:tc>
          <w:tcPr>
            <w:tcW w:w="5160" w:type="dxa"/>
            <w:vAlign w:val="bottom"/>
            <w:gridSpan w:val="3"/>
          </w:tcPr>
          <w:p>
            <w:pPr>
              <w:jc w:val="right"/>
              <w:ind w:right="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obsolete inventory</w:t>
            </w:r>
          </w:p>
        </w:tc>
        <w:tc>
          <w:tcPr>
            <w:tcW w:w="5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increase in retail cost of goods sold as a percentage of retail revenue in the first six months of 2017 as compared to the same period in the prior year resulted primarily from higher markdowns and lower initial margin which were partially offset by a decrease in the provision for obsolete inventory.</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3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First Six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Increase (Decrease) as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5160" w:type="dxa"/>
            <w:vAlign w:val="bottom"/>
            <w:gridSpan w:val="3"/>
          </w:tcPr>
          <w:p>
            <w:pPr>
              <w:jc w:val="center"/>
              <w:ind w:left="2490"/>
              <w:spacing w:after="0"/>
              <w:rPr>
                <w:sz w:val="20"/>
                <w:szCs w:val="20"/>
                <w:color w:val="auto"/>
              </w:rPr>
            </w:pPr>
            <w:r>
              <w:rPr>
                <w:rFonts w:ascii="Arial" w:cs="Arial" w:eastAsia="Arial" w:hAnsi="Arial"/>
                <w:sz w:val="18"/>
                <w:szCs w:val="18"/>
                <w:color w:val="auto"/>
                <w:w w:val="89"/>
              </w:rPr>
              <w:t>Percentage of Retail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Markdowns</w:t>
            </w:r>
          </w:p>
        </w:tc>
        <w:tc>
          <w:tcPr>
            <w:tcW w:w="280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Lower initial margin</w:t>
            </w:r>
          </w:p>
        </w:tc>
        <w:tc>
          <w:tcPr>
            <w:tcW w:w="5160" w:type="dxa"/>
            <w:vAlign w:val="bottom"/>
            <w:gridSpan w:val="3"/>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obsolete inventory</w:t>
            </w:r>
          </w:p>
        </w:tc>
        <w:tc>
          <w:tcPr>
            <w:tcW w:w="5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 and Related Expenses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Labor and related expenses include all direct and indirect labor and related costs incurred in store operations. Labor and related expenses as a percentage of total revenue increased to 33.6% in the second quarter of 2017 as compared to 33.0% in the second quarter of 2016. This percentage change resulted primarily from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Second Quarter</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6560" w:type="dxa"/>
            <w:vAlign w:val="bottom"/>
            <w:gridSpan w:val="3"/>
          </w:tcPr>
          <w:p>
            <w:pPr>
              <w:jc w:val="center"/>
              <w:ind w:left="4354"/>
              <w:spacing w:after="0"/>
              <w:rPr>
                <w:sz w:val="20"/>
                <w:szCs w:val="20"/>
                <w:color w:val="auto"/>
              </w:rPr>
            </w:pPr>
            <w:r>
              <w:rPr>
                <w:rFonts w:ascii="Arial" w:cs="Arial" w:eastAsia="Arial" w:hAnsi="Arial"/>
                <w:sz w:val="18"/>
                <w:szCs w:val="18"/>
                <w:color w:val="auto"/>
                <w:w w:val="85"/>
              </w:rPr>
              <w:t>Increase as a Percentage</w:t>
            </w:r>
          </w:p>
        </w:tc>
        <w:tc>
          <w:tcPr>
            <w:tcW w:w="560" w:type="dxa"/>
            <w:vAlign w:val="bottom"/>
          </w:tcPr>
          <w:p>
            <w:pPr>
              <w:spacing w:after="0"/>
              <w:rPr>
                <w:sz w:val="18"/>
                <w:szCs w:val="18"/>
                <w:color w:val="auto"/>
              </w:rPr>
            </w:pPr>
          </w:p>
        </w:tc>
      </w:tr>
      <w:tr>
        <w:trPr>
          <w:trHeight w:val="237"/>
        </w:trPr>
        <w:tc>
          <w:tcPr>
            <w:tcW w:w="5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of Total Revenue</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Store bonus expense</w:t>
            </w:r>
          </w:p>
        </w:tc>
        <w:tc>
          <w:tcPr>
            <w:tcW w:w="46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Store management compensation</w:t>
            </w:r>
          </w:p>
        </w:tc>
        <w:tc>
          <w:tcPr>
            <w:tcW w:w="656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Store hourly labor</w:t>
            </w:r>
          </w:p>
        </w:tc>
        <w:tc>
          <w:tcPr>
            <w:tcW w:w="6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8"/>
                <w:szCs w:val="18"/>
                <w:color w:val="auto"/>
              </w:rPr>
            </w:pPr>
          </w:p>
        </w:tc>
      </w:tr>
      <w:tr>
        <w:trPr>
          <w:trHeight w:val="596"/>
        </w:trPr>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640" w:type="dxa"/>
            <w:vAlign w:val="bottom"/>
          </w:tcPr>
          <w:p>
            <w:pPr>
              <w:jc w:val="right"/>
              <w:ind w:right="3074"/>
              <w:spacing w:after="0"/>
              <w:rPr>
                <w:sz w:val="20"/>
                <w:szCs w:val="20"/>
                <w:color w:val="auto"/>
              </w:rPr>
            </w:pPr>
            <w:r>
              <w:rPr>
                <w:rFonts w:ascii="Arial" w:cs="Arial" w:eastAsia="Arial" w:hAnsi="Arial"/>
                <w:sz w:val="14"/>
                <w:szCs w:val="14"/>
                <w:color w:val="auto"/>
              </w:rPr>
              <w:t>18</w:t>
            </w: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6"/>
        </w:trPr>
        <w:tc>
          <w:tcPr>
            <w:tcW w:w="580" w:type="dxa"/>
            <w:vAlign w:val="bottom"/>
            <w:tcBorders>
              <w:bottom w:val="single" w:sz="8" w:color="auto"/>
            </w:tcBorders>
          </w:tcPr>
          <w:p>
            <w:pPr>
              <w:spacing w:after="0"/>
              <w:rPr>
                <w:sz w:val="4"/>
                <w:szCs w:val="4"/>
                <w:color w:val="auto"/>
              </w:rPr>
            </w:pPr>
          </w:p>
        </w:tc>
        <w:tc>
          <w:tcPr>
            <w:tcW w:w="3720" w:type="dxa"/>
            <w:vAlign w:val="bottom"/>
            <w:tcBorders>
              <w:bottom w:val="single" w:sz="8" w:color="auto"/>
            </w:tcBorders>
          </w:tcPr>
          <w:p>
            <w:pPr>
              <w:spacing w:after="0"/>
              <w:rPr>
                <w:sz w:val="4"/>
                <w:szCs w:val="4"/>
                <w:color w:val="auto"/>
              </w:rPr>
            </w:pPr>
          </w:p>
        </w:tc>
        <w:tc>
          <w:tcPr>
            <w:tcW w:w="464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Labor and related expenses as a percentage of total revenue increased to 34.3% in the first six months of 2017 as compared to 33.8% in the same period in the prior year. This percentage change resulted from the following:</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1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First Six Months</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5020" w:type="dxa"/>
            <w:vAlign w:val="bottom"/>
            <w:gridSpan w:val="3"/>
          </w:tcPr>
          <w:p>
            <w:pPr>
              <w:jc w:val="center"/>
              <w:ind w:left="2610"/>
              <w:spacing w:after="0"/>
              <w:rPr>
                <w:sz w:val="20"/>
                <w:szCs w:val="20"/>
                <w:color w:val="auto"/>
              </w:rPr>
            </w:pPr>
            <w:r>
              <w:rPr>
                <w:rFonts w:ascii="Arial" w:cs="Arial" w:eastAsia="Arial" w:hAnsi="Arial"/>
                <w:sz w:val="18"/>
                <w:szCs w:val="18"/>
                <w:color w:val="auto"/>
                <w:w w:val="87"/>
              </w:rPr>
              <w:t>Increase as a Percentage of</w:t>
            </w:r>
          </w:p>
        </w:tc>
      </w:tr>
      <w:tr>
        <w:trPr>
          <w:trHeight w:val="237"/>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Total Revenue</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Store bonus expense</w:t>
            </w:r>
          </w:p>
        </w:tc>
        <w:tc>
          <w:tcPr>
            <w:tcW w:w="29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Store management compensation</w:t>
            </w:r>
          </w:p>
        </w:tc>
        <w:tc>
          <w:tcPr>
            <w:tcW w:w="5020" w:type="dxa"/>
            <w:vAlign w:val="bottom"/>
            <w:gridSpan w:val="3"/>
          </w:tcPr>
          <w:p>
            <w:pPr>
              <w:jc w:val="right"/>
              <w:ind w:right="4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Store hourly labor</w:t>
            </w:r>
          </w:p>
        </w:tc>
        <w:tc>
          <w:tcPr>
            <w:tcW w:w="5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Higher store bonus expense as a percentage of total revenue for the second quarter and the first six months of 2017 as compared to the same periods in the prior year resulted from better performance against financial objectives in the second quarter and first six months of 2017 as compared to the same periods in the prior year.</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increase in store management compensation expense as a percentage of total revenue for the second quarter and first six months of 2017 as compared to the same periods in the prior year resulted primarily from higher staffing levels in the second quarter and first six months of 2017 as compared to the same periods in the prior year.</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store hourly labor costs as a percentage of total revenue for the second quarter and the first six months of 2017 as compared to the same periods in the prior year resulted primarily from wage inflation.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Store Operating Expenses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store operating expenses include all store-level operating costs, the major components of which are utilities, operating supplies, repairs and maintenance, depreciation and amortization, advertising, rent, credit card fees, real and personal property taxes, general insurance and costs associated with our bi-annual manager conference and training event.</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store operating expenses as a percentage of total revenue decreased to 18.2% in the second quarter of 2017 as compared to 18.4% in the second quarter of 2016. This percentage change resulted primarily from the following:</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2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Second Quarter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28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(Decrease) Increase as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5500" w:type="dxa"/>
            <w:vAlign w:val="bottom"/>
            <w:gridSpan w:val="3"/>
          </w:tcPr>
          <w:p>
            <w:pPr>
              <w:jc w:val="center"/>
              <w:ind w:left="2890"/>
              <w:spacing w:after="0"/>
              <w:rPr>
                <w:sz w:val="20"/>
                <w:szCs w:val="20"/>
                <w:color w:val="auto"/>
              </w:rPr>
            </w:pPr>
            <w:r>
              <w:rPr>
                <w:rFonts w:ascii="Arial" w:cs="Arial" w:eastAsia="Arial" w:hAnsi="Arial"/>
                <w:sz w:val="18"/>
                <w:szCs w:val="18"/>
                <w:color w:val="auto"/>
                <w:w w:val="88"/>
              </w:rPr>
              <w:t>Percentage of Total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Maintenance expense</w:t>
            </w:r>
          </w:p>
        </w:tc>
        <w:tc>
          <w:tcPr>
            <w:tcW w:w="32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Advertising expense</w:t>
            </w:r>
          </w:p>
        </w:tc>
        <w:tc>
          <w:tcPr>
            <w:tcW w:w="550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Utilities expense</w:t>
            </w:r>
          </w:p>
        </w:tc>
        <w:tc>
          <w:tcPr>
            <w:tcW w:w="5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Depreciation expense</w:t>
            </w:r>
          </w:p>
        </w:tc>
        <w:tc>
          <w:tcPr>
            <w:tcW w:w="5500" w:type="dxa"/>
            <w:vAlign w:val="bottom"/>
            <w:gridSpan w:val="3"/>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Supplies expense</w:t>
            </w:r>
          </w:p>
        </w:tc>
        <w:tc>
          <w:tcPr>
            <w:tcW w:w="5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Other store operating expenses as a percentage of total revenue decreased to 18.8% in the first six months of 2017 as compared to 18.9% in the same period in the prior year. This percentage change resulted primarily from the following:</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2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First Six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28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(Decrease) Increase as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5500" w:type="dxa"/>
            <w:vAlign w:val="bottom"/>
            <w:gridSpan w:val="3"/>
          </w:tcPr>
          <w:p>
            <w:pPr>
              <w:jc w:val="center"/>
              <w:ind w:left="2890"/>
              <w:spacing w:after="0"/>
              <w:rPr>
                <w:sz w:val="20"/>
                <w:szCs w:val="20"/>
                <w:color w:val="auto"/>
              </w:rPr>
            </w:pPr>
            <w:r>
              <w:rPr>
                <w:rFonts w:ascii="Arial" w:cs="Arial" w:eastAsia="Arial" w:hAnsi="Arial"/>
                <w:sz w:val="18"/>
                <w:szCs w:val="18"/>
                <w:color w:val="auto"/>
                <w:w w:val="88"/>
              </w:rPr>
              <w:t>Percentage of Total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Maintenance expense</w:t>
            </w:r>
          </w:p>
        </w:tc>
        <w:tc>
          <w:tcPr>
            <w:tcW w:w="32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Utilities expense</w:t>
            </w:r>
          </w:p>
        </w:tc>
        <w:tc>
          <w:tcPr>
            <w:tcW w:w="550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5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decreases in maintenance expense as a percentage of total revenue for the second quarter and first six months of 2017 as compared to the same periods in the prior year resulted primarily from better cost management.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decrease in advertising expense as a percentage of total revenue for the second quarter of 2017 as compared to the same period in the prior year resulted primarily from lower television advertising spending due to a more efficient media buying strategy. In 2017, we plan to spend approximately 2.9% of our revenues on advertising as compared to 2.7% of revenues in 2016.</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decreases in utilities expense as a percentage of total revenue for the second quarter and first six months of 2017 as compared to the same periods in the prior year resulted primarily from lower electricity costs partially offset by higher natural gas costs. Lower electricity costs resulted primarily from our cost saving initiatives. Higher natural gas costs for the second quarter of 2017 as compared to the same period in the prior year resulted from an increase in natural gas rates and an increase in usage due to colder weather. Higher natural gas costs for the first six months resulted from an increase in natural gas rates partially offset by lower usage due to warmer weather.</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increases in depreciation expense as a percentage of total revenue for the second quarter and first six months of 2017 as compared to the same periods in the prior year resulted from higher capital expenditures in the second quarter and first six months of 2017 as compared to the same periods in the prior year. We presently expect depreciation expense for 2017 to be approximately $85,000 to $87,000.</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increase in supplies expense as a percentage of total revenue for the second quarter of 2017 as compared to the same period in the prior year resulted primarily from higher costs for packaging associated with the increase in seasonal to go volume.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expenses as a percentage of total revenue decreased to 4.5% in the second quarter of 2017 as compared to 4.7% in the second quarter of 2016 primarily due to lower manager training costs associated with higher management staffing counts.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expenses as a percentage of total revenue remained relatively constant at 4.6% in the first six months of 2017 as compared to 4.7% in the same period in the prior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Interest expense for the second quarter of 2017 was $3,638 as compared to $3,569 in the second quarter of 2016. Interest expense for the first six months of 2017 was $7,314 as compared to $7,113 in the same period in the prior year. The increases in interest expense for both the second quarter and first six months of 2017 as compared to the same periods in the prior year resulted primarily from higher weighted average interest rates.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Provision for income taxes as a percentage of income before income taxes (the “effective tax rate”) was 33.3% and 27.9% in the second quarters of 2017 and 2016, respectively. The increase in the effective tax rate from the second quarter of 2016 to the second quarter of 2017 resulted primarily from lower than anticipated Work Opportunity Tax Credit (“WOTC”) collections during the second quarter of 2017 and the WOTC benefit recognized in the prior year as a result of the retroactive reinstatement.</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effective tax rate was 33.1% and 30.8% in the first six months of 2017 and 2016, respectively. The increase in the effective tax rate from the first six months of 2016 to the first six months of 2017 resulted primarily from lower than anticipated WOTC collections during the first six months of 2017, the impact of the WOTC benefit recognized in the prior year as a result of the retroactive reinstatement of WOTC, and more favorable tax adjustments in the prior year associated with audit settlements than in the current year. We presently expect our effective tax rate for 2017 to be approximately 32%.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primary sources of liquidity are cash generated from our operations and our borrowing capacity under our $750,000 revolving credit facility (the “Revolving Credit Facility”). Our internally generated cash, along with cash on hand at July 29, 2016, was sufficient to finance all of our growth, dividend payments, working capital needs and other cash payment obligations in the first six months of 2017.</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cash on hand at January 27, 2017, along with cash generated from our operating activities and the borrowing capacity under our Revolving Credit Facility, will be sufficient to finance our continuing operations, expected dividend payments and our continuing expansion plans for at least the next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Generated From Operations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operating activities provided net cash of $149,502 for the first six months of 2017, which represented an increase from the $85,613 net cash provided during the first six months of 2016. This increase primarily reflected the timing of payments for income taxes and accounts payable, higher net income and lower incentive compensation payments made in 2017 as a result of the prior year’s performance.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Capacity and Debt Covenants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January 27, 2017, we had $400,000 of outstanding borrowings under the Revolving Credit Facility and we had $9,655 of standby letters of credit related to securing reserved claims under our workers’ compensation insurance which reduce our borrowing availability under the Revolving Credit Facility. At January 27, 2017, we had $340,345 in borrowing availability under our Revolving Credit Facility. See Note 4 to our Condensed Consolidated Financial Statements for further information on our long-term debt.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Revolving Credit Facility contains customary financial covenants, which include maintenance of a maximum consolidated total leverage ratio and a minimum consolidated interest coverage ratio. We presently are in compliance with all financial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5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7"/>
          <w:szCs w:val="17"/>
          <w:color w:val="auto"/>
        </w:rPr>
        <w:t>Capital expenditures (purchase of property and equipment) net of proceeds from insurance recoveries were $52,934 for the first six months of 2017 as compared to $36,797 for the same period in the prior year. Our capital expenditures consisted primarily of capital investments for existing stores, new store locations and capital expenditures for strategic initiatives. The increase in capital expenditures from the first six months of 2016 to the first six months of 2017 resulted primarily from an increase in the number of new store locations and capital for strategic initiatives. We estimate that our capital expenditures during 2017 will be approximately $125,000. This estimate includes the acquisition of sites and construction costs of eight new Cracker Barrel stores and four new Holler &amp; Dash Biscuit House</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locations that we have opened or are expecting to open during 2017, as well as for acquisition and construction costs for store locations to be opened in 2018. We also expect to increase capital expenditures for technology and strategic initiatives, which are intended to improve the guest experience and improve margins. We intend to fund our capital expenditures with cash flows from operations and borrowings under our Revolving Credit Facility, as necessary.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Share Repurchases and Share-Based Compensation Awards</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Revolving Credit Facility imposes restrictions on the amount of dividends we are permitted to pay and the amount of shares we are permitted to repurchase. Under the Revolving Credit Facility, provided there is no default existing and the total of our availability under the Revolving Credit Facility plus our cash and cash equivalents on hand is at least $100,000 (the “cash availability”), we may declare and pay cash dividends on shares of our common stock and repurchase shares of our common stock (1) in an unlimited amount if, at the time the dividend or the repurchase is made, our consolidated total leverage ratio is 3.00 to 1.00 or less and (2) in an aggregate amount not to exceed $100,000 in any fiscal year if our consolidated total leverage ratio is greater than 3.00 to 1.00 at the time the dividend or repurchase is made; notwithstanding (1) and (2), so long as immediately after giving effect to the payment of any such dividends cash availability is at least $100,000, we may declare and pay cash dividends on shares of our common stock in an aggregate amount not to exceed in any fiscal year the product of the aggregate amount of dividends declared in the fourth quarter of the immediately preceding fiscal year multiplied by four.</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first six months of 2017, we paid a regular dividend of $3.30 per share. During the second quarter of 2017, we declared a dividend of $1.15 per share that was paid on February 6, 2017 to shareholders of record on January 13, 2017.</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been authorized by our Board of Directors to repurchase shares at management’s discretion up to $25,000 during 2017. We did not repurchase any shares of our common stock in the first six months of 2017.</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first six months of 2017, we issued 86,439 shares of our common stock resulting from the vesting of share-based compensation awards and stock option exercises. Related tax withholding payments on these share-based compensation awards exceeded proceeds received from the exercise of stock options, which resulted in a net use of cash of $6,031.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restaurant industry, virtually all sales are either for cash or second-party credit or debit card. Restaurant inventories purchased through our principal food distributor are on terms of net zero days, while restaurant inventories purchased locally are generally financed from normal trade credit. Because of our retail gift shops, which have a lower product turnover than the restaurant business, we carry larger inventories than many other companies in the restaurant industry. Retail inventories purchased domestically are generally financed from normal trade credit, while imported retail inventories are generally purchased through wire transfers. These various trade terms are aided by the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1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had positive working capital of $22,575 at January 27, 2017 versus negative working capital of $13,077 at July 29, 2016. Working capital increased from July 29, 2016 primarily as the result of an increase in cash and the timing of payments for accounts payable partially offset by the timing of payments for certain taxes and the net change in working capital related to the increase in sales of our gift cards during the holiday shopping season.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than various operating leases, we have no other material off-balance sheet arrangements. Refer to the sub-section entitled “Off-Balance Sheet Arrangements” under the section entitled “Liquidity and Capital Resources” presented in the MD&amp;A of our 2016 Form 10-K for additional information regarding our operating leases.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Commitments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material changes in our material commitments other than in the ordinary course of business since the end of 2016. Refer to the sub-section entitled “Material Commitments” under the section entitled “Liquidity and Capital Resources” presented in the MD&amp;A of our 2016 Form 10-K for additional information regarding our material commitments.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 Adopted and Not Adopted</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See Note 1 to the accompanying Condensed Consolidated Financial Statements for a discussion of recent accounting guidance adopted and not yet adopted. The adopted accounting guidance discussed in Note 1 did not have a significant impact on our consolidated financial position or results of operations. Regarding the accounting guidance not yet adopted, we are still evaluating the impact of adopting the accounting guidance.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prepare our Consolidated Financial Statements in conformity with accounting principles generally accepted in the United States of America.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significant accounting policies are discussed in Note 2 to the Consolidated Financial Statements contained in the 2016 Form 10-K. Judgments and uncertainties affecting the application of those policies may result in materially different amounts being reported under different conditions or using different assumptions.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estimates are those that:</w:t>
      </w:r>
    </w:p>
    <w:p>
      <w:pPr>
        <w:spacing w:after="0" w:line="252" w:lineRule="exact"/>
        <w:rPr>
          <w:sz w:val="20"/>
          <w:szCs w:val="20"/>
          <w:color w:val="auto"/>
        </w:rPr>
      </w:pPr>
    </w:p>
    <w:p>
      <w:pPr>
        <w:ind w:left="1000" w:hanging="330"/>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believes are most important to the accurate portrayal of both our financial condition and operating results, and</w:t>
      </w:r>
    </w:p>
    <w:p>
      <w:pPr>
        <w:spacing w:after="0" w:line="23" w:lineRule="exact"/>
        <w:rPr>
          <w:rFonts w:ascii="Arial" w:cs="Arial" w:eastAsia="Arial" w:hAnsi="Arial"/>
          <w:sz w:val="18"/>
          <w:szCs w:val="18"/>
          <w:color w:val="auto"/>
        </w:rPr>
      </w:pPr>
    </w:p>
    <w:p>
      <w:pPr>
        <w:ind w:left="1000" w:hanging="330"/>
        <w:spacing w:after="0" w:line="261"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management’s most difficult, subjective or complex judgments, often as a result of the need to make estimates about the effect of matters that are inherently uncertain.</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consider the following accounting estimates to be most critical in understanding the judgments that are involved in preparing our Consolidated Financial Statements:</w:t>
      </w:r>
    </w:p>
    <w:p>
      <w:pPr>
        <w:spacing w:after="0" w:line="197" w:lineRule="exact"/>
        <w:rPr>
          <w:sz w:val="20"/>
          <w:szCs w:val="20"/>
          <w:color w:val="auto"/>
        </w:rPr>
      </w:pPr>
    </w:p>
    <w:p>
      <w:pPr>
        <w:ind w:left="1000" w:hanging="33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Impairment of Long-Lived Assets and Provision for Asset Dispositions</w:t>
      </w:r>
    </w:p>
    <w:p>
      <w:pPr>
        <w:spacing w:after="0" w:line="23" w:lineRule="exact"/>
        <w:rPr>
          <w:rFonts w:ascii="Arial" w:cs="Arial" w:eastAsia="Arial" w:hAnsi="Arial"/>
          <w:sz w:val="18"/>
          <w:szCs w:val="18"/>
          <w:color w:val="auto"/>
        </w:rPr>
      </w:pPr>
    </w:p>
    <w:p>
      <w:pPr>
        <w:ind w:left="1000" w:hanging="33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Insurance Reserves</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Retail Inventory Valuation</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Provision</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Share-Based Compensation</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Legal Proceedings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reviewed these critical accounting estimates and related disclosures with the Audit Committee of our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 and Provision for Asset Dispositions</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made any material changes in our methodology for assessing impairments during the first six months of 2017, and we do not believe that there is a reasonable likelihood that there will be a material change in the estimates or assumptions used by us in the future to assess impairment of long-lived assets. However, if actual results are not consistent with our estimates and assumptions used in estimating future cash flows and fair values of long-lived assets, we may be exposed to losses that could be 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self-insure a significant portion of our expected workers’ compensation and general liability insurance programs. We purchase insurance for individual workers’ compensation claims that exceed $250, $750 or $1,000 depending on the state in which the claim originates. We purchase insurance for individual general liability claims that exceed $500. We record a reserve for workers’ compensation and general liability for all unresolved claims and for an estimate of incurred but not reported (“IBNR”) claims. These reserves and estimates of IBNR claims are based upon a full scope actuarial study which is performed annually at the end of our third quarter and is adjusted by the actuarially determined losses and actual claims payments for the fourth quarter. Additionally, we perform limited scope actuarial studies on a quarterly basis to verify and/or modify our reserves. The reserves and losses in the actuarial study represent a range of possible outcomes within which no given estimate is more likely than any other estimate. As such, we record the losses in the lower end of that range and discount them to present value using a risk-free interest rate based on projected timing of payments. We also monitor actual claims development, including incidence or settlement of individual large claims during the interim periods between actuarial studies as another means of estimating the adequacy of our reserves.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group health plans combine the use of self-insured and fully-insured programs. Benefits for any individual (employee or dependents) in the self-insured group health program are limited. We record a liability for the self-insured portion of our group health program for all unpaid claims based upon a loss development analysis derived from actual group health claims payment experience. Additionally, we record a liability for unpaid prescription drug claims based on historical experience.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accounting policies regarding workers’ compensation, general insurance and health insurance reserves include certain actuarial assumptions and management judgments regarding economic conditions, the frequency and severity of claims and claim development history and settlement practices. We have not made any material changes in the accounting methodology used to establish our insurance reserves during the first six months of 2017 and do not believe there is a reasonable likelihood that there will be a material change in the estimates or assumptions used to calculate the insurance reserves. However, changes in these actuarial assumptions, management judgments or claims experience in the future may produce materially different amounts of expense that would be reported under these insurance programs.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Inventory Valuation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goods sold includes the cost of retail merchandise sold at our stores utilizing the retail inventory method (“RIM”). Under RIM, the valuation of our retail inventories at cost and the resulting gross margins are calculated by applying a cost-to-retail ratio to the retail value of our inventories. Inherent in the RIM calculation are certain significant management judgments and estimates, including initial markons, markups, markdowns and shrinkage, which may significantly impact the gross margin calculation as well as the ending inventory valuation.</w:t>
      </w:r>
    </w:p>
    <w:p>
      <w:pPr>
        <w:spacing w:after="0" w:line="21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judgments regarding inventory aging and future promotional activities. Cost of goods sold includes an estimate of shrinkage that is adjusted upon physical inventory counts. Annual physical inventory counts are conducted throughout the third quarter based upon a cyclical inventory schedule. An estimate of shrinkage is recorded for the time period between physical inventory counts by using a three-year average of the physical inventories’ results on a store-by-store basis.</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not made any material changes in the methodologies, estimates or assumptions related to our merchandise inventories during the first six months of 2017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Provision</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must make estimates of certain items that comprise our income tax provision. These estimates include effective state and local income tax rates, employer tax credits for items such as FICA taxes paid on employee tip income, WOTC, as well as estimates related to certain depreciation and capitalization policies. Our estimates are made based on current tax laws, the best available information at the time of the provision and historical experience.</w:t>
      </w:r>
    </w:p>
    <w:p>
      <w:pPr>
        <w:spacing w:after="0" w:line="1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recognize (or derecognize)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file our income tax returns many months after our year end. These returns are subject to audit by various federal and state governments years after the returns are filed and could be subject to differing interpretations of the tax laws. We then must assess the likelihood of successful legal proceedings or reach a settlement with the relevant taxing authority. Although we believe that the judgments and estimates used in establishing our tax provision are reasonable, an unsuccessful legal proceeding or a settlement could result in material adjustments to our Consolidated Financial Statements and our consolidated financial position (see Note 13 to our Consolidated Financial Statements contained in the 2016 Form 10-K for additional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share-based compensation consists of nonvested stock awards and units and performance-based market stock units (“MSU Grants”). Share-based compensation expense is recognized based on the grant date fair value and the achievement of performance conditions for certain awards. We recognize share-based compensation expense on a straight-line basis over the requisite service period, which is generally the award’s vesting period, or the date on which retirement is achieved, if shorter.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Compensation expense is recognized for only the portion of our share-based compensation awards that are expected to vest. Therefore, an estimated forfeiture rate is derived from historical employee termination behavior and is updated annually. The forfeiture rate is applied on a straight-line basis over the service (vesting) period for each separately vesting portion of the award as if the award were, in substance, multiple awards.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share-based compensation awards accrue dividends. Dividends will be forfeited for any share-based compensation awards that do not vest.</w:t>
      </w:r>
    </w:p>
    <w:p>
      <w:pPr>
        <w:spacing w:after="0" w:line="2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fair value of nonvested stock awards which accrue dividends is equal to the market price of our common stock at the date of grant. Our nonvested stock awards are time vested except for certain awards under our long-term incentive plans, which also contain performance conditions. At each reporting period, we reassess the probability of achieving the performance conditions under our long-term incentive plans. Determining whether the performance conditions will be achieved involves judgment, and the estimate of expense for nonvested stock awards may be revised periodically based on changes in our determination of the probability of achieving the performance conditions. Revisions are reflected in the period in which the estimate is changed. If any performance conditions are not met, no shares will be granted, no compensation will ultimately be recognized and, to the extent previously recognized, compensation expense will be reversed.</w:t>
      </w:r>
    </w:p>
    <w:p>
      <w:pPr>
        <w:spacing w:after="0" w:line="2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to requiring the requisite service, MSU Grants contain both a market condition based on total shareholder return and a performance condition based on operating income. Total shareholder return is defined as increases in our stock price plus dividends paid during the performance period. The number of shares awarded at the end of the performance period for each MSU Grant may increase up to 150% of target in direct proportion to any percentage increase in shareholder value during the performance period. The probability of the actual shares expected to be awarded is considered in the grant date valuation; therefore, the expense will not be adjusted to reflect the actual units awarded. However, if the performance condition is not met, no shares will be granted, no compensation will ultimately be recognized and, to the extent previously recognized, compensation expense will be reversed.</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our MSU Grants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second business day of the performance period. This model also incorporates the following ranges of assumptions:</w:t>
      </w:r>
    </w:p>
    <w:p>
      <w:pPr>
        <w:spacing w:after="0" w:line="187" w:lineRule="exact"/>
        <w:rPr>
          <w:sz w:val="20"/>
          <w:szCs w:val="20"/>
          <w:color w:val="auto"/>
        </w:rPr>
      </w:pPr>
    </w:p>
    <w:p>
      <w:pPr>
        <w:ind w:left="660" w:right="2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expected volatility is a blend of implied volatility based on market-traded options on our stock and historical volatility of our stock over the period commensurate with the performance period.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performance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expected dividend yield is assumed to be zero since the award holders are entitled to any dividends paid over the performance period.</w:t>
      </w:r>
    </w:p>
    <w:p>
      <w:pPr>
        <w:spacing w:after="0" w:line="2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update the historical and implied components of the expected volatility assumption when new grants are made. No MSU Grants have been awarded in 2017.</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Beginning in 2017, we adopted long-term incentive plans that award nonvested stock units based upon relative total shareholder return. In addition to requiring the requisite service, these nonvested stock units contain both a market condition based on relative total shareholder return and a performance condition based on operating income. Relative total shareholder return is defined as increases in our stock price plus dividends paid during the performance period as compared to the total shareholder return of a group of peer companies determined by the Compensation Committee. The number of shares awarded at the end of the performance period for each nonvested stock unit may range from 75% to 125% of the target award. The probability of the actual shares expected to be awarded is considered in the grant date valuation; therefore, the expense will not be adjusted to reflect the actual units awarded. However, if the performance condition is not met, no shares will be granted, no compensation will ultimately be recognized and, to the extent previously recognized, compensation expense will be reversed.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these nonvested stock units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second business day of the performance period. This model also incorporates the following ranges of assumptions:</w:t>
      </w:r>
    </w:p>
    <w:p>
      <w:pPr>
        <w:spacing w:after="0" w:line="187" w:lineRule="exact"/>
        <w:rPr>
          <w:sz w:val="20"/>
          <w:szCs w:val="20"/>
          <w:color w:val="auto"/>
        </w:rPr>
      </w:pPr>
    </w:p>
    <w:p>
      <w:pPr>
        <w:ind w:left="660" w:hanging="328"/>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expected volatility is the historical volatility of our stock and the members of the peer group over the period commensurate with the performance period.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performance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expected dividend yield is assumed to be zero since the award holders are entitled to any dividends paid over the performance period.</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We will update the expected volatility assumption when new grants are made.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made any material changes in our estimates or assumptions used to determine share-based compensation during the first six months of 2017 and do not believe there is a reasonable likelihood that there will be a material change in the future estimates or assumptions used to determine share-based compensation expense. However, if actual results are not consistent with our estimates or assumptions, we may be exposed to changes in share-based compensation expense that could be material.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parties to various legal and regulatory proceedings and claims incidental to our business from time to time. We review outstanding claims and proceedings internally and with external counsel, as necessary and appropriate, to assess probability of loss and for the ability to estimate loss. These assessments are re-evaluated each quarter or as new information becomes available to determine whether a reserve should be established or if any existing reserve should be adjusted. The actual cost of resolving a claim or proceeding ultimately may be substantially different than the amount of the recorded reserve. Although we believe that the judgments and estimates used in establishing our legal reserves are reasonable, an unsuccessful legal proceeding or a settlement could result in material adjustments to our Consolidated Financial Statements and our consolidated financial position.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 II, Item 7A of the 2016 Form 10-K is incorporated in this item of this Quarterly Report on Form 10-Q by this reference. There have been no material changes in our quantitative and qualitative market risks since July 29, 2016.</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management, including our principal executive and principal financial officers,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January 27, 2017, our disclosure controls and procedures were effective for the purposes set forth in the definition thereof in Exchange Act Rule 13a-15(e).</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changes (including corrective actions with regard to significant deficiencies and material weaknesses) during the quarter ended January 27, 2017 in our internal control over financial reporting (as defined in Exchange Act Rule 13a-15(f)) that have materially affected, or are reasonably likely to materially affect, our internal control over financial reporting.</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have been no material changes in the risk factors previously disclosed in “Item 1A. Risk Factors” of our 2016 Form 10-K.</w:t>
      </w:r>
    </w:p>
    <w:p>
      <w:pPr>
        <w:spacing w:after="0" w:line="27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 immediately following the signature page hereto.</w:t>
      </w:r>
    </w:p>
    <w:p>
      <w:pPr>
        <w:spacing w:after="0" w:line="200" w:lineRule="exact"/>
        <w:rPr>
          <w:sz w:val="20"/>
          <w:szCs w:val="20"/>
          <w:color w:val="auto"/>
        </w:rPr>
      </w:pP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CRACKER BARREL OLD COUNTRY STORE,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gridSpan w:val="3"/>
          </w:tcPr>
          <w:p>
            <w:pPr>
              <w:spacing w:after="0"/>
              <w:rPr>
                <w:sz w:val="20"/>
                <w:szCs w:val="20"/>
                <w:color w:val="auto"/>
              </w:rPr>
            </w:pPr>
            <w:r>
              <w:rPr>
                <w:rFonts w:ascii="Arial" w:cs="Arial" w:eastAsia="Arial" w:hAnsi="Arial"/>
                <w:sz w:val="18"/>
                <w:szCs w:val="18"/>
                <w:color w:val="auto"/>
              </w:rPr>
              <w:t>Date: February 21, 2017</w:t>
            </w:r>
          </w:p>
        </w:tc>
        <w:tc>
          <w:tcPr>
            <w:tcW w:w="1400" w:type="dxa"/>
            <w:vAlign w:val="bottom"/>
          </w:tcPr>
          <w:p>
            <w:pPr>
              <w:ind w:left="840"/>
              <w:spacing w:after="0"/>
              <w:rPr>
                <w:sz w:val="20"/>
                <w:szCs w:val="20"/>
                <w:color w:val="auto"/>
              </w:rPr>
            </w:pPr>
            <w:r>
              <w:rPr>
                <w:rFonts w:ascii="Arial" w:cs="Arial" w:eastAsia="Arial" w:hAnsi="Arial"/>
                <w:sz w:val="18"/>
                <w:szCs w:val="18"/>
                <w:color w:val="auto"/>
              </w:rPr>
              <w:t>By:</w:t>
            </w:r>
          </w:p>
        </w:tc>
        <w:tc>
          <w:tcPr>
            <w:tcW w:w="7420" w:type="dxa"/>
            <w:vAlign w:val="bottom"/>
            <w:gridSpan w:val="3"/>
          </w:tcPr>
          <w:p>
            <w:pPr>
              <w:spacing w:after="0"/>
              <w:rPr>
                <w:sz w:val="20"/>
                <w:szCs w:val="20"/>
                <w:color w:val="auto"/>
              </w:rPr>
            </w:pPr>
            <w:r>
              <w:rPr>
                <w:rFonts w:ascii="Arial" w:cs="Arial" w:eastAsia="Arial" w:hAnsi="Arial"/>
                <w:sz w:val="18"/>
                <w:szCs w:val="18"/>
                <w:color w:val="auto"/>
              </w:rPr>
              <w:t>/s/Jill M. Golder</w:t>
            </w:r>
          </w:p>
        </w:tc>
      </w:tr>
      <w:tr>
        <w:trPr>
          <w:trHeight w:val="20"/>
        </w:trPr>
        <w:tc>
          <w:tcPr>
            <w:tcW w:w="4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Jill M. Golder, Senior Vice President and</w:t>
            </w:r>
          </w:p>
        </w:tc>
      </w:tr>
      <w:tr>
        <w:trPr>
          <w:trHeight w:val="230"/>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2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r>
      <w:tr>
        <w:trPr>
          <w:trHeight w:val="392"/>
        </w:trPr>
        <w:tc>
          <w:tcPr>
            <w:tcW w:w="2600" w:type="dxa"/>
            <w:vAlign w:val="bottom"/>
            <w:gridSpan w:val="3"/>
          </w:tcPr>
          <w:p>
            <w:pPr>
              <w:spacing w:after="0"/>
              <w:rPr>
                <w:sz w:val="20"/>
                <w:szCs w:val="20"/>
                <w:color w:val="auto"/>
              </w:rPr>
            </w:pPr>
            <w:r>
              <w:rPr>
                <w:rFonts w:ascii="Arial" w:cs="Arial" w:eastAsia="Arial" w:hAnsi="Arial"/>
                <w:sz w:val="18"/>
                <w:szCs w:val="18"/>
                <w:color w:val="auto"/>
              </w:rPr>
              <w:t>Date: February 21, 2017</w:t>
            </w:r>
          </w:p>
        </w:tc>
        <w:tc>
          <w:tcPr>
            <w:tcW w:w="1400" w:type="dxa"/>
            <w:vAlign w:val="bottom"/>
          </w:tcPr>
          <w:p>
            <w:pPr>
              <w:ind w:left="840"/>
              <w:spacing w:after="0"/>
              <w:rPr>
                <w:sz w:val="20"/>
                <w:szCs w:val="20"/>
                <w:color w:val="auto"/>
              </w:rPr>
            </w:pPr>
            <w:r>
              <w:rPr>
                <w:rFonts w:ascii="Arial" w:cs="Arial" w:eastAsia="Arial" w:hAnsi="Arial"/>
                <w:sz w:val="18"/>
                <w:szCs w:val="18"/>
                <w:color w:val="auto"/>
              </w:rPr>
              <w:t>By:</w:t>
            </w:r>
          </w:p>
        </w:tc>
        <w:tc>
          <w:tcPr>
            <w:tcW w:w="7420" w:type="dxa"/>
            <w:vAlign w:val="bottom"/>
            <w:gridSpan w:val="3"/>
          </w:tcPr>
          <w:p>
            <w:pPr>
              <w:spacing w:after="0"/>
              <w:rPr>
                <w:sz w:val="20"/>
                <w:szCs w:val="20"/>
                <w:color w:val="auto"/>
              </w:rPr>
            </w:pPr>
            <w:r>
              <w:rPr>
                <w:rFonts w:ascii="Arial" w:cs="Arial" w:eastAsia="Arial" w:hAnsi="Arial"/>
                <w:sz w:val="18"/>
                <w:szCs w:val="18"/>
                <w:color w:val="auto"/>
              </w:rPr>
              <w:t>/s/Jeffrey M. Wilson</w:t>
            </w:r>
          </w:p>
        </w:tc>
      </w:tr>
      <w:tr>
        <w:trPr>
          <w:trHeight w:val="20"/>
        </w:trPr>
        <w:tc>
          <w:tcPr>
            <w:tcW w:w="4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Jeffrey M. Wilson, Vice President, Corporate Controller and Principal</w:t>
            </w:r>
          </w:p>
        </w:tc>
      </w:tr>
      <w:tr>
        <w:trPr>
          <w:trHeight w:val="230"/>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20" w:type="dxa"/>
            <w:vAlign w:val="bottom"/>
            <w:gridSpan w:val="3"/>
          </w:tcPr>
          <w:p>
            <w:pPr>
              <w:ind w:left="160"/>
              <w:spacing w:after="0"/>
              <w:rPr>
                <w:sz w:val="20"/>
                <w:szCs w:val="20"/>
                <w:color w:val="auto"/>
              </w:rPr>
            </w:pPr>
            <w:r>
              <w:rPr>
                <w:rFonts w:ascii="Arial" w:cs="Arial" w:eastAsia="Arial" w:hAnsi="Arial"/>
                <w:sz w:val="18"/>
                <w:szCs w:val="18"/>
                <w:color w:val="auto"/>
              </w:rPr>
              <w:t>Accounting Officer</w:t>
            </w:r>
          </w:p>
        </w:tc>
      </w:tr>
      <w:tr>
        <w:trPr>
          <w:trHeight w:val="596"/>
        </w:trPr>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20" w:type="dxa"/>
            <w:vAlign w:val="bottom"/>
            <w:gridSpan w:val="3"/>
          </w:tcPr>
          <w:p>
            <w:pPr>
              <w:ind w:left="1640"/>
              <w:spacing w:after="0"/>
              <w:rPr>
                <w:sz w:val="20"/>
                <w:szCs w:val="20"/>
                <w:color w:val="auto"/>
              </w:rPr>
            </w:pPr>
            <w:r>
              <w:rPr>
                <w:rFonts w:ascii="Arial" w:cs="Arial" w:eastAsia="Arial" w:hAnsi="Arial"/>
                <w:sz w:val="14"/>
                <w:szCs w:val="14"/>
                <w:color w:val="auto"/>
              </w:rPr>
              <w:t>29</w:t>
            </w:r>
          </w:p>
        </w:tc>
      </w:tr>
      <w:tr>
        <w:trPr>
          <w:trHeight w:val="46"/>
        </w:trPr>
        <w:tc>
          <w:tcPr>
            <w:tcW w:w="4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INDEX TO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gridSpan w:val="4"/>
          </w:tcPr>
          <w:p>
            <w:pPr>
              <w:spacing w:after="0"/>
              <w:rPr>
                <w:sz w:val="20"/>
                <w:szCs w:val="20"/>
                <w:color w:val="auto"/>
              </w:rPr>
            </w:pPr>
            <w:r>
              <w:rPr>
                <w:rFonts w:ascii="Arial" w:cs="Arial" w:eastAsia="Arial" w:hAnsi="Arial"/>
                <w:sz w:val="18"/>
                <w:szCs w:val="18"/>
                <w:color w:val="auto"/>
              </w:rPr>
              <w:t>Exhibit</w:t>
            </w:r>
          </w:p>
        </w:tc>
        <w:tc>
          <w:tcPr>
            <w:tcW w:w="10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0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gridSpan w:val="2"/>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380" w:type="dxa"/>
            <w:vAlign w:val="bottom"/>
            <w:shd w:val="clear" w:color="auto" w:fill="CCEEFF"/>
          </w:tcPr>
          <w:p>
            <w:pPr>
              <w:spacing w:after="0"/>
              <w:rPr>
                <w:sz w:val="17"/>
                <w:szCs w:val="17"/>
                <w:color w:val="auto"/>
              </w:rPr>
            </w:pPr>
          </w:p>
        </w:tc>
        <w:tc>
          <w:tcPr>
            <w:tcW w:w="105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Certification of Chief Executive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gridSpan w:val="2"/>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380" w:type="dxa"/>
            <w:vAlign w:val="bottom"/>
            <w:shd w:val="clear" w:color="auto" w:fill="CCEEFF"/>
          </w:tcPr>
          <w:p>
            <w:pPr>
              <w:spacing w:after="0"/>
              <w:rPr>
                <w:sz w:val="17"/>
                <w:szCs w:val="17"/>
                <w:color w:val="auto"/>
              </w:rPr>
            </w:pPr>
          </w:p>
        </w:tc>
        <w:tc>
          <w:tcPr>
            <w:tcW w:w="105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Certification of Chief Financial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gridSpan w:val="2"/>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380" w:type="dxa"/>
            <w:vAlign w:val="bottom"/>
            <w:shd w:val="clear" w:color="auto" w:fill="CCEEFF"/>
          </w:tcPr>
          <w:p>
            <w:pPr>
              <w:spacing w:after="0"/>
              <w:rPr>
                <w:sz w:val="17"/>
                <w:szCs w:val="17"/>
                <w:color w:val="auto"/>
              </w:rPr>
            </w:pPr>
          </w:p>
        </w:tc>
        <w:tc>
          <w:tcPr>
            <w:tcW w:w="105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Certification of Chief Executive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gridSpan w:val="2"/>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380" w:type="dxa"/>
            <w:vAlign w:val="bottom"/>
            <w:shd w:val="clear" w:color="auto" w:fill="CCEEFF"/>
          </w:tcPr>
          <w:p>
            <w:pPr>
              <w:spacing w:after="0"/>
              <w:rPr>
                <w:sz w:val="17"/>
                <w:szCs w:val="17"/>
                <w:color w:val="auto"/>
              </w:rPr>
            </w:pPr>
          </w:p>
        </w:tc>
        <w:tc>
          <w:tcPr>
            <w:tcW w:w="105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Certification of Chief Financial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Instance Document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Schema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Calculation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Label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Presentation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Definition Linkbase (filed herewith)</w:t>
            </w: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500" w:type="dxa"/>
            <w:vAlign w:val="bottom"/>
          </w:tcPr>
          <w:p>
            <w:pPr>
              <w:ind w:left="472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tabs>
          <w:tab w:leader="none" w:pos="456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r>
        <w:rPr>
          <w:sz w:val="20"/>
          <w:szCs w:val="20"/>
          <w:color w:val="auto"/>
        </w:rPr>
        <w:tab/>
      </w:r>
      <w:r>
        <w:rPr>
          <w:rFonts w:ascii="Arial" w:cs="Arial" w:eastAsia="Arial" w:hAnsi="Arial"/>
          <w:sz w:val="17"/>
          <w:szCs w:val="17"/>
          <w:u w:val="single" w:color="auto"/>
          <w:color w:val="auto"/>
        </w:rPr>
        <w:t>CERTIFICATION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Sandra B. Cochran, certify that:</w:t>
      </w:r>
    </w:p>
    <w:p>
      <w:pPr>
        <w:spacing w:after="0" w:line="252" w:lineRule="exact"/>
        <w:rPr>
          <w:sz w:val="20"/>
          <w:szCs w:val="20"/>
          <w:color w:val="auto"/>
        </w:rPr>
      </w:pPr>
    </w:p>
    <w:p>
      <w:pPr>
        <w:ind w:left="1540" w:hanging="479"/>
        <w:spacing w:after="0"/>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Cracker Barrel Old Country Store, Inc.;</w:t>
      </w:r>
    </w:p>
    <w:p>
      <w:pPr>
        <w:spacing w:after="0" w:line="252" w:lineRule="exact"/>
        <w:rPr>
          <w:rFonts w:ascii="Arial" w:cs="Arial" w:eastAsia="Arial" w:hAnsi="Arial"/>
          <w:sz w:val="18"/>
          <w:szCs w:val="18"/>
          <w:color w:val="auto"/>
        </w:rPr>
      </w:pPr>
    </w:p>
    <w:p>
      <w:pPr>
        <w:jc w:val="both"/>
        <w:ind w:left="1540" w:hanging="479"/>
        <w:spacing w:after="0" w:line="264"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540" w:right="20" w:hanging="479"/>
        <w:spacing w:after="0" w:line="342" w:lineRule="auto"/>
        <w:tabs>
          <w:tab w:leader="none" w:pos="1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540" w:hanging="479"/>
        <w:spacing w:after="0" w:line="291" w:lineRule="auto"/>
        <w:tabs>
          <w:tab w:leader="none" w:pos="1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54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960" w:hanging="412"/>
        <w:spacing w:after="0" w:line="286" w:lineRule="auto"/>
        <w:tabs>
          <w:tab w:leader="none" w:pos="19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60" w:right="20" w:hanging="412"/>
        <w:spacing w:after="0" w:line="264" w:lineRule="auto"/>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60" w:hanging="412"/>
        <w:spacing w:after="0" w:line="264" w:lineRule="auto"/>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60" w:hanging="412"/>
        <w:spacing w:after="0" w:line="286" w:lineRule="auto"/>
        <w:tabs>
          <w:tab w:leader="none" w:pos="19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left="1540" w:hanging="479"/>
        <w:spacing w:after="0" w:line="264"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960" w:hanging="412"/>
        <w:spacing w:after="0" w:line="342" w:lineRule="auto"/>
        <w:tabs>
          <w:tab w:leader="none" w:pos="19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right="20" w:hanging="412"/>
        <w:spacing w:after="0" w:line="277" w:lineRule="auto"/>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February 21,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/s/Sandra B. Cochran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Sandra B. Cochran,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31" w:name="page32"/>
    <w:bookmarkEnd w:id="31"/>
    <w:p>
      <w:pPr>
        <w:spacing w:after="0"/>
        <w:tabs>
          <w:tab w:leader="none" w:pos="456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r>
        <w:rPr>
          <w:sz w:val="20"/>
          <w:szCs w:val="20"/>
          <w:color w:val="auto"/>
        </w:rPr>
        <w:tab/>
      </w:r>
      <w:r>
        <w:rPr>
          <w:rFonts w:ascii="Arial" w:cs="Arial" w:eastAsia="Arial" w:hAnsi="Arial"/>
          <w:sz w:val="17"/>
          <w:szCs w:val="17"/>
          <w:u w:val="single" w:color="auto"/>
          <w:color w:val="auto"/>
        </w:rPr>
        <w:t>CERTIFICATION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Jill M. Golder, certify that:</w:t>
      </w:r>
    </w:p>
    <w:p>
      <w:pPr>
        <w:spacing w:after="0" w:line="252" w:lineRule="exact"/>
        <w:rPr>
          <w:sz w:val="20"/>
          <w:szCs w:val="20"/>
          <w:color w:val="auto"/>
        </w:rPr>
      </w:pPr>
    </w:p>
    <w:p>
      <w:pPr>
        <w:ind w:left="1540" w:hanging="479"/>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Cracker Barrel Old Country Store, Inc.;</w:t>
      </w:r>
    </w:p>
    <w:p>
      <w:pPr>
        <w:spacing w:after="0" w:line="252" w:lineRule="exact"/>
        <w:rPr>
          <w:rFonts w:ascii="Arial" w:cs="Arial" w:eastAsia="Arial" w:hAnsi="Arial"/>
          <w:sz w:val="18"/>
          <w:szCs w:val="18"/>
          <w:color w:val="auto"/>
        </w:rPr>
      </w:pPr>
    </w:p>
    <w:p>
      <w:pPr>
        <w:jc w:val="both"/>
        <w:ind w:left="1540" w:hanging="479"/>
        <w:spacing w:after="0" w:line="264"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540" w:right="20" w:hanging="479"/>
        <w:spacing w:after="0" w:line="342" w:lineRule="auto"/>
        <w:tabs>
          <w:tab w:leader="none" w:pos="1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540" w:hanging="479"/>
        <w:spacing w:after="0" w:line="291" w:lineRule="auto"/>
        <w:tabs>
          <w:tab w:leader="none" w:pos="1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54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960" w:hanging="412"/>
        <w:spacing w:after="0" w:line="286" w:lineRule="auto"/>
        <w:tabs>
          <w:tab w:leader="none" w:pos="19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60" w:right="20" w:hanging="412"/>
        <w:spacing w:after="0" w:line="264" w:lineRule="auto"/>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60" w:hanging="412"/>
        <w:spacing w:after="0" w:line="264" w:lineRule="auto"/>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60" w:hanging="412"/>
        <w:spacing w:after="0" w:line="286" w:lineRule="auto"/>
        <w:tabs>
          <w:tab w:leader="none" w:pos="19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left="1540" w:hanging="479"/>
        <w:spacing w:after="0" w:line="264"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960" w:hanging="412"/>
        <w:spacing w:after="0" w:line="342" w:lineRule="auto"/>
        <w:tabs>
          <w:tab w:leader="none" w:pos="19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right="20" w:hanging="412"/>
        <w:spacing w:after="0" w:line="277" w:lineRule="auto"/>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February 21,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/s/Jill M. Golder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Jill M. Golder, 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52" w:lineRule="exact"/>
        <w:rPr>
          <w:sz w:val="20"/>
          <w:szCs w:val="20"/>
          <w:color w:val="auto"/>
        </w:rPr>
      </w:pPr>
    </w:p>
    <w:p>
      <w:pPr>
        <w:jc w:val="center"/>
        <w:ind w:left="300" w:right="2800"/>
        <w:spacing w:after="0" w:line="264"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208"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In connection with the Quarterly Report of Cracker Barrel Old Country Store, Inc. (the “Issuer”) on Form 10-Q for the fiscal quarter ended January 27, 2017,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193"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gridSpan w:val="3"/>
          </w:tcPr>
          <w:p>
            <w:pPr>
              <w:spacing w:after="0"/>
              <w:rPr>
                <w:sz w:val="20"/>
                <w:szCs w:val="20"/>
                <w:color w:val="auto"/>
              </w:rPr>
            </w:pPr>
            <w:r>
              <w:rPr>
                <w:rFonts w:ascii="Arial" w:cs="Arial" w:eastAsia="Arial" w:hAnsi="Arial"/>
                <w:sz w:val="18"/>
                <w:szCs w:val="18"/>
                <w:color w:val="auto"/>
              </w:rPr>
              <w:t>Date: February 21, 2017</w:t>
            </w:r>
          </w:p>
        </w:tc>
        <w:tc>
          <w:tcPr>
            <w:tcW w:w="7960" w:type="dxa"/>
            <w:vAlign w:val="bottom"/>
            <w:gridSpan w:val="3"/>
          </w:tcPr>
          <w:p>
            <w:pPr>
              <w:ind w:left="1700"/>
              <w:spacing w:after="0"/>
              <w:rPr>
                <w:sz w:val="20"/>
                <w:szCs w:val="20"/>
                <w:color w:val="auto"/>
              </w:rPr>
            </w:pPr>
            <w:r>
              <w:rPr>
                <w:rFonts w:ascii="Arial" w:cs="Arial" w:eastAsia="Arial" w:hAnsi="Arial"/>
                <w:sz w:val="18"/>
                <w:szCs w:val="18"/>
                <w:color w:val="auto"/>
              </w:rPr>
              <w:t>By: /s/Sandra B. Cochran</w:t>
            </w:r>
          </w:p>
        </w:tc>
      </w:tr>
      <w:tr>
        <w:trPr>
          <w:trHeight w:val="222"/>
        </w:trPr>
        <w:tc>
          <w:tcPr>
            <w:tcW w:w="44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7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Sandra B. Cochran</w:t>
            </w:r>
          </w:p>
        </w:tc>
        <w:tc>
          <w:tcPr>
            <w:tcW w:w="440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601"/>
        </w:trPr>
        <w:tc>
          <w:tcPr>
            <w:tcW w:w="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52" w:lineRule="exact"/>
        <w:rPr>
          <w:sz w:val="20"/>
          <w:szCs w:val="20"/>
          <w:color w:val="auto"/>
        </w:rPr>
      </w:pPr>
    </w:p>
    <w:p>
      <w:pPr>
        <w:jc w:val="center"/>
        <w:ind w:left="260" w:right="2820"/>
        <w:spacing w:after="0" w:line="264"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208"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In connection with the Quarterly Report of Cracker Barrel Old Country Store, Inc. (the “Issuer”) on Form 10-Q for the fiscal quarter ended January 27, 2017, as filed with the Securities and Exchange Commission on the date hereof (the “Report”), I, Jill M. Golder, Senior Vice President and Chief Financial Officer of the Issuer, certify, pursuant to 18 U.S.C. Section 1350, as adopted pursuant to Section 906 of the Sarbanes-Oxley Act of 2002, that:</w:t>
      </w:r>
    </w:p>
    <w:p>
      <w:pPr>
        <w:spacing w:after="0" w:line="174"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gridSpan w:val="3"/>
          </w:tcPr>
          <w:p>
            <w:pPr>
              <w:spacing w:after="0"/>
              <w:rPr>
                <w:sz w:val="20"/>
                <w:szCs w:val="20"/>
                <w:color w:val="auto"/>
              </w:rPr>
            </w:pPr>
            <w:r>
              <w:rPr>
                <w:rFonts w:ascii="Arial" w:cs="Arial" w:eastAsia="Arial" w:hAnsi="Arial"/>
                <w:sz w:val="18"/>
                <w:szCs w:val="18"/>
                <w:color w:val="auto"/>
              </w:rPr>
              <w:t>Date: February 21, 2017</w:t>
            </w:r>
          </w:p>
        </w:tc>
        <w:tc>
          <w:tcPr>
            <w:tcW w:w="7960" w:type="dxa"/>
            <w:vAlign w:val="bottom"/>
            <w:gridSpan w:val="3"/>
          </w:tcPr>
          <w:p>
            <w:pPr>
              <w:ind w:left="1700"/>
              <w:spacing w:after="0"/>
              <w:rPr>
                <w:sz w:val="20"/>
                <w:szCs w:val="20"/>
                <w:color w:val="auto"/>
              </w:rPr>
            </w:pPr>
            <w:r>
              <w:rPr>
                <w:rFonts w:ascii="Arial" w:cs="Arial" w:eastAsia="Arial" w:hAnsi="Arial"/>
                <w:sz w:val="18"/>
                <w:szCs w:val="18"/>
                <w:color w:val="auto"/>
              </w:rPr>
              <w:t>By: /s/Jill M. Golder</w:t>
            </w:r>
          </w:p>
        </w:tc>
      </w:tr>
      <w:tr>
        <w:trPr>
          <w:trHeight w:val="222"/>
        </w:trPr>
        <w:tc>
          <w:tcPr>
            <w:tcW w:w="44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7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Jill M. Golder,</w:t>
            </w:r>
          </w:p>
        </w:tc>
        <w:tc>
          <w:tcPr>
            <w:tcW w:w="474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601"/>
        </w:trPr>
        <w:tc>
          <w:tcPr>
            <w:tcW w:w="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2"/>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decimal"/>
      <w:start w:val="8"/>
    </w:lvl>
  </w:abstractNum>
  <w:abstractNum w:abstractNumId="10">
    <w:nsid w:val="4E6AFB66"/>
    <w:multiLevelType w:val="hybridMultilevel"/>
    <w:lvl w:ilvl="0">
      <w:lvlJc w:val="left"/>
      <w:lvlText w:val="%1."/>
      <w:numFmt w:val="decimal"/>
      <w:start w:val="9"/>
    </w:lvl>
  </w:abstractNum>
  <w:abstractNum w:abstractNumId="11">
    <w:nsid w:val="25E45D32"/>
    <w:multiLevelType w:val="hybridMultilevel"/>
    <w:lvl w:ilvl="0">
      <w:lvlJc w:val="left"/>
      <w:lvlText w:val="%1."/>
      <w:numFmt w:val="decimal"/>
      <w:start w:val="10"/>
    </w:lvl>
  </w:abstractNum>
  <w:abstractNum w:abstractNumId="12">
    <w:nsid w:val="519B500D"/>
    <w:multiLevelType w:val="hybridMultilevel"/>
    <w:lvl w:ilvl="0">
      <w:lvlJc w:val="left"/>
      <w:lvlText w:val="%1."/>
      <w:numFmt w:val="decimal"/>
      <w:start w:val="11"/>
    </w:lvl>
  </w:abstractNum>
  <w:abstractNum w:abstractNumId="13">
    <w:nsid w:val="431BD7B7"/>
    <w:multiLevelType w:val="hybridMultilevel"/>
    <w:lvl w:ilvl="0">
      <w:lvlJc w:val="left"/>
      <w:lvlText w:val="&amp;"/>
      <w:numFmt w:val="bullet"/>
      <w:start w:val="1"/>
    </w:lvl>
    <w:lvl w:ilvl="1">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2019-12-29T07:40:16Z</dcterms:created>
  <dcterms:modified xsi:type="dcterms:W3CDTF">2019-12-29T07:40:16Z</dcterms:modified>
</cp:coreProperties>
</file>